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F4" w:rsidRPr="00713E20" w:rsidRDefault="00191AF4" w:rsidP="00191AF4">
      <w:pPr>
        <w:spacing w:line="200" w:lineRule="exact"/>
      </w:pPr>
    </w:p>
    <w:p w:rsidR="0074421F" w:rsidRPr="00713E20" w:rsidRDefault="0074421F">
      <w:bookmarkStart w:id="0" w:name="_GoBack"/>
      <w:bookmarkEnd w:id="0"/>
    </w:p>
    <w:p w:rsidR="0074421F" w:rsidRDefault="0074421F" w:rsidP="0074421F">
      <w:pPr>
        <w:spacing w:line="360" w:lineRule="auto"/>
        <w:ind w:left="709" w:right="425" w:hanging="502"/>
        <w:contextualSpacing/>
        <w:jc w:val="center"/>
        <w:rPr>
          <w:sz w:val="24"/>
          <w:szCs w:val="24"/>
          <w:lang w:val="id-ID"/>
        </w:rPr>
      </w:pPr>
      <w:r>
        <w:rPr>
          <w:sz w:val="24"/>
          <w:szCs w:val="24"/>
          <w:lang w:val="id-ID"/>
        </w:rPr>
        <w:t>Abstract</w:t>
      </w:r>
    </w:p>
    <w:p w:rsidR="0074421F" w:rsidRDefault="0074421F" w:rsidP="0074421F">
      <w:pPr>
        <w:spacing w:line="360" w:lineRule="auto"/>
        <w:ind w:left="709" w:right="425" w:hanging="502"/>
        <w:contextualSpacing/>
        <w:jc w:val="center"/>
        <w:rPr>
          <w:sz w:val="24"/>
          <w:szCs w:val="24"/>
          <w:lang w:val="id-ID"/>
        </w:rPr>
      </w:pPr>
    </w:p>
    <w:p w:rsidR="0074421F" w:rsidRDefault="0074421F" w:rsidP="0074421F">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Indonesian competition law today requires a renewal of one of them concerning the doctrine of</w:t>
      </w:r>
      <w:r>
        <w:rPr>
          <w:rFonts w:ascii="Times New Roman" w:eastAsia="Times New Roman" w:hAnsi="Times New Roman" w:cs="Times New Roman"/>
          <w:i/>
          <w:color w:val="000000"/>
          <w:sz w:val="24"/>
          <w:szCs w:val="24"/>
        </w:rPr>
        <w:t xml:space="preserve"> essential facilities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duties.</w:t>
      </w:r>
      <w:r>
        <w:rPr>
          <w:rFonts w:ascii="Times New Roman" w:eastAsia="Times New Roman" w:hAnsi="Times New Roman" w:cs="Times New Roman"/>
          <w:color w:val="000000"/>
          <w:sz w:val="24"/>
          <w:szCs w:val="24"/>
        </w:rPr>
        <w:t xml:space="preserve"> The doctrine</w:t>
      </w:r>
      <w:r>
        <w:rPr>
          <w:rFonts w:ascii="Times New Roman" w:eastAsia="Times New Roman" w:hAnsi="Times New Roman" w:cs="Times New Roman"/>
          <w:i/>
          <w:color w:val="000000"/>
          <w:sz w:val="24"/>
          <w:szCs w:val="24"/>
        </w:rPr>
        <w:t xml:space="preserve"> essential facilities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duties</w:t>
      </w:r>
      <w:r>
        <w:rPr>
          <w:rFonts w:ascii="Times New Roman" w:eastAsia="Times New Roman" w:hAnsi="Times New Roman" w:cs="Times New Roman"/>
          <w:color w:val="000000"/>
          <w:sz w:val="24"/>
          <w:szCs w:val="24"/>
        </w:rPr>
        <w:t xml:space="preserve"> is a doctrine imposed on a dominant business actor who has access to </w:t>
      </w:r>
      <w:r>
        <w:rPr>
          <w:rFonts w:ascii="Times New Roman" w:eastAsia="Times New Roman" w:hAnsi="Times New Roman" w:cs="Times New Roman"/>
          <w:i/>
          <w:color w:val="000000"/>
          <w:sz w:val="24"/>
          <w:szCs w:val="24"/>
        </w:rPr>
        <w:t>essential facilities</w:t>
      </w:r>
      <w:r>
        <w:rPr>
          <w:rFonts w:ascii="Times New Roman" w:eastAsia="Times New Roman" w:hAnsi="Times New Roman" w:cs="Times New Roman"/>
          <w:color w:val="000000"/>
          <w:sz w:val="24"/>
          <w:szCs w:val="24"/>
        </w:rPr>
        <w:t xml:space="preserve"> to provide access for competing business actors to use the facility. Regulation of </w:t>
      </w:r>
      <w:r>
        <w:rPr>
          <w:rFonts w:ascii="Times New Roman" w:eastAsia="Times New Roman" w:hAnsi="Times New Roman" w:cs="Times New Roman"/>
          <w:i/>
          <w:color w:val="000000"/>
          <w:sz w:val="24"/>
          <w:szCs w:val="24"/>
        </w:rPr>
        <w:t>essential facilities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duties are </w:t>
      </w:r>
      <w:r>
        <w:rPr>
          <w:rFonts w:ascii="Times New Roman" w:eastAsia="Times New Roman" w:hAnsi="Times New Roman" w:cs="Times New Roman"/>
          <w:color w:val="000000"/>
          <w:sz w:val="24"/>
          <w:szCs w:val="24"/>
        </w:rPr>
        <w:t>needed to reduce dominance of a dominant firm in a particular market.</w:t>
      </w:r>
    </w:p>
    <w:p w:rsidR="0074421F" w:rsidRDefault="0074421F" w:rsidP="0074421F">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This study uses a statutory approach, conceptual approach, and a comparative approach between the arrangements in the United States, Europe and Indonesia. The approach is expected to illustrate, harmonize problems arising, and provide better legal protection in the world of business competition.</w:t>
      </w:r>
    </w:p>
    <w:p w:rsidR="0074421F" w:rsidRDefault="0074421F" w:rsidP="0074421F">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doctrine </w:t>
      </w:r>
      <w:r>
        <w:rPr>
          <w:rFonts w:ascii="Times New Roman" w:eastAsia="Times New Roman" w:hAnsi="Times New Roman" w:cs="Times New Roman"/>
          <w:i/>
          <w:sz w:val="24"/>
          <w:szCs w:val="24"/>
        </w:rPr>
        <w:t>essential facilities duties were</w:t>
      </w:r>
      <w:r>
        <w:rPr>
          <w:rFonts w:ascii="Times New Roman" w:eastAsia="Times New Roman" w:hAnsi="Times New Roman" w:cs="Times New Roman"/>
          <w:sz w:val="24"/>
          <w:szCs w:val="24"/>
        </w:rPr>
        <w:t xml:space="preserve"> first applied in the United States and then followed by European countries. The doctrine of </w:t>
      </w:r>
      <w:r>
        <w:rPr>
          <w:rFonts w:ascii="Times New Roman" w:eastAsia="Times New Roman" w:hAnsi="Times New Roman" w:cs="Times New Roman"/>
          <w:i/>
          <w:sz w:val="24"/>
          <w:szCs w:val="24"/>
        </w:rPr>
        <w:t>essential facilities duties</w:t>
      </w:r>
      <w:r>
        <w:rPr>
          <w:rFonts w:ascii="Times New Roman" w:eastAsia="Times New Roman" w:hAnsi="Times New Roman" w:cs="Times New Roman"/>
          <w:sz w:val="24"/>
          <w:szCs w:val="24"/>
        </w:rPr>
        <w:t xml:space="preserve"> in the United States is based on the sherman act and uses theapproach </w:t>
      </w:r>
      <w:r>
        <w:rPr>
          <w:rFonts w:ascii="Times New Roman" w:eastAsia="Times New Roman" w:hAnsi="Times New Roman" w:cs="Times New Roman"/>
          <w:i/>
          <w:sz w:val="24"/>
          <w:szCs w:val="24"/>
        </w:rPr>
        <w:t>rule of reason</w:t>
      </w:r>
      <w:r>
        <w:rPr>
          <w:rFonts w:ascii="Times New Roman" w:eastAsia="Times New Roman" w:hAnsi="Times New Roman" w:cs="Times New Roman"/>
          <w:sz w:val="24"/>
          <w:szCs w:val="24"/>
        </w:rPr>
        <w:t xml:space="preserve">. The doctrine of </w:t>
      </w:r>
      <w:r>
        <w:rPr>
          <w:rFonts w:ascii="Times New Roman" w:eastAsia="Times New Roman" w:hAnsi="Times New Roman" w:cs="Times New Roman"/>
          <w:i/>
          <w:sz w:val="24"/>
          <w:szCs w:val="24"/>
        </w:rPr>
        <w:t>essential facilities duties</w:t>
      </w:r>
      <w:r>
        <w:rPr>
          <w:rFonts w:ascii="Times New Roman" w:eastAsia="Times New Roman" w:hAnsi="Times New Roman" w:cs="Times New Roman"/>
          <w:sz w:val="24"/>
          <w:szCs w:val="24"/>
        </w:rPr>
        <w:t xml:space="preserve"> in European countries based on EC focuses on </w:t>
      </w:r>
      <w:r>
        <w:rPr>
          <w:rFonts w:ascii="Times New Roman" w:eastAsia="Times New Roman" w:hAnsi="Times New Roman" w:cs="Times New Roman"/>
          <w:i/>
          <w:sz w:val="24"/>
          <w:szCs w:val="24"/>
        </w:rPr>
        <w:t xml:space="preserve">refusal to deal. </w:t>
      </w:r>
    </w:p>
    <w:p w:rsidR="0074421F" w:rsidRDefault="0074421F" w:rsidP="0074421F">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doctrine of </w:t>
      </w:r>
      <w:r>
        <w:rPr>
          <w:rFonts w:ascii="Times New Roman" w:eastAsia="Times New Roman" w:hAnsi="Times New Roman" w:cs="Times New Roman"/>
          <w:i/>
          <w:sz w:val="24"/>
          <w:szCs w:val="24"/>
        </w:rPr>
        <w:t>essential facilities duties</w:t>
      </w:r>
      <w:r>
        <w:rPr>
          <w:rFonts w:ascii="Times New Roman" w:eastAsia="Times New Roman" w:hAnsi="Times New Roman" w:cs="Times New Roman"/>
          <w:sz w:val="24"/>
          <w:szCs w:val="24"/>
        </w:rPr>
        <w:t xml:space="preserve"> is explicitly implied in Law No. 5 of 1999. From this study it is concluded that the regulation on </w:t>
      </w:r>
      <w:r>
        <w:rPr>
          <w:rFonts w:ascii="Times New Roman" w:eastAsia="Times New Roman" w:hAnsi="Times New Roman" w:cs="Times New Roman"/>
          <w:i/>
          <w:sz w:val="24"/>
          <w:szCs w:val="24"/>
        </w:rPr>
        <w:t>essential facilities duties</w:t>
      </w:r>
      <w:r>
        <w:rPr>
          <w:rFonts w:ascii="Times New Roman" w:eastAsia="Times New Roman" w:hAnsi="Times New Roman" w:cs="Times New Roman"/>
          <w:sz w:val="24"/>
          <w:szCs w:val="24"/>
        </w:rPr>
        <w:t xml:space="preserve"> in Law No. 5 of 1999 still can not provide a good legal protection for business competition in Indonesia.</w:t>
      </w:r>
    </w:p>
    <w:p w:rsidR="0074421F" w:rsidRDefault="0074421F" w:rsidP="0074421F">
      <w:pPr>
        <w:pStyle w:val="Normal1"/>
        <w:spacing w:after="0" w:line="240" w:lineRule="auto"/>
        <w:ind w:firstLine="720"/>
        <w:jc w:val="both"/>
        <w:rPr>
          <w:rFonts w:ascii="Times New Roman" w:eastAsia="Times New Roman" w:hAnsi="Times New Roman" w:cs="Times New Roman"/>
          <w:sz w:val="24"/>
          <w:szCs w:val="24"/>
        </w:rPr>
      </w:pPr>
    </w:p>
    <w:p w:rsidR="0074421F" w:rsidRDefault="0074421F" w:rsidP="0074421F">
      <w:pPr>
        <w:pStyle w:val="Normal1"/>
        <w:spacing w:after="0" w:line="240" w:lineRule="auto"/>
        <w:ind w:firstLine="720"/>
        <w:jc w:val="both"/>
        <w:rPr>
          <w:rFonts w:ascii="Times New Roman" w:eastAsia="Times New Roman" w:hAnsi="Times New Roman" w:cs="Times New Roman"/>
          <w:sz w:val="24"/>
          <w:szCs w:val="24"/>
        </w:rPr>
      </w:pPr>
    </w:p>
    <w:p w:rsidR="0074421F" w:rsidRDefault="0074421F" w:rsidP="0074421F">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Keywords: Legal Protection, Business Competition, Doctrine Essential Facilities Duties </w:t>
      </w:r>
    </w:p>
    <w:p w:rsidR="0074421F" w:rsidRDefault="0074421F" w:rsidP="0074421F">
      <w:pPr>
        <w:pStyle w:val="Normal1"/>
        <w:spacing w:after="0" w:line="240" w:lineRule="auto"/>
        <w:ind w:firstLine="720"/>
        <w:jc w:val="both"/>
        <w:rPr>
          <w:rFonts w:ascii="Times New Roman" w:eastAsia="Times New Roman" w:hAnsi="Times New Roman" w:cs="Times New Roman"/>
          <w:color w:val="000000"/>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Pr="005D306D" w:rsidRDefault="0074421F" w:rsidP="0074421F">
      <w:pPr>
        <w:pStyle w:val="Normal1"/>
        <w:spacing w:after="0" w:line="360" w:lineRule="auto"/>
        <w:rPr>
          <w:rFonts w:ascii="Arial Narrow" w:eastAsia="Arial Narrow" w:hAnsi="Arial Narrow" w:cs="Arial Narrow"/>
          <w:b/>
          <w:sz w:val="24"/>
          <w:szCs w:val="24"/>
        </w:rPr>
        <w:sectPr w:rsidR="0074421F" w:rsidRPr="005D306D" w:rsidSect="0074421F">
          <w:pgSz w:w="11906" w:h="16838"/>
          <w:pgMar w:top="1701" w:right="2268" w:bottom="2268" w:left="1701" w:header="709" w:footer="709" w:gutter="0"/>
          <w:pgNumType w:start="1"/>
          <w:cols w:space="720"/>
        </w:sectPr>
      </w:pPr>
    </w:p>
    <w:p w:rsidR="0074421F" w:rsidRDefault="0074421F" w:rsidP="0074421F">
      <w:pPr>
        <w:pStyle w:val="Normal1"/>
        <w:spacing w:after="0" w:line="360" w:lineRule="auto"/>
        <w:rPr>
          <w:rFonts w:ascii="Arial Narrow" w:eastAsia="Arial Narrow" w:hAnsi="Arial Narrow" w:cs="Arial Narrow"/>
          <w:b/>
          <w:sz w:val="24"/>
          <w:szCs w:val="24"/>
        </w:rPr>
      </w:pPr>
    </w:p>
    <w:p w:rsidR="0074421F" w:rsidRDefault="0074421F" w:rsidP="0074421F">
      <w:pPr>
        <w:pStyle w:val="Normal1"/>
        <w:spacing w:after="0" w:line="360" w:lineRule="auto"/>
        <w:ind w:firstLine="720"/>
        <w:jc w:val="both"/>
        <w:rPr>
          <w:rFonts w:ascii="Arial Narrow" w:eastAsia="Arial Narrow" w:hAnsi="Arial Narrow" w:cs="Arial Narrow"/>
          <w:sz w:val="24"/>
          <w:szCs w:val="24"/>
        </w:rPr>
      </w:pPr>
    </w:p>
    <w:p w:rsidR="0074421F" w:rsidRDefault="0074421F" w:rsidP="0074421F">
      <w:pPr>
        <w:pStyle w:val="Normal1"/>
        <w:spacing w:after="0" w:line="360" w:lineRule="auto"/>
        <w:ind w:firstLine="720"/>
        <w:jc w:val="both"/>
        <w:rPr>
          <w:rFonts w:ascii="Arial Narrow" w:eastAsia="Arial Narrow" w:hAnsi="Arial Narrow" w:cs="Arial Narrow"/>
          <w:sz w:val="24"/>
          <w:szCs w:val="24"/>
        </w:rPr>
        <w:sectPr w:rsidR="0074421F">
          <w:type w:val="continuous"/>
          <w:pgSz w:w="11906" w:h="16838"/>
          <w:pgMar w:top="1701" w:right="2268" w:bottom="2268" w:left="1701" w:header="709" w:footer="709" w:gutter="0"/>
          <w:cols w:num="2" w:space="720" w:equalWidth="0">
            <w:col w:w="3614" w:space="708"/>
            <w:col w:w="3614" w:space="0"/>
          </w:cols>
        </w:sectPr>
      </w:pPr>
    </w:p>
    <w:p w:rsidR="0074421F" w:rsidRPr="003D62FE" w:rsidRDefault="0074421F" w:rsidP="0074421F">
      <w:pPr>
        <w:pStyle w:val="Normal1"/>
        <w:spacing w:after="0" w:line="360" w:lineRule="auto"/>
        <w:outlineLvl w:val="0"/>
        <w:rPr>
          <w:rFonts w:ascii="Times New Roman" w:eastAsia="Arial Narrow" w:hAnsi="Times New Roman" w:cs="Times New Roman"/>
          <w:b/>
          <w:sz w:val="24"/>
          <w:szCs w:val="24"/>
        </w:rPr>
      </w:pPr>
      <w:r w:rsidRPr="003D62FE">
        <w:rPr>
          <w:rFonts w:ascii="Times New Roman" w:eastAsia="Arial Narrow" w:hAnsi="Times New Roman" w:cs="Times New Roman"/>
          <w:b/>
          <w:sz w:val="24"/>
          <w:szCs w:val="24"/>
        </w:rPr>
        <w:lastRenderedPageBreak/>
        <w:t>Introduction</w:t>
      </w:r>
    </w:p>
    <w:p w:rsidR="0074421F" w:rsidRPr="003D62FE" w:rsidRDefault="0074421F" w:rsidP="0074421F">
      <w:pPr>
        <w:pStyle w:val="Normal1"/>
        <w:spacing w:after="0" w:line="360" w:lineRule="auto"/>
        <w:ind w:firstLine="720"/>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In a healthy competition a company must provide access to other companies seeking in Indonesia this is contained in thedoctrine </w:t>
      </w:r>
      <w:r w:rsidRPr="003D62FE">
        <w:rPr>
          <w:rFonts w:ascii="Times New Roman" w:eastAsia="Arial Narrow" w:hAnsi="Times New Roman" w:cs="Times New Roman"/>
          <w:i/>
          <w:sz w:val="24"/>
          <w:szCs w:val="24"/>
        </w:rPr>
        <w:t xml:space="preserve">essentialfacilities. </w:t>
      </w:r>
      <w:r w:rsidRPr="003D62FE">
        <w:rPr>
          <w:rFonts w:ascii="Times New Roman" w:eastAsia="Arial Narrow" w:hAnsi="Times New Roman" w:cs="Times New Roman"/>
          <w:i/>
          <w:color w:val="000000"/>
          <w:sz w:val="24"/>
          <w:szCs w:val="24"/>
        </w:rPr>
        <w:t xml:space="preserve">Essential facility </w:t>
      </w:r>
      <w:r w:rsidRPr="003D62FE">
        <w:rPr>
          <w:rFonts w:ascii="Times New Roman" w:eastAsia="Arial Narrow" w:hAnsi="Times New Roman" w:cs="Times New Roman"/>
          <w:color w:val="000000"/>
          <w:sz w:val="24"/>
          <w:szCs w:val="24"/>
        </w:rPr>
        <w:t xml:space="preserve">is not a general term that has its own definition and definition but is embedded in the law of business competition. </w:t>
      </w:r>
      <w:r w:rsidRPr="003D62FE">
        <w:rPr>
          <w:rFonts w:ascii="Times New Roman" w:eastAsia="Arial Narrow" w:hAnsi="Times New Roman" w:cs="Times New Roman"/>
          <w:sz w:val="24"/>
          <w:szCs w:val="24"/>
        </w:rPr>
        <w:t xml:space="preserve">The right to gain access to </w:t>
      </w:r>
      <w:r w:rsidRPr="003D62FE">
        <w:rPr>
          <w:rFonts w:ascii="Times New Roman" w:eastAsia="Arial Narrow" w:hAnsi="Times New Roman" w:cs="Times New Roman"/>
          <w:i/>
          <w:sz w:val="24"/>
          <w:szCs w:val="24"/>
        </w:rPr>
        <w:t>essential facilities</w:t>
      </w:r>
      <w:r w:rsidRPr="003D62FE">
        <w:rPr>
          <w:rFonts w:ascii="Times New Roman" w:eastAsia="Arial Narrow" w:hAnsi="Times New Roman" w:cs="Times New Roman"/>
          <w:sz w:val="24"/>
          <w:szCs w:val="24"/>
        </w:rPr>
        <w:t xml:space="preserve"> owned by dominant companies is a controversial topic in the business world as the application of the doctrine of </w:t>
      </w:r>
      <w:r w:rsidRPr="003D62FE">
        <w:rPr>
          <w:rFonts w:ascii="Times New Roman" w:eastAsia="Arial Narrow" w:hAnsi="Times New Roman" w:cs="Times New Roman"/>
          <w:i/>
          <w:sz w:val="24"/>
          <w:szCs w:val="24"/>
        </w:rPr>
        <w:t>essential facility duties</w:t>
      </w:r>
      <w:r w:rsidRPr="003D62FE">
        <w:rPr>
          <w:rFonts w:ascii="Times New Roman" w:eastAsia="Arial Narrow" w:hAnsi="Times New Roman" w:cs="Times New Roman"/>
          <w:sz w:val="24"/>
          <w:szCs w:val="24"/>
        </w:rPr>
        <w:t xml:space="preserve"> is complex and an exception to the principle of freedom of contract.</w:t>
      </w:r>
    </w:p>
    <w:p w:rsidR="0074421F" w:rsidRPr="003D62FE" w:rsidRDefault="0074421F" w:rsidP="0074421F">
      <w:pPr>
        <w:pStyle w:val="Normal1"/>
        <w:spacing w:after="0" w:line="360" w:lineRule="auto"/>
        <w:ind w:firstLine="720"/>
        <w:jc w:val="both"/>
        <w:rPr>
          <w:rFonts w:ascii="Times New Roman" w:eastAsia="Arial Narrow" w:hAnsi="Times New Roman" w:cs="Times New Roman"/>
          <w:sz w:val="24"/>
          <w:szCs w:val="24"/>
        </w:rPr>
      </w:pPr>
      <w:r w:rsidRPr="003D62FE">
        <w:rPr>
          <w:rFonts w:ascii="Times New Roman" w:eastAsia="Arial Narrow" w:hAnsi="Times New Roman" w:cs="Times New Roman"/>
          <w:color w:val="000000"/>
          <w:sz w:val="24"/>
          <w:szCs w:val="24"/>
        </w:rPr>
        <w:t xml:space="preserve">The term </w:t>
      </w:r>
      <w:r w:rsidRPr="003D62FE">
        <w:rPr>
          <w:rFonts w:ascii="Times New Roman" w:eastAsia="Arial Narrow" w:hAnsi="Times New Roman" w:cs="Times New Roman"/>
          <w:i/>
          <w:color w:val="000000"/>
          <w:sz w:val="24"/>
          <w:szCs w:val="24"/>
        </w:rPr>
        <w:t xml:space="preserve">essential facility is </w:t>
      </w:r>
      <w:r w:rsidRPr="003D62FE">
        <w:rPr>
          <w:rFonts w:ascii="Times New Roman" w:eastAsia="Arial Narrow" w:hAnsi="Times New Roman" w:cs="Times New Roman"/>
          <w:color w:val="000000"/>
          <w:sz w:val="24"/>
          <w:szCs w:val="24"/>
        </w:rPr>
        <w:t xml:space="preserve">actually very difficult to define, although in terms of competition law, the basic idea of ​​the term </w:t>
      </w:r>
      <w:r w:rsidRPr="003D62FE">
        <w:rPr>
          <w:rFonts w:ascii="Times New Roman" w:eastAsia="Arial Narrow" w:hAnsi="Times New Roman" w:cs="Times New Roman"/>
          <w:i/>
          <w:color w:val="000000"/>
          <w:sz w:val="24"/>
          <w:szCs w:val="24"/>
        </w:rPr>
        <w:t xml:space="preserve">essential facility </w:t>
      </w:r>
      <w:r w:rsidRPr="003D62FE">
        <w:rPr>
          <w:rFonts w:ascii="Times New Roman" w:eastAsia="Arial Narrow" w:hAnsi="Times New Roman" w:cs="Times New Roman"/>
          <w:color w:val="000000"/>
          <w:sz w:val="24"/>
          <w:szCs w:val="24"/>
        </w:rPr>
        <w:t>can be understood as a facility owned and controlled by business actors who have a dominant position in a particular market where other business actors (competitors) need access to provide similar products to the relevant market. A facility can be categorized as an "</w:t>
      </w:r>
      <w:r w:rsidRPr="003D62FE">
        <w:rPr>
          <w:rFonts w:ascii="Times New Roman" w:eastAsia="Arial Narrow" w:hAnsi="Times New Roman" w:cs="Times New Roman"/>
          <w:i/>
          <w:color w:val="000000"/>
          <w:sz w:val="24"/>
          <w:szCs w:val="24"/>
        </w:rPr>
        <w:t xml:space="preserve">essential facility" </w:t>
      </w:r>
      <w:r w:rsidRPr="003D62FE">
        <w:rPr>
          <w:rFonts w:ascii="Times New Roman" w:eastAsia="Arial Narrow" w:hAnsi="Times New Roman" w:cs="Times New Roman"/>
          <w:color w:val="000000"/>
          <w:sz w:val="24"/>
          <w:szCs w:val="24"/>
        </w:rPr>
        <w:t xml:space="preserve">if the facility is a </w:t>
      </w:r>
      <w:r w:rsidRPr="003D62FE">
        <w:rPr>
          <w:rFonts w:ascii="Times New Roman" w:eastAsia="Arial Narrow" w:hAnsi="Times New Roman" w:cs="Times New Roman"/>
          <w:color w:val="000000"/>
          <w:sz w:val="24"/>
          <w:szCs w:val="24"/>
        </w:rPr>
        <w:lastRenderedPageBreak/>
        <w:t>vital facility for the continuity of competition because competitors can not compete effectively in the relevant market without access to the facility.</w:t>
      </w:r>
      <w:r w:rsidRPr="003D62FE">
        <w:rPr>
          <w:rFonts w:ascii="Times New Roman" w:eastAsia="Arial Narrow" w:hAnsi="Times New Roman" w:cs="Times New Roman"/>
          <w:color w:val="000000"/>
          <w:sz w:val="24"/>
          <w:szCs w:val="24"/>
          <w:vertAlign w:val="superscript"/>
        </w:rPr>
        <w:footnoteReference w:id="1"/>
      </w:r>
    </w:p>
    <w:p w:rsidR="0074421F" w:rsidRPr="003D62FE" w:rsidRDefault="0074421F" w:rsidP="0074421F">
      <w:pPr>
        <w:pStyle w:val="Normal1"/>
        <w:pBdr>
          <w:top w:val="nil"/>
          <w:left w:val="nil"/>
          <w:bottom w:val="nil"/>
          <w:right w:val="nil"/>
          <w:between w:val="nil"/>
        </w:pBdr>
        <w:spacing w:after="0" w:line="360" w:lineRule="auto"/>
        <w:ind w:firstLine="720"/>
        <w:jc w:val="both"/>
        <w:rPr>
          <w:rFonts w:ascii="Times New Roman" w:eastAsia="Arial Narrow" w:hAnsi="Times New Roman" w:cs="Times New Roman"/>
          <w:color w:val="000000"/>
          <w:sz w:val="24"/>
          <w:szCs w:val="24"/>
        </w:rPr>
      </w:pPr>
      <w:r w:rsidRPr="003D62FE">
        <w:rPr>
          <w:rFonts w:ascii="Times New Roman" w:eastAsia="Arial Narrow" w:hAnsi="Times New Roman" w:cs="Times New Roman"/>
          <w:color w:val="000000"/>
          <w:sz w:val="24"/>
          <w:szCs w:val="24"/>
        </w:rPr>
        <w:t xml:space="preserve">Neale in his book </w:t>
      </w:r>
      <w:r w:rsidRPr="003D62FE">
        <w:rPr>
          <w:rFonts w:ascii="Times New Roman" w:eastAsia="Arial Narrow" w:hAnsi="Times New Roman" w:cs="Times New Roman"/>
          <w:i/>
          <w:color w:val="000000"/>
          <w:sz w:val="24"/>
          <w:szCs w:val="24"/>
        </w:rPr>
        <w:t>The Antitrust Laws of the United States</w:t>
      </w:r>
      <w:r w:rsidRPr="003D62FE">
        <w:rPr>
          <w:rFonts w:ascii="Times New Roman" w:eastAsia="Arial Narrow" w:hAnsi="Times New Roman" w:cs="Times New Roman"/>
          <w:color w:val="000000"/>
          <w:sz w:val="24"/>
          <w:szCs w:val="24"/>
        </w:rPr>
        <w:t xml:space="preserve"> to illustrate and analyze court decisions in the United States relating to cases of denial of access to competitors by dominant and integrated business actors in the market. The principal or basic idea of ​​a US court decision concerning thedoctrine </w:t>
      </w:r>
      <w:r w:rsidRPr="003D62FE">
        <w:rPr>
          <w:rFonts w:ascii="Times New Roman" w:eastAsia="Arial Narrow" w:hAnsi="Times New Roman" w:cs="Times New Roman"/>
          <w:i/>
          <w:color w:val="000000"/>
          <w:sz w:val="24"/>
          <w:szCs w:val="24"/>
        </w:rPr>
        <w:t xml:space="preserve">essential facility </w:t>
      </w:r>
      <w:r w:rsidRPr="003D62FE">
        <w:rPr>
          <w:rFonts w:ascii="Times New Roman" w:eastAsia="Arial Narrow" w:hAnsi="Times New Roman" w:cs="Times New Roman"/>
          <w:color w:val="000000"/>
          <w:sz w:val="24"/>
          <w:szCs w:val="24"/>
        </w:rPr>
        <w:t xml:space="preserve">becomes reference and developed by a business competition breaker in other countries. </w:t>
      </w:r>
      <w:r w:rsidRPr="003D62FE">
        <w:rPr>
          <w:rFonts w:ascii="Times New Roman" w:eastAsia="Arial Narrow" w:hAnsi="Times New Roman" w:cs="Times New Roman"/>
          <w:color w:val="000000"/>
          <w:sz w:val="24"/>
          <w:szCs w:val="24"/>
          <w:vertAlign w:val="superscript"/>
        </w:rPr>
        <w:footnoteReference w:id="2"/>
      </w:r>
    </w:p>
    <w:p w:rsidR="0074421F" w:rsidRPr="003D62FE" w:rsidRDefault="0074421F" w:rsidP="0074421F">
      <w:pPr>
        <w:pStyle w:val="Normal1"/>
        <w:spacing w:after="0" w:line="360" w:lineRule="auto"/>
        <w:ind w:firstLine="720"/>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When the problem of </w:t>
      </w:r>
      <w:r w:rsidRPr="003D62FE">
        <w:rPr>
          <w:rFonts w:ascii="Times New Roman" w:eastAsia="Arial Narrow" w:hAnsi="Times New Roman" w:cs="Times New Roman"/>
          <w:i/>
          <w:sz w:val="24"/>
          <w:szCs w:val="24"/>
        </w:rPr>
        <w:t>essensial facilities</w:t>
      </w:r>
      <w:r w:rsidRPr="003D62FE">
        <w:rPr>
          <w:rFonts w:ascii="Times New Roman" w:eastAsia="Arial Narrow" w:hAnsi="Times New Roman" w:cs="Times New Roman"/>
          <w:sz w:val="24"/>
          <w:szCs w:val="24"/>
        </w:rPr>
        <w:t xml:space="preserve"> occur then the obvious impact of the disadvantaged is the community as consumers. Completion of business law has a goal to create peace in conducting business activities, will also give strict sanctions to those who violate the rules of business law. The </w:t>
      </w:r>
      <w:r w:rsidRPr="003D62FE">
        <w:rPr>
          <w:rFonts w:ascii="Times New Roman" w:eastAsia="Arial Narrow" w:hAnsi="Times New Roman" w:cs="Times New Roman"/>
          <w:sz w:val="24"/>
          <w:szCs w:val="24"/>
        </w:rPr>
        <w:lastRenderedPageBreak/>
        <w:t xml:space="preserve">provision of this sanction to provide assurance for the existence of legal certainty and justice in the hope that the community will be convinced that the existence of business law is really useful and can protect the community as a consumer. </w:t>
      </w:r>
    </w:p>
    <w:p w:rsidR="0074421F" w:rsidRPr="003D62FE" w:rsidRDefault="0074421F" w:rsidP="0074421F">
      <w:pPr>
        <w:pStyle w:val="Normal1"/>
        <w:pBdr>
          <w:top w:val="nil"/>
          <w:left w:val="nil"/>
          <w:bottom w:val="nil"/>
          <w:right w:val="nil"/>
          <w:between w:val="nil"/>
        </w:pBdr>
        <w:spacing w:after="0" w:line="360" w:lineRule="auto"/>
        <w:ind w:firstLine="567"/>
        <w:jc w:val="both"/>
        <w:rPr>
          <w:rFonts w:ascii="Times New Roman" w:eastAsia="Arial Narrow" w:hAnsi="Times New Roman" w:cs="Times New Roman"/>
          <w:color w:val="000000"/>
          <w:sz w:val="24"/>
          <w:szCs w:val="24"/>
          <w:lang w:val="en-US"/>
        </w:rPr>
      </w:pPr>
      <w:r w:rsidRPr="003D62FE">
        <w:rPr>
          <w:rFonts w:ascii="Times New Roman" w:eastAsia="Arial Narrow" w:hAnsi="Times New Roman" w:cs="Times New Roman"/>
          <w:color w:val="000000"/>
          <w:sz w:val="24"/>
          <w:szCs w:val="24"/>
        </w:rPr>
        <w:t>The method used in this research is normative juridical research method. Normative Juridical Method of Research is a method of legal research based on the rules or legal norms contained in legislation.</w:t>
      </w:r>
      <w:r w:rsidRPr="003D62FE">
        <w:rPr>
          <w:rFonts w:ascii="Times New Roman" w:eastAsia="Arial Narrow" w:hAnsi="Times New Roman" w:cs="Times New Roman"/>
          <w:color w:val="000000"/>
          <w:sz w:val="24"/>
          <w:szCs w:val="24"/>
          <w:vertAlign w:val="superscript"/>
        </w:rPr>
        <w:footnoteReference w:id="3"/>
      </w:r>
      <w:r w:rsidRPr="003D62FE">
        <w:rPr>
          <w:rFonts w:ascii="Times New Roman" w:eastAsia="Arial Narrow" w:hAnsi="Times New Roman" w:cs="Times New Roman"/>
          <w:color w:val="000000"/>
          <w:sz w:val="24"/>
          <w:szCs w:val="24"/>
        </w:rPr>
        <w:t xml:space="preserve"> The behavior of the community studied is the behavior arising from interacting with the existing norm system.</w:t>
      </w:r>
      <w:r w:rsidRPr="003D62FE">
        <w:rPr>
          <w:rFonts w:ascii="Times New Roman" w:eastAsia="Arial Narrow" w:hAnsi="Times New Roman" w:cs="Times New Roman"/>
          <w:color w:val="000000"/>
          <w:sz w:val="24"/>
          <w:szCs w:val="24"/>
          <w:vertAlign w:val="superscript"/>
        </w:rPr>
        <w:footnoteReference w:id="4"/>
      </w:r>
      <w:r w:rsidRPr="003D62FE">
        <w:rPr>
          <w:rFonts w:ascii="Times New Roman" w:eastAsia="Arial Narrow" w:hAnsi="Times New Roman" w:cs="Times New Roman"/>
          <w:color w:val="000000"/>
          <w:sz w:val="24"/>
          <w:szCs w:val="24"/>
        </w:rPr>
        <w:t xml:space="preserve"> Such behavior can be observed clearly and is evidence of whether or not the citizens have behaved in accordance with the normative legal provisions (codification or law).</w:t>
      </w:r>
      <w:r w:rsidRPr="003D62FE">
        <w:rPr>
          <w:rFonts w:ascii="Times New Roman" w:eastAsia="Arial Narrow" w:hAnsi="Times New Roman" w:cs="Times New Roman"/>
          <w:color w:val="000000"/>
          <w:sz w:val="24"/>
          <w:szCs w:val="24"/>
          <w:vertAlign w:val="superscript"/>
        </w:rPr>
        <w:footnoteReference w:id="5"/>
      </w:r>
      <w:r w:rsidRPr="003D62FE">
        <w:rPr>
          <w:rFonts w:ascii="Times New Roman" w:eastAsia="Arial Narrow" w:hAnsi="Times New Roman" w:cs="Times New Roman"/>
          <w:color w:val="000000"/>
          <w:sz w:val="24"/>
          <w:szCs w:val="24"/>
        </w:rPr>
        <w:t xml:space="preserve"> </w:t>
      </w:r>
    </w:p>
    <w:p w:rsidR="0074421F" w:rsidRPr="003D62FE" w:rsidRDefault="0074421F" w:rsidP="0074421F">
      <w:pPr>
        <w:pStyle w:val="Normal1"/>
        <w:spacing w:after="0" w:line="360" w:lineRule="auto"/>
        <w:jc w:val="both"/>
        <w:outlineLvl w:val="0"/>
        <w:rPr>
          <w:rFonts w:ascii="Times New Roman" w:eastAsia="Arial Narrow" w:hAnsi="Times New Roman" w:cs="Times New Roman"/>
          <w:b/>
          <w:sz w:val="24"/>
          <w:szCs w:val="24"/>
        </w:rPr>
      </w:pPr>
      <w:r w:rsidRPr="003D62FE">
        <w:rPr>
          <w:rFonts w:ascii="Times New Roman" w:eastAsia="Arial Narrow" w:hAnsi="Times New Roman" w:cs="Times New Roman"/>
          <w:b/>
          <w:sz w:val="24"/>
          <w:szCs w:val="24"/>
        </w:rPr>
        <w:t>Method of reserach</w:t>
      </w:r>
    </w:p>
    <w:p w:rsidR="0074421F" w:rsidRPr="003D62FE" w:rsidRDefault="0074421F" w:rsidP="0074421F">
      <w:pPr>
        <w:pStyle w:val="Normal1"/>
        <w:pBdr>
          <w:top w:val="nil"/>
          <w:left w:val="nil"/>
          <w:bottom w:val="nil"/>
          <w:right w:val="nil"/>
          <w:between w:val="nil"/>
        </w:pBdr>
        <w:spacing w:after="0" w:line="360" w:lineRule="auto"/>
        <w:ind w:firstLine="567"/>
        <w:jc w:val="both"/>
        <w:rPr>
          <w:rFonts w:ascii="Times New Roman" w:eastAsia="Arial Narrow" w:hAnsi="Times New Roman" w:cs="Times New Roman"/>
          <w:color w:val="000000"/>
          <w:sz w:val="24"/>
          <w:szCs w:val="24"/>
        </w:rPr>
      </w:pPr>
      <w:r w:rsidRPr="003D62FE">
        <w:rPr>
          <w:rFonts w:ascii="Times New Roman" w:eastAsia="Arial Narrow" w:hAnsi="Times New Roman" w:cs="Times New Roman"/>
          <w:color w:val="000000"/>
          <w:sz w:val="24"/>
          <w:szCs w:val="24"/>
        </w:rPr>
        <w:t>In relation to normative juridical research, several approaches are used:</w:t>
      </w:r>
      <w:r w:rsidRPr="003D62FE">
        <w:rPr>
          <w:rFonts w:ascii="Times New Roman" w:eastAsia="Arial Narrow" w:hAnsi="Times New Roman" w:cs="Times New Roman"/>
          <w:i/>
          <w:color w:val="000000"/>
          <w:sz w:val="24"/>
          <w:szCs w:val="24"/>
        </w:rPr>
        <w:t>statute approach</w:t>
      </w:r>
      <w:r w:rsidRPr="003D62FE">
        <w:rPr>
          <w:rFonts w:ascii="Times New Roman" w:eastAsia="Arial Narrow" w:hAnsi="Times New Roman" w:cs="Times New Roman"/>
          <w:color w:val="000000"/>
          <w:sz w:val="24"/>
          <w:szCs w:val="24"/>
        </w:rPr>
        <w:t xml:space="preserve">, </w:t>
      </w:r>
      <w:r w:rsidRPr="003D62FE">
        <w:rPr>
          <w:rFonts w:ascii="Times New Roman" w:eastAsia="Arial Narrow" w:hAnsi="Times New Roman" w:cs="Times New Roman"/>
          <w:i/>
          <w:color w:val="000000"/>
          <w:sz w:val="24"/>
          <w:szCs w:val="24"/>
        </w:rPr>
        <w:lastRenderedPageBreak/>
        <w:t>conceptual approach</w:t>
      </w:r>
      <w:r w:rsidRPr="003D62FE">
        <w:rPr>
          <w:rFonts w:ascii="Times New Roman" w:eastAsia="Arial Narrow" w:hAnsi="Times New Roman" w:cs="Times New Roman"/>
          <w:color w:val="000000"/>
          <w:sz w:val="24"/>
          <w:szCs w:val="24"/>
        </w:rPr>
        <w:t xml:space="preserve">and </w:t>
      </w:r>
      <w:r w:rsidRPr="003D62FE">
        <w:rPr>
          <w:rFonts w:ascii="Times New Roman" w:eastAsia="Arial Narrow" w:hAnsi="Times New Roman" w:cs="Times New Roman"/>
          <w:i/>
          <w:color w:val="000000"/>
          <w:sz w:val="24"/>
          <w:szCs w:val="24"/>
        </w:rPr>
        <w:t>comparative approach</w:t>
      </w:r>
      <w:r w:rsidRPr="003D62FE">
        <w:rPr>
          <w:rFonts w:ascii="Times New Roman" w:eastAsia="Arial Narrow" w:hAnsi="Times New Roman" w:cs="Times New Roman"/>
          <w:color w:val="000000"/>
          <w:sz w:val="24"/>
          <w:szCs w:val="24"/>
        </w:rPr>
        <w:t>.</w:t>
      </w:r>
    </w:p>
    <w:p w:rsidR="0074421F" w:rsidRPr="003D62FE" w:rsidRDefault="0074421F" w:rsidP="0074421F">
      <w:pPr>
        <w:pStyle w:val="Normal1"/>
        <w:numPr>
          <w:ilvl w:val="0"/>
          <w:numId w:val="6"/>
        </w:numPr>
        <w:pBdr>
          <w:top w:val="nil"/>
          <w:left w:val="nil"/>
          <w:bottom w:val="nil"/>
          <w:right w:val="nil"/>
          <w:between w:val="nil"/>
        </w:pBdr>
        <w:spacing w:after="0" w:line="360" w:lineRule="auto"/>
        <w:ind w:left="426" w:hanging="284"/>
        <w:contextualSpacing/>
        <w:jc w:val="both"/>
        <w:rPr>
          <w:rFonts w:ascii="Times New Roman" w:eastAsia="Arial Narrow" w:hAnsi="Times New Roman" w:cs="Times New Roman"/>
          <w:sz w:val="24"/>
          <w:szCs w:val="24"/>
        </w:rPr>
      </w:pPr>
      <w:r w:rsidRPr="003D62FE">
        <w:rPr>
          <w:rFonts w:ascii="Times New Roman" w:eastAsia="Arial Narrow" w:hAnsi="Times New Roman" w:cs="Times New Roman"/>
          <w:color w:val="000000"/>
          <w:sz w:val="24"/>
          <w:szCs w:val="24"/>
        </w:rPr>
        <w:t xml:space="preserve">The Statutory </w:t>
      </w:r>
      <w:r w:rsidRPr="003D62FE">
        <w:rPr>
          <w:rFonts w:ascii="Times New Roman" w:eastAsia="Arial Narrow" w:hAnsi="Times New Roman" w:cs="Times New Roman"/>
          <w:i/>
          <w:color w:val="000000"/>
          <w:sz w:val="24"/>
          <w:szCs w:val="24"/>
        </w:rPr>
        <w:t>Approach.</w:t>
      </w:r>
      <w:r w:rsidRPr="003D62FE">
        <w:rPr>
          <w:rFonts w:ascii="Times New Roman" w:eastAsia="Arial Narrow" w:hAnsi="Times New Roman" w:cs="Times New Roman"/>
          <w:color w:val="000000"/>
          <w:sz w:val="24"/>
          <w:szCs w:val="24"/>
        </w:rPr>
        <w:t xml:space="preserve"> </w:t>
      </w:r>
    </w:p>
    <w:p w:rsidR="0074421F" w:rsidRPr="003D62FE" w:rsidRDefault="0074421F" w:rsidP="0074421F">
      <w:pPr>
        <w:pStyle w:val="Normal1"/>
        <w:pBdr>
          <w:top w:val="nil"/>
          <w:left w:val="nil"/>
          <w:bottom w:val="nil"/>
          <w:right w:val="nil"/>
          <w:between w:val="nil"/>
        </w:pBdr>
        <w:spacing w:after="0" w:line="360" w:lineRule="auto"/>
        <w:ind w:left="-436"/>
        <w:jc w:val="both"/>
        <w:rPr>
          <w:rFonts w:ascii="Times New Roman" w:eastAsia="Arial Narrow" w:hAnsi="Times New Roman" w:cs="Times New Roman"/>
          <w:color w:val="000000"/>
          <w:sz w:val="24"/>
          <w:szCs w:val="24"/>
        </w:rPr>
      </w:pPr>
      <w:r w:rsidRPr="003D62FE">
        <w:rPr>
          <w:rFonts w:ascii="Times New Roman" w:eastAsia="Arial Narrow" w:hAnsi="Times New Roman" w:cs="Times New Roman"/>
          <w:color w:val="000000"/>
          <w:sz w:val="24"/>
          <w:szCs w:val="24"/>
        </w:rPr>
        <w:t xml:space="preserve">This approach is used in conjunction with the legal regulations governing the prohibition of monopolistic practices and unfair business competition and institutions having the authority to enforce competition law. </w:t>
      </w:r>
    </w:p>
    <w:p w:rsidR="0074421F" w:rsidRPr="003D62FE" w:rsidRDefault="0074421F" w:rsidP="0074421F">
      <w:pPr>
        <w:pStyle w:val="Normal1"/>
        <w:numPr>
          <w:ilvl w:val="0"/>
          <w:numId w:val="6"/>
        </w:numPr>
        <w:pBdr>
          <w:top w:val="nil"/>
          <w:left w:val="nil"/>
          <w:bottom w:val="nil"/>
          <w:right w:val="nil"/>
          <w:between w:val="nil"/>
        </w:pBdr>
        <w:spacing w:after="0" w:line="360" w:lineRule="auto"/>
        <w:ind w:left="284" w:hanging="284"/>
        <w:contextualSpacing/>
        <w:jc w:val="both"/>
        <w:rPr>
          <w:rFonts w:ascii="Times New Roman" w:eastAsia="Arial Narrow" w:hAnsi="Times New Roman" w:cs="Times New Roman"/>
          <w:sz w:val="24"/>
          <w:szCs w:val="24"/>
        </w:rPr>
      </w:pPr>
      <w:r w:rsidRPr="003D62FE">
        <w:rPr>
          <w:rFonts w:ascii="Times New Roman" w:eastAsia="Arial Narrow" w:hAnsi="Times New Roman" w:cs="Times New Roman"/>
          <w:color w:val="000000"/>
          <w:sz w:val="24"/>
          <w:szCs w:val="24"/>
        </w:rPr>
        <w:t xml:space="preserve">Conceptual Approach </w:t>
      </w:r>
      <w:r w:rsidRPr="003D62FE">
        <w:rPr>
          <w:rFonts w:ascii="Times New Roman" w:eastAsia="Arial Narrow" w:hAnsi="Times New Roman" w:cs="Times New Roman"/>
          <w:i/>
          <w:color w:val="000000"/>
          <w:sz w:val="24"/>
          <w:szCs w:val="24"/>
        </w:rPr>
        <w:t>(Conceptual</w:t>
      </w:r>
      <w:r w:rsidRPr="003D62FE">
        <w:rPr>
          <w:rFonts w:ascii="Times New Roman" w:eastAsia="Arial Narrow" w:hAnsi="Times New Roman" w:cs="Times New Roman"/>
          <w:color w:val="000000"/>
          <w:sz w:val="24"/>
          <w:szCs w:val="24"/>
        </w:rPr>
        <w:t xml:space="preserve">Approach). </w:t>
      </w:r>
    </w:p>
    <w:p w:rsidR="0074421F" w:rsidRPr="003D62FE" w:rsidRDefault="0074421F" w:rsidP="0074421F">
      <w:pPr>
        <w:pStyle w:val="Normal1"/>
        <w:pBdr>
          <w:top w:val="nil"/>
          <w:left w:val="nil"/>
          <w:bottom w:val="nil"/>
          <w:right w:val="nil"/>
          <w:between w:val="nil"/>
        </w:pBdr>
        <w:spacing w:after="0" w:line="360" w:lineRule="auto"/>
        <w:ind w:left="284" w:hanging="720"/>
        <w:jc w:val="both"/>
        <w:rPr>
          <w:rFonts w:ascii="Times New Roman" w:eastAsia="Arial Narrow" w:hAnsi="Times New Roman" w:cs="Times New Roman"/>
          <w:color w:val="000000"/>
          <w:sz w:val="24"/>
          <w:szCs w:val="24"/>
        </w:rPr>
      </w:pPr>
      <w:r w:rsidRPr="003D62FE">
        <w:rPr>
          <w:rFonts w:ascii="Times New Roman" w:eastAsia="Arial Narrow" w:hAnsi="Times New Roman" w:cs="Times New Roman"/>
          <w:color w:val="000000"/>
          <w:sz w:val="24"/>
          <w:szCs w:val="24"/>
        </w:rPr>
        <w:t xml:space="preserve">This approach is used in conjunction with legal concepts governing the prohibitions to be considered by business entities in relation to the control of </w:t>
      </w:r>
      <w:r w:rsidRPr="003D62FE">
        <w:rPr>
          <w:rFonts w:ascii="Times New Roman" w:eastAsia="Arial Narrow" w:hAnsi="Times New Roman" w:cs="Times New Roman"/>
          <w:i/>
          <w:color w:val="000000"/>
          <w:sz w:val="24"/>
          <w:szCs w:val="24"/>
        </w:rPr>
        <w:t>essential facilities in</w:t>
      </w:r>
      <w:r w:rsidRPr="003D62FE">
        <w:rPr>
          <w:rFonts w:ascii="Times New Roman" w:eastAsia="Arial Narrow" w:hAnsi="Times New Roman" w:cs="Times New Roman"/>
          <w:color w:val="000000"/>
          <w:sz w:val="24"/>
          <w:szCs w:val="24"/>
        </w:rPr>
        <w:t xml:space="preserve"> order to ensure fair market mechanisms and to provide benefits to the general welfare. </w:t>
      </w:r>
    </w:p>
    <w:p w:rsidR="0074421F" w:rsidRPr="003D62FE" w:rsidRDefault="0074421F" w:rsidP="0074421F">
      <w:pPr>
        <w:pStyle w:val="Normal1"/>
        <w:numPr>
          <w:ilvl w:val="0"/>
          <w:numId w:val="6"/>
        </w:numPr>
        <w:pBdr>
          <w:top w:val="nil"/>
          <w:left w:val="nil"/>
          <w:bottom w:val="nil"/>
          <w:right w:val="nil"/>
          <w:between w:val="nil"/>
        </w:pBdr>
        <w:spacing w:after="0" w:line="360" w:lineRule="auto"/>
        <w:ind w:left="284" w:hanging="294"/>
        <w:contextualSpacing/>
        <w:jc w:val="both"/>
        <w:rPr>
          <w:rFonts w:ascii="Times New Roman" w:eastAsia="Arial Narrow" w:hAnsi="Times New Roman" w:cs="Times New Roman"/>
          <w:sz w:val="24"/>
          <w:szCs w:val="24"/>
        </w:rPr>
      </w:pPr>
      <w:r w:rsidRPr="003D62FE">
        <w:rPr>
          <w:rFonts w:ascii="Times New Roman" w:eastAsia="Arial Narrow" w:hAnsi="Times New Roman" w:cs="Times New Roman"/>
          <w:color w:val="000000"/>
          <w:sz w:val="24"/>
          <w:szCs w:val="24"/>
        </w:rPr>
        <w:t xml:space="preserve">Comparative Approach </w:t>
      </w:r>
      <w:r w:rsidRPr="003D62FE">
        <w:rPr>
          <w:rFonts w:ascii="Times New Roman" w:eastAsia="Arial Narrow" w:hAnsi="Times New Roman" w:cs="Times New Roman"/>
          <w:i/>
          <w:color w:val="000000"/>
          <w:sz w:val="24"/>
          <w:szCs w:val="24"/>
        </w:rPr>
        <w:t>(Comparative Approach).</w:t>
      </w:r>
      <w:r w:rsidRPr="003D62FE">
        <w:rPr>
          <w:rFonts w:ascii="Times New Roman" w:eastAsia="Arial Narrow" w:hAnsi="Times New Roman" w:cs="Times New Roman"/>
          <w:color w:val="000000"/>
          <w:sz w:val="24"/>
          <w:szCs w:val="24"/>
        </w:rPr>
        <w:t xml:space="preserve"> </w:t>
      </w:r>
    </w:p>
    <w:p w:rsidR="0074421F" w:rsidRDefault="0074421F" w:rsidP="0074421F">
      <w:pPr>
        <w:pStyle w:val="Normal1"/>
        <w:pBdr>
          <w:top w:val="nil"/>
          <w:left w:val="nil"/>
          <w:bottom w:val="nil"/>
          <w:right w:val="nil"/>
          <w:between w:val="nil"/>
        </w:pBdr>
        <w:spacing w:after="0" w:line="360" w:lineRule="auto"/>
        <w:ind w:left="284" w:hanging="720"/>
        <w:jc w:val="both"/>
        <w:rPr>
          <w:rFonts w:ascii="Times New Roman" w:eastAsia="Arial Narrow" w:hAnsi="Times New Roman" w:cs="Times New Roman"/>
          <w:color w:val="000000"/>
          <w:sz w:val="24"/>
          <w:szCs w:val="24"/>
          <w:lang w:val="en-US"/>
        </w:rPr>
      </w:pPr>
      <w:r w:rsidRPr="003D62FE">
        <w:rPr>
          <w:rFonts w:ascii="Times New Roman" w:eastAsia="Arial Narrow" w:hAnsi="Times New Roman" w:cs="Times New Roman"/>
          <w:color w:val="000000"/>
          <w:sz w:val="24"/>
          <w:szCs w:val="24"/>
        </w:rPr>
        <w:t>This comparative approach is used as a tool for legal dogmatics which has the function of considering arrangements and settlements based on other legal arrangements.</w:t>
      </w:r>
      <w:r w:rsidRPr="003D62FE">
        <w:rPr>
          <w:rFonts w:ascii="Times New Roman" w:eastAsia="Arial Narrow" w:hAnsi="Times New Roman" w:cs="Times New Roman"/>
          <w:color w:val="000000"/>
          <w:sz w:val="24"/>
          <w:szCs w:val="24"/>
          <w:vertAlign w:val="superscript"/>
        </w:rPr>
        <w:footnoteReference w:id="6"/>
      </w:r>
      <w:r w:rsidRPr="003D62FE">
        <w:rPr>
          <w:rFonts w:ascii="Times New Roman" w:eastAsia="Arial Narrow" w:hAnsi="Times New Roman" w:cs="Times New Roman"/>
          <w:color w:val="000000"/>
          <w:sz w:val="24"/>
          <w:szCs w:val="24"/>
        </w:rPr>
        <w:t xml:space="preserve"> Comparative approach in this study uses micro </w:t>
      </w:r>
      <w:r w:rsidRPr="003D62FE">
        <w:rPr>
          <w:rFonts w:ascii="Times New Roman" w:eastAsia="Arial Narrow" w:hAnsi="Times New Roman" w:cs="Times New Roman"/>
          <w:color w:val="000000"/>
          <w:sz w:val="24"/>
          <w:szCs w:val="24"/>
        </w:rPr>
        <w:lastRenderedPageBreak/>
        <w:t xml:space="preserve">comparison in order to compare the content and implementation of competition law in other countries, especially the United States and European Communities ("EC") with limited to the scope of Law Number 5 Year 1999. Library research conducted on elements that can than specifically the rules and implementation of competition law related to the existence of a monopoly over the </w:t>
      </w:r>
      <w:r w:rsidRPr="003D62FE">
        <w:rPr>
          <w:rFonts w:ascii="Times New Roman" w:eastAsia="Arial Narrow" w:hAnsi="Times New Roman" w:cs="Times New Roman"/>
          <w:i/>
          <w:color w:val="000000"/>
          <w:sz w:val="24"/>
          <w:szCs w:val="24"/>
        </w:rPr>
        <w:t>essential facility</w:t>
      </w:r>
      <w:r w:rsidRPr="003D62FE">
        <w:rPr>
          <w:rFonts w:ascii="Times New Roman" w:eastAsia="Arial Narrow" w:hAnsi="Times New Roman" w:cs="Times New Roman"/>
          <w:color w:val="000000"/>
          <w:sz w:val="24"/>
          <w:szCs w:val="24"/>
        </w:rPr>
        <w:t>.</w:t>
      </w:r>
    </w:p>
    <w:p w:rsidR="0074421F" w:rsidRPr="003D62FE" w:rsidRDefault="0074421F" w:rsidP="0074421F">
      <w:pPr>
        <w:pStyle w:val="Normal1"/>
        <w:pBdr>
          <w:top w:val="nil"/>
          <w:left w:val="nil"/>
          <w:bottom w:val="nil"/>
          <w:right w:val="nil"/>
          <w:between w:val="nil"/>
        </w:pBdr>
        <w:spacing w:after="0" w:line="360" w:lineRule="auto"/>
        <w:ind w:left="284" w:hanging="720"/>
        <w:jc w:val="both"/>
        <w:rPr>
          <w:rFonts w:ascii="Times New Roman" w:eastAsia="Arial Narrow" w:hAnsi="Times New Roman" w:cs="Times New Roman"/>
          <w:color w:val="000000"/>
          <w:sz w:val="24"/>
          <w:szCs w:val="24"/>
          <w:lang w:val="en-US"/>
        </w:rPr>
      </w:pPr>
    </w:p>
    <w:p w:rsidR="0074421F" w:rsidRDefault="0074421F" w:rsidP="0074421F">
      <w:pPr>
        <w:pStyle w:val="HTMLPreformatted"/>
        <w:shd w:val="clear" w:color="auto" w:fill="FFFFFF"/>
        <w:rPr>
          <w:rFonts w:ascii="Times New Roman" w:hAnsi="Times New Roman" w:cs="Times New Roman"/>
          <w:b/>
          <w:sz w:val="24"/>
          <w:szCs w:val="24"/>
          <w:lang/>
        </w:rPr>
      </w:pPr>
      <w:r w:rsidRPr="003D62FE">
        <w:rPr>
          <w:rFonts w:ascii="Times New Roman" w:hAnsi="Times New Roman" w:cs="Times New Roman"/>
          <w:b/>
          <w:sz w:val="24"/>
          <w:szCs w:val="24"/>
          <w:lang/>
        </w:rPr>
        <w:t>Discussion</w:t>
      </w:r>
    </w:p>
    <w:p w:rsidR="0074421F" w:rsidRPr="003D62FE" w:rsidRDefault="0074421F" w:rsidP="0074421F">
      <w:pPr>
        <w:pStyle w:val="HTMLPreformatted"/>
        <w:shd w:val="clear" w:color="auto" w:fill="FFFFFF"/>
        <w:rPr>
          <w:rFonts w:ascii="Times New Roman" w:hAnsi="Times New Roman" w:cs="Times New Roman"/>
          <w:b/>
          <w:sz w:val="24"/>
          <w:szCs w:val="24"/>
          <w:lang/>
        </w:rPr>
      </w:pPr>
    </w:p>
    <w:p w:rsidR="0074421F" w:rsidRPr="003D62FE" w:rsidRDefault="0074421F" w:rsidP="0074421F">
      <w:pPr>
        <w:pStyle w:val="Normal1"/>
        <w:pBdr>
          <w:top w:val="nil"/>
          <w:left w:val="nil"/>
          <w:bottom w:val="nil"/>
          <w:right w:val="nil"/>
          <w:between w:val="nil"/>
        </w:pBdr>
        <w:spacing w:after="0" w:line="360" w:lineRule="auto"/>
        <w:ind w:left="284"/>
        <w:jc w:val="both"/>
        <w:rPr>
          <w:rFonts w:ascii="Times New Roman" w:eastAsia="Arial Narrow" w:hAnsi="Times New Roman" w:cs="Times New Roman"/>
          <w:color w:val="000000"/>
          <w:sz w:val="24"/>
          <w:szCs w:val="24"/>
        </w:rPr>
      </w:pPr>
      <w:r w:rsidRPr="003D62FE">
        <w:rPr>
          <w:rFonts w:ascii="Times New Roman" w:eastAsia="Arial Narrow" w:hAnsi="Times New Roman" w:cs="Times New Roman"/>
          <w:b/>
          <w:color w:val="000000"/>
          <w:sz w:val="24"/>
          <w:szCs w:val="24"/>
        </w:rPr>
        <w:t xml:space="preserve">History of Development </w:t>
      </w:r>
      <w:r w:rsidRPr="003D62FE">
        <w:rPr>
          <w:rFonts w:ascii="Times New Roman" w:eastAsia="Arial Narrow" w:hAnsi="Times New Roman" w:cs="Times New Roman"/>
          <w:b/>
          <w:i/>
          <w:color w:val="000000"/>
          <w:sz w:val="24"/>
          <w:szCs w:val="24"/>
        </w:rPr>
        <w:t>essential facilities</w:t>
      </w:r>
      <w:r w:rsidRPr="003D62FE">
        <w:rPr>
          <w:rFonts w:ascii="Times New Roman" w:eastAsia="Arial Narrow" w:hAnsi="Times New Roman" w:cs="Times New Roman"/>
          <w:color w:val="000000"/>
          <w:sz w:val="24"/>
          <w:szCs w:val="24"/>
        </w:rPr>
        <w:t xml:space="preserve"> in</w:t>
      </w:r>
      <w:r w:rsidRPr="003D62FE">
        <w:rPr>
          <w:rFonts w:ascii="Times New Roman" w:eastAsia="Arial Narrow" w:hAnsi="Times New Roman" w:cs="Times New Roman"/>
          <w:b/>
          <w:color w:val="000000"/>
          <w:sz w:val="24"/>
          <w:szCs w:val="24"/>
        </w:rPr>
        <w:t>United States</w:t>
      </w:r>
    </w:p>
    <w:p w:rsidR="0074421F" w:rsidRPr="003D62FE" w:rsidRDefault="0074421F" w:rsidP="0074421F">
      <w:pPr>
        <w:pStyle w:val="Normal1"/>
        <w:pBdr>
          <w:top w:val="nil"/>
          <w:left w:val="nil"/>
          <w:bottom w:val="nil"/>
          <w:right w:val="nil"/>
          <w:between w:val="nil"/>
        </w:pBdr>
        <w:spacing w:after="0" w:line="360" w:lineRule="auto"/>
        <w:ind w:left="284" w:firstLine="425"/>
        <w:jc w:val="both"/>
        <w:rPr>
          <w:rFonts w:ascii="Times New Roman" w:eastAsia="Arial Narrow" w:hAnsi="Times New Roman" w:cs="Times New Roman"/>
          <w:b/>
          <w:color w:val="000000"/>
          <w:sz w:val="24"/>
          <w:szCs w:val="24"/>
        </w:rPr>
      </w:pPr>
      <w:r w:rsidRPr="003D62FE">
        <w:rPr>
          <w:rFonts w:ascii="Times New Roman" w:eastAsia="Arial Narrow" w:hAnsi="Times New Roman" w:cs="Times New Roman"/>
          <w:color w:val="000000"/>
          <w:sz w:val="24"/>
          <w:szCs w:val="24"/>
        </w:rPr>
        <w:t xml:space="preserve">In general cases of business competition in the United States related to </w:t>
      </w:r>
      <w:r w:rsidRPr="003D62FE">
        <w:rPr>
          <w:rFonts w:ascii="Times New Roman" w:eastAsia="Arial Narrow" w:hAnsi="Times New Roman" w:cs="Times New Roman"/>
          <w:i/>
          <w:color w:val="000000"/>
          <w:sz w:val="24"/>
          <w:szCs w:val="24"/>
        </w:rPr>
        <w:t>essential facilities</w:t>
      </w:r>
      <w:r w:rsidRPr="003D62FE">
        <w:rPr>
          <w:rFonts w:ascii="Times New Roman" w:eastAsia="Arial Narrow" w:hAnsi="Times New Roman" w:cs="Times New Roman"/>
          <w:color w:val="000000"/>
          <w:sz w:val="24"/>
          <w:szCs w:val="24"/>
        </w:rPr>
        <w:t xml:space="preserve"> can be described among others as follows:</w:t>
      </w:r>
      <w:r w:rsidRPr="003D62FE">
        <w:rPr>
          <w:rFonts w:ascii="Times New Roman" w:eastAsia="Arial Narrow" w:hAnsi="Times New Roman" w:cs="Times New Roman"/>
          <w:color w:val="000000"/>
          <w:sz w:val="24"/>
          <w:szCs w:val="24"/>
          <w:vertAlign w:val="superscript"/>
        </w:rPr>
        <w:footnoteReference w:id="7"/>
      </w:r>
    </w:p>
    <w:p w:rsidR="0074421F" w:rsidRPr="003D62FE" w:rsidRDefault="0074421F" w:rsidP="0074421F">
      <w:pPr>
        <w:pStyle w:val="Normal1"/>
        <w:numPr>
          <w:ilvl w:val="0"/>
          <w:numId w:val="7"/>
        </w:numPr>
        <w:spacing w:after="0" w:line="360" w:lineRule="auto"/>
        <w:ind w:left="709" w:right="425"/>
        <w:contextualSpacing/>
        <w:jc w:val="both"/>
        <w:rPr>
          <w:rFonts w:ascii="Times New Roman" w:eastAsia="Arial Narrow" w:hAnsi="Times New Roman" w:cs="Times New Roman"/>
          <w:b/>
          <w:sz w:val="24"/>
          <w:szCs w:val="24"/>
        </w:rPr>
      </w:pP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b/>
          <w:sz w:val="24"/>
          <w:szCs w:val="24"/>
        </w:rPr>
        <w:t>Terminroad Railroad Ass'n v. United States</w:t>
      </w:r>
    </w:p>
    <w:p w:rsidR="0074421F" w:rsidRPr="003D62FE" w:rsidRDefault="0074421F" w:rsidP="0074421F">
      <w:pPr>
        <w:pStyle w:val="Normal1"/>
        <w:spacing w:after="0" w:line="360" w:lineRule="auto"/>
        <w:ind w:left="709" w:right="425" w:firstLine="720"/>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This case originated from an agreement made by a </w:t>
      </w:r>
      <w:r w:rsidRPr="003D62FE">
        <w:rPr>
          <w:rFonts w:ascii="Times New Roman" w:eastAsia="Arial Narrow" w:hAnsi="Times New Roman" w:cs="Times New Roman"/>
          <w:sz w:val="24"/>
          <w:szCs w:val="24"/>
        </w:rPr>
        <w:lastRenderedPageBreak/>
        <w:t xml:space="preserve">group of companies engaged in the field of rail infrastructure in St. Louis. Luis in 1889. The agreement was to incorporate the railway terminals owned by several companies so that a unified railway system was built along and across the Misissipi River. This agreement causes other companies not to access St. Luis, due to causing unnatural obstacles to other business actors who did not participate in the agreement to access St. Luis  </w:t>
      </w:r>
    </w:p>
    <w:p w:rsidR="0074421F" w:rsidRPr="003D62FE" w:rsidRDefault="0074421F" w:rsidP="0074421F">
      <w:pPr>
        <w:pStyle w:val="Normal1"/>
        <w:numPr>
          <w:ilvl w:val="0"/>
          <w:numId w:val="7"/>
        </w:numPr>
        <w:spacing w:after="0" w:line="360" w:lineRule="auto"/>
        <w:ind w:left="709" w:right="425"/>
        <w:contextualSpacing/>
        <w:jc w:val="both"/>
        <w:rPr>
          <w:rFonts w:ascii="Times New Roman" w:eastAsia="Arial Narrow" w:hAnsi="Times New Roman" w:cs="Times New Roman"/>
          <w:b/>
          <w:sz w:val="24"/>
          <w:szCs w:val="24"/>
        </w:rPr>
      </w:pP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b/>
          <w:sz w:val="24"/>
          <w:szCs w:val="24"/>
        </w:rPr>
        <w:t xml:space="preserve">Associated Press v. United States </w:t>
      </w:r>
    </w:p>
    <w:p w:rsidR="0074421F" w:rsidRPr="003D62FE" w:rsidRDefault="0074421F" w:rsidP="0074421F">
      <w:pPr>
        <w:pStyle w:val="Normal1"/>
        <w:spacing w:after="0" w:line="360" w:lineRule="auto"/>
        <w:ind w:left="709" w:right="425" w:firstLine="294"/>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      Associated Press is an association of print media companies with members amounting to over 1,200 media companies. The Association engages in the collection and dissemination of news </w:t>
      </w:r>
      <w:r w:rsidRPr="003D62FE">
        <w:rPr>
          <w:rFonts w:ascii="Times New Roman" w:eastAsia="Arial Narrow" w:hAnsi="Times New Roman" w:cs="Times New Roman"/>
          <w:sz w:val="24"/>
          <w:szCs w:val="24"/>
        </w:rPr>
        <w:lastRenderedPageBreak/>
        <w:t xml:space="preserve">obtained by its members and some foreign media companies. In its development, the association imposes barriers to other media companies to become associate members so that new media companies do not get access to the news collection and distribution system. </w:t>
      </w:r>
    </w:p>
    <w:p w:rsidR="0074421F" w:rsidRPr="003D62FE" w:rsidRDefault="0074421F" w:rsidP="0074421F">
      <w:pPr>
        <w:pStyle w:val="Normal1"/>
        <w:numPr>
          <w:ilvl w:val="0"/>
          <w:numId w:val="7"/>
        </w:numPr>
        <w:spacing w:after="0" w:line="360" w:lineRule="auto"/>
        <w:ind w:left="709" w:right="425"/>
        <w:contextualSpacing/>
        <w:jc w:val="both"/>
        <w:rPr>
          <w:rFonts w:ascii="Times New Roman" w:eastAsia="Arial Narrow" w:hAnsi="Times New Roman" w:cs="Times New Roman"/>
          <w:b/>
          <w:sz w:val="24"/>
          <w:szCs w:val="24"/>
        </w:rPr>
      </w:pP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b/>
          <w:sz w:val="24"/>
          <w:szCs w:val="24"/>
        </w:rPr>
        <w:t>Otter Tail Power Co. v. United States</w:t>
      </w:r>
    </w:p>
    <w:p w:rsidR="0074421F" w:rsidRPr="003D62FE" w:rsidRDefault="0074421F" w:rsidP="0074421F">
      <w:pPr>
        <w:pStyle w:val="Normal1"/>
        <w:spacing w:after="0" w:line="360" w:lineRule="auto"/>
        <w:ind w:left="709" w:right="425" w:firstLine="294"/>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      Otter Tail Power Co. is a company with a business selling electricity in the Minnesota region. Furthermore, some cities intend to build their own electrical systems at the retail level and compete with Otter Tail Power Co.'s retail, then Otter Tail Power Co. refused to supply electricity to the city.</w:t>
      </w:r>
    </w:p>
    <w:p w:rsidR="0074421F" w:rsidRPr="003D62FE" w:rsidRDefault="0074421F" w:rsidP="0074421F">
      <w:pPr>
        <w:pStyle w:val="Normal1"/>
        <w:spacing w:after="0" w:line="360" w:lineRule="auto"/>
        <w:ind w:left="709" w:right="425" w:firstLine="294"/>
        <w:jc w:val="both"/>
        <w:rPr>
          <w:rFonts w:ascii="Times New Roman" w:eastAsia="Arial Narrow" w:hAnsi="Times New Roman" w:cs="Times New Roman"/>
          <w:sz w:val="24"/>
          <w:szCs w:val="24"/>
        </w:rPr>
      </w:pPr>
    </w:p>
    <w:p w:rsidR="0074421F" w:rsidRPr="003D62FE" w:rsidRDefault="0074421F" w:rsidP="0074421F">
      <w:pPr>
        <w:pStyle w:val="Normal1"/>
        <w:numPr>
          <w:ilvl w:val="0"/>
          <w:numId w:val="7"/>
        </w:numPr>
        <w:spacing w:after="0" w:line="360" w:lineRule="auto"/>
        <w:ind w:left="709" w:right="425"/>
        <w:contextualSpacing/>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lastRenderedPageBreak/>
        <w:t xml:space="preserve">  </w:t>
      </w:r>
      <w:r w:rsidRPr="003D62FE">
        <w:rPr>
          <w:rFonts w:ascii="Times New Roman" w:eastAsia="Arial Narrow" w:hAnsi="Times New Roman" w:cs="Times New Roman"/>
          <w:b/>
          <w:sz w:val="24"/>
          <w:szCs w:val="24"/>
        </w:rPr>
        <w:t>Hecht v. Pro-Football,</w:t>
      </w:r>
      <w:r w:rsidRPr="003D62FE">
        <w:rPr>
          <w:rFonts w:ascii="Times New Roman" w:eastAsia="Arial Narrow" w:hAnsi="Times New Roman" w:cs="Times New Roman"/>
          <w:sz w:val="24"/>
          <w:szCs w:val="24"/>
        </w:rPr>
        <w:t>Inc..</w:t>
      </w:r>
    </w:p>
    <w:p w:rsidR="0074421F" w:rsidRPr="003D62FE" w:rsidRDefault="0074421F" w:rsidP="0074421F">
      <w:pPr>
        <w:pStyle w:val="Normal1"/>
        <w:spacing w:after="0" w:line="360" w:lineRule="auto"/>
        <w:ind w:left="709" w:right="425"/>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Hecht as promoter of new football club intends and has the desire to rent a football stadium named Stadion Robert F. To serve as home base football club. The case arose when the owner and manager of the Stadio Robert F. Kennedy rejected Hecht's request on the grounds that the owner had an agreement with another football club called Washington Redskins.</w:t>
      </w:r>
    </w:p>
    <w:p w:rsidR="0074421F" w:rsidRPr="003D62FE" w:rsidRDefault="0074421F" w:rsidP="0074421F">
      <w:pPr>
        <w:pStyle w:val="Normal1"/>
        <w:numPr>
          <w:ilvl w:val="0"/>
          <w:numId w:val="7"/>
        </w:numPr>
        <w:spacing w:after="0" w:line="360" w:lineRule="auto"/>
        <w:ind w:left="709" w:right="425"/>
        <w:contextualSpacing/>
        <w:jc w:val="both"/>
        <w:rPr>
          <w:rFonts w:ascii="Times New Roman" w:eastAsia="Arial Narrow" w:hAnsi="Times New Roman" w:cs="Times New Roman"/>
          <w:b/>
          <w:sz w:val="24"/>
          <w:szCs w:val="24"/>
        </w:rPr>
      </w:pP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b/>
          <w:sz w:val="24"/>
          <w:szCs w:val="24"/>
        </w:rPr>
        <w:t>MCI Communications Corp. v. American Tel. &amp; Tel. Co (AT &amp; T).</w:t>
      </w:r>
    </w:p>
    <w:p w:rsidR="0074421F" w:rsidRPr="003D62FE" w:rsidRDefault="0074421F" w:rsidP="0074421F">
      <w:pPr>
        <w:pStyle w:val="Normal1"/>
        <w:spacing w:after="0" w:line="360" w:lineRule="auto"/>
        <w:ind w:left="709" w:right="425"/>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Prior to 1969, AT &amp; T had the monopoly to provide telecommunications services and networks. The case started when MCI asked AT &amp; T to be connected to AT &amp; T's local networking facility but was refused.</w:t>
      </w:r>
    </w:p>
    <w:p w:rsidR="0074421F" w:rsidRPr="003D62FE" w:rsidRDefault="0074421F" w:rsidP="0074421F">
      <w:pPr>
        <w:pStyle w:val="Normal1"/>
        <w:spacing w:after="0" w:line="360" w:lineRule="auto"/>
        <w:ind w:left="284" w:right="425"/>
        <w:jc w:val="both"/>
        <w:outlineLvl w:val="0"/>
        <w:rPr>
          <w:rFonts w:ascii="Times New Roman" w:eastAsia="Arial Narrow" w:hAnsi="Times New Roman" w:cs="Times New Roman"/>
          <w:sz w:val="24"/>
          <w:szCs w:val="24"/>
        </w:rPr>
      </w:pPr>
      <w:r w:rsidRPr="003D62FE">
        <w:rPr>
          <w:rFonts w:ascii="Times New Roman" w:eastAsia="Arial Narrow" w:hAnsi="Times New Roman" w:cs="Times New Roman"/>
          <w:b/>
          <w:sz w:val="24"/>
          <w:szCs w:val="24"/>
        </w:rPr>
        <w:lastRenderedPageBreak/>
        <w:t>European Countries</w:t>
      </w:r>
      <w:r w:rsidRPr="003D62FE">
        <w:rPr>
          <w:rFonts w:ascii="Times New Roman" w:eastAsia="Arial Narrow" w:hAnsi="Times New Roman" w:cs="Times New Roman"/>
          <w:sz w:val="24"/>
          <w:szCs w:val="24"/>
          <w:vertAlign w:val="superscript"/>
        </w:rPr>
        <w:footnoteReference w:id="8"/>
      </w:r>
    </w:p>
    <w:p w:rsidR="0074421F" w:rsidRPr="003D62FE" w:rsidRDefault="0074421F" w:rsidP="0074421F">
      <w:pPr>
        <w:pStyle w:val="Normal1"/>
        <w:numPr>
          <w:ilvl w:val="0"/>
          <w:numId w:val="1"/>
        </w:numPr>
        <w:pBdr>
          <w:top w:val="nil"/>
          <w:left w:val="nil"/>
          <w:bottom w:val="nil"/>
          <w:right w:val="nil"/>
          <w:between w:val="nil"/>
        </w:pBdr>
        <w:spacing w:after="0" w:line="360" w:lineRule="auto"/>
        <w:ind w:left="709"/>
        <w:contextualSpacing/>
        <w:rPr>
          <w:rFonts w:ascii="Times New Roman" w:eastAsia="Arial Narrow" w:hAnsi="Times New Roman" w:cs="Times New Roman"/>
          <w:b/>
          <w:color w:val="000000"/>
          <w:sz w:val="24"/>
          <w:szCs w:val="24"/>
        </w:rPr>
      </w:pPr>
      <w:r w:rsidRPr="003D62FE">
        <w:rPr>
          <w:rFonts w:ascii="Times New Roman" w:eastAsia="Arial Narrow" w:hAnsi="Times New Roman" w:cs="Times New Roman"/>
          <w:b/>
          <w:color w:val="000000"/>
          <w:sz w:val="24"/>
          <w:szCs w:val="24"/>
        </w:rPr>
        <w:t xml:space="preserve">Commercial Solvents v Commission [1974] </w:t>
      </w:r>
    </w:p>
    <w:p w:rsidR="0074421F" w:rsidRPr="003D62FE" w:rsidRDefault="0074421F" w:rsidP="0074421F">
      <w:pPr>
        <w:pStyle w:val="Normal1"/>
        <w:pBdr>
          <w:top w:val="nil"/>
          <w:left w:val="nil"/>
          <w:bottom w:val="nil"/>
          <w:right w:val="nil"/>
          <w:between w:val="nil"/>
        </w:pBdr>
        <w:spacing w:after="0" w:line="360" w:lineRule="auto"/>
        <w:ind w:left="709" w:firstLine="720"/>
        <w:jc w:val="both"/>
        <w:rPr>
          <w:rFonts w:ascii="Times New Roman" w:eastAsia="Arial Narrow" w:hAnsi="Times New Roman" w:cs="Times New Roman"/>
          <w:color w:val="000000"/>
          <w:sz w:val="24"/>
          <w:szCs w:val="24"/>
        </w:rPr>
      </w:pPr>
      <w:r w:rsidRPr="003D62FE">
        <w:rPr>
          <w:rFonts w:ascii="Times New Roman" w:eastAsia="Arial Narrow" w:hAnsi="Times New Roman" w:cs="Times New Roman"/>
          <w:color w:val="000000"/>
          <w:sz w:val="24"/>
          <w:szCs w:val="24"/>
        </w:rPr>
        <w:t>Commercial Solvents is a large company engaged in the manufacturing of chemicals while maintaining a dominant position in the production and sale of raw materials for the manufacture of ethambutol. Commercial Solvents has been a supplier of zoja since 1966. The case began when the early 1970s Zoja canceled the purchase of raw materials in a very large amount and of course this is very detrimental Commercial Solvents. In late 1970 Zoja plans to re-order, but this is rejected by Commercial Solvent.</w:t>
      </w:r>
    </w:p>
    <w:p w:rsidR="0074421F" w:rsidRPr="003D62FE" w:rsidRDefault="0074421F" w:rsidP="0074421F">
      <w:pPr>
        <w:pStyle w:val="Normal1"/>
        <w:numPr>
          <w:ilvl w:val="0"/>
          <w:numId w:val="1"/>
        </w:numPr>
        <w:pBdr>
          <w:top w:val="nil"/>
          <w:left w:val="nil"/>
          <w:bottom w:val="nil"/>
          <w:right w:val="nil"/>
          <w:between w:val="nil"/>
        </w:pBdr>
        <w:spacing w:after="0" w:line="360" w:lineRule="auto"/>
        <w:ind w:left="709" w:hanging="425"/>
        <w:contextualSpacing/>
        <w:jc w:val="both"/>
        <w:rPr>
          <w:rFonts w:ascii="Times New Roman" w:eastAsia="Arial Narrow" w:hAnsi="Times New Roman" w:cs="Times New Roman"/>
          <w:b/>
          <w:color w:val="000000"/>
          <w:sz w:val="24"/>
          <w:szCs w:val="24"/>
        </w:rPr>
      </w:pPr>
      <w:r w:rsidRPr="003D62FE">
        <w:rPr>
          <w:rFonts w:ascii="Times New Roman" w:eastAsia="Arial Narrow" w:hAnsi="Times New Roman" w:cs="Times New Roman"/>
          <w:b/>
          <w:color w:val="000000"/>
          <w:sz w:val="24"/>
          <w:szCs w:val="24"/>
        </w:rPr>
        <w:t>United Brands V. Olesen {1972]</w:t>
      </w:r>
    </w:p>
    <w:p w:rsidR="0074421F" w:rsidRPr="003D62FE" w:rsidRDefault="0074421F" w:rsidP="0074421F">
      <w:pPr>
        <w:pStyle w:val="Normal1"/>
        <w:pBdr>
          <w:top w:val="nil"/>
          <w:left w:val="nil"/>
          <w:bottom w:val="nil"/>
          <w:right w:val="nil"/>
          <w:between w:val="nil"/>
        </w:pBdr>
        <w:spacing w:after="0" w:line="360" w:lineRule="auto"/>
        <w:ind w:left="709" w:firstLine="720"/>
        <w:jc w:val="both"/>
        <w:rPr>
          <w:rFonts w:ascii="Times New Roman" w:eastAsia="Arial Narrow" w:hAnsi="Times New Roman" w:cs="Times New Roman"/>
          <w:color w:val="000000"/>
          <w:sz w:val="24"/>
          <w:szCs w:val="24"/>
        </w:rPr>
      </w:pPr>
      <w:r w:rsidRPr="003D62FE">
        <w:rPr>
          <w:rFonts w:ascii="Times New Roman" w:eastAsia="Arial Narrow" w:hAnsi="Times New Roman" w:cs="Times New Roman"/>
          <w:color w:val="000000"/>
          <w:sz w:val="24"/>
          <w:szCs w:val="24"/>
        </w:rPr>
        <w:t xml:space="preserve">United Brands holds the dominant position in the banana market, with 40-45% market share. United Brands refused to supply banana </w:t>
      </w:r>
      <w:r w:rsidRPr="003D62FE">
        <w:rPr>
          <w:rFonts w:ascii="Times New Roman" w:eastAsia="Arial Narrow" w:hAnsi="Times New Roman" w:cs="Times New Roman"/>
          <w:color w:val="000000"/>
          <w:sz w:val="24"/>
          <w:szCs w:val="24"/>
        </w:rPr>
        <w:lastRenderedPageBreak/>
        <w:t>production to Olesen who is actually one of his customers in Denmark. United Brands justify his decision with the fact that Olesen has participated in an advertising campaign with one of United Brands' top competitors.</w:t>
      </w:r>
    </w:p>
    <w:p w:rsidR="0074421F" w:rsidRPr="003D62FE" w:rsidRDefault="0074421F" w:rsidP="0074421F">
      <w:pPr>
        <w:pStyle w:val="Normal1"/>
        <w:numPr>
          <w:ilvl w:val="0"/>
          <w:numId w:val="1"/>
        </w:numPr>
        <w:spacing w:after="0" w:line="360" w:lineRule="auto"/>
        <w:ind w:left="709" w:right="425"/>
        <w:contextualSpacing/>
        <w:jc w:val="both"/>
        <w:rPr>
          <w:rFonts w:ascii="Times New Roman" w:eastAsia="Arial Narrow" w:hAnsi="Times New Roman" w:cs="Times New Roman"/>
          <w:sz w:val="24"/>
          <w:szCs w:val="24"/>
        </w:rPr>
      </w:pPr>
      <w:r w:rsidRPr="003D62FE">
        <w:rPr>
          <w:rFonts w:ascii="Times New Roman" w:eastAsia="Arial Narrow" w:hAnsi="Times New Roman" w:cs="Times New Roman"/>
          <w:b/>
          <w:sz w:val="24"/>
          <w:szCs w:val="24"/>
        </w:rPr>
        <w:t>Sea Container Ltd / Stena Sealink [1994]</w:t>
      </w:r>
      <w:r w:rsidRPr="003D62FE">
        <w:rPr>
          <w:rFonts w:ascii="Times New Roman" w:eastAsia="Arial Narrow" w:hAnsi="Times New Roman" w:cs="Times New Roman"/>
          <w:b/>
          <w:sz w:val="24"/>
          <w:szCs w:val="24"/>
          <w:vertAlign w:val="superscript"/>
        </w:rPr>
        <w:footnoteReference w:id="9"/>
      </w:r>
    </w:p>
    <w:p w:rsidR="0074421F" w:rsidRPr="003D62FE" w:rsidRDefault="0074421F" w:rsidP="0074421F">
      <w:pPr>
        <w:pStyle w:val="Normal1"/>
        <w:spacing w:after="0" w:line="360" w:lineRule="auto"/>
        <w:ind w:left="709" w:right="425"/>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sz w:val="24"/>
          <w:szCs w:val="24"/>
        </w:rPr>
        <w:tab/>
        <w:t xml:space="preserve">Sealink Harbors is a company that owns and operates ports in Holyhead Wales. The case started when Stena Sealink rejected the Sea Containers intent and closed the port access for the Sea Containers plan.  </w:t>
      </w:r>
    </w:p>
    <w:p w:rsidR="0074421F" w:rsidRPr="003D62FE" w:rsidRDefault="0074421F" w:rsidP="0074421F">
      <w:pPr>
        <w:pStyle w:val="Normal1"/>
        <w:numPr>
          <w:ilvl w:val="0"/>
          <w:numId w:val="1"/>
        </w:numPr>
        <w:spacing w:after="0" w:line="360" w:lineRule="auto"/>
        <w:ind w:left="709" w:right="425"/>
        <w:contextualSpacing/>
        <w:jc w:val="both"/>
        <w:rPr>
          <w:rFonts w:ascii="Times New Roman" w:eastAsia="Arial Narrow" w:hAnsi="Times New Roman" w:cs="Times New Roman"/>
          <w:sz w:val="24"/>
          <w:szCs w:val="24"/>
        </w:rPr>
      </w:pPr>
      <w:r w:rsidRPr="003D62FE">
        <w:rPr>
          <w:rFonts w:ascii="Times New Roman" w:eastAsia="Arial Narrow" w:hAnsi="Times New Roman" w:cs="Times New Roman"/>
          <w:b/>
          <w:sz w:val="24"/>
          <w:szCs w:val="24"/>
        </w:rPr>
        <w:t>Morlaix (Port of Roscoff) [1995]</w:t>
      </w:r>
      <w:r w:rsidRPr="003D62FE">
        <w:rPr>
          <w:rFonts w:ascii="Times New Roman" w:eastAsia="Arial Narrow" w:hAnsi="Times New Roman" w:cs="Times New Roman"/>
          <w:b/>
          <w:sz w:val="24"/>
          <w:szCs w:val="24"/>
          <w:vertAlign w:val="superscript"/>
        </w:rPr>
        <w:footnoteReference w:id="10"/>
      </w:r>
    </w:p>
    <w:p w:rsidR="0074421F" w:rsidRPr="003D62FE" w:rsidRDefault="0074421F" w:rsidP="0074421F">
      <w:pPr>
        <w:pStyle w:val="Normal1"/>
        <w:spacing w:after="0" w:line="360" w:lineRule="auto"/>
        <w:ind w:left="709" w:right="425"/>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The case stems from the desire of Irish Continental Group (ICG) to operate the ferry service from Ireland to Brittany. Therefore, ICG requires access to Port of Roscoff port managed by </w:t>
      </w:r>
      <w:r w:rsidRPr="003D62FE">
        <w:rPr>
          <w:rFonts w:ascii="Times New Roman" w:eastAsia="Arial Narrow" w:hAnsi="Times New Roman" w:cs="Times New Roman"/>
          <w:sz w:val="24"/>
          <w:szCs w:val="24"/>
        </w:rPr>
        <w:lastRenderedPageBreak/>
        <w:t>CCI Morlaix which is an institution granted the right of concession by the state. The case started when CCI Moralaix objected to providing access to ICG.</w:t>
      </w:r>
    </w:p>
    <w:p w:rsidR="0074421F" w:rsidRPr="003D62FE" w:rsidRDefault="0074421F" w:rsidP="0074421F">
      <w:pPr>
        <w:pStyle w:val="Normal1"/>
        <w:spacing w:after="0" w:line="360" w:lineRule="auto"/>
        <w:ind w:left="709" w:right="425"/>
        <w:jc w:val="both"/>
        <w:rPr>
          <w:rFonts w:ascii="Times New Roman" w:eastAsia="Arial Narrow" w:hAnsi="Times New Roman" w:cs="Times New Roman"/>
          <w:sz w:val="24"/>
          <w:szCs w:val="24"/>
        </w:rPr>
      </w:pPr>
    </w:p>
    <w:p w:rsidR="0074421F" w:rsidRPr="003D62FE" w:rsidRDefault="0074421F" w:rsidP="0074421F">
      <w:pPr>
        <w:pStyle w:val="Normal1"/>
        <w:numPr>
          <w:ilvl w:val="0"/>
          <w:numId w:val="1"/>
        </w:numPr>
        <w:spacing w:after="0" w:line="360" w:lineRule="auto"/>
        <w:ind w:left="709" w:right="425"/>
        <w:contextualSpacing/>
        <w:jc w:val="both"/>
        <w:rPr>
          <w:rFonts w:ascii="Times New Roman" w:eastAsia="Arial Narrow" w:hAnsi="Times New Roman" w:cs="Times New Roman"/>
          <w:sz w:val="24"/>
          <w:szCs w:val="24"/>
        </w:rPr>
      </w:pPr>
      <w:r w:rsidRPr="003D62FE">
        <w:rPr>
          <w:rFonts w:ascii="Times New Roman" w:eastAsia="Arial Narrow" w:hAnsi="Times New Roman" w:cs="Times New Roman"/>
          <w:b/>
          <w:sz w:val="24"/>
          <w:szCs w:val="24"/>
        </w:rPr>
        <w:t>Oscar Bronner GmbH v. Mediaprint Zeitungs-undZeitschriftenverlag GmbH (1998)</w:t>
      </w:r>
      <w:r w:rsidRPr="003D62FE">
        <w:rPr>
          <w:rFonts w:ascii="Times New Roman" w:eastAsia="Arial Narrow" w:hAnsi="Times New Roman" w:cs="Times New Roman"/>
          <w:b/>
          <w:sz w:val="24"/>
          <w:szCs w:val="24"/>
          <w:vertAlign w:val="superscript"/>
        </w:rPr>
        <w:footnoteReference w:id="11"/>
      </w:r>
    </w:p>
    <w:p w:rsidR="0074421F" w:rsidRPr="003D62FE" w:rsidRDefault="0074421F" w:rsidP="0074421F">
      <w:pPr>
        <w:pStyle w:val="Normal1"/>
        <w:spacing w:after="0" w:line="360" w:lineRule="auto"/>
        <w:ind w:left="709" w:right="425" w:firstLine="600"/>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Mediaprint is also a newspaper publisher with a market share of about 46.8%. Mediaprint builds a distribution network to very large customers. Problems begin to arise when Bronner asks Mediaprint to get the distribution distributed by using Mediaprint's distribution network to be more efficient and optimal. The request was rejected by Mediaprint on the grounds that the distribution system was </w:t>
      </w:r>
      <w:r w:rsidRPr="003D62FE">
        <w:rPr>
          <w:rFonts w:ascii="Times New Roman" w:eastAsia="Arial Narrow" w:hAnsi="Times New Roman" w:cs="Times New Roman"/>
          <w:sz w:val="24"/>
          <w:szCs w:val="24"/>
        </w:rPr>
        <w:lastRenderedPageBreak/>
        <w:t xml:space="preserve">built with considerable investment. </w:t>
      </w:r>
    </w:p>
    <w:p w:rsidR="0074421F" w:rsidRPr="003D62FE" w:rsidRDefault="0074421F" w:rsidP="0074421F">
      <w:pPr>
        <w:pStyle w:val="Normal1"/>
        <w:spacing w:after="0" w:line="360" w:lineRule="auto"/>
        <w:ind w:right="425"/>
        <w:jc w:val="both"/>
        <w:rPr>
          <w:rFonts w:ascii="Times New Roman" w:eastAsia="Arial Narrow" w:hAnsi="Times New Roman" w:cs="Times New Roman"/>
          <w:b/>
          <w:sz w:val="24"/>
          <w:szCs w:val="24"/>
        </w:rPr>
      </w:pPr>
      <w:r w:rsidRPr="003D62FE">
        <w:rPr>
          <w:rFonts w:ascii="Times New Roman" w:eastAsia="Arial Narrow" w:hAnsi="Times New Roman" w:cs="Times New Roman"/>
          <w:b/>
          <w:sz w:val="24"/>
          <w:szCs w:val="24"/>
        </w:rPr>
        <w:t xml:space="preserve">The arrangement of </w:t>
      </w:r>
      <w:r w:rsidRPr="0074421F">
        <w:rPr>
          <w:rFonts w:ascii="Times New Roman" w:eastAsia="Arial Narrow" w:hAnsi="Times New Roman" w:cs="Times New Roman"/>
          <w:b/>
          <w:i/>
          <w:sz w:val="24"/>
          <w:szCs w:val="24"/>
        </w:rPr>
        <w:t>essential facilities</w:t>
      </w:r>
      <w:r w:rsidRPr="003D62FE">
        <w:rPr>
          <w:rFonts w:ascii="Times New Roman" w:eastAsia="Arial Narrow" w:hAnsi="Times New Roman" w:cs="Times New Roman"/>
          <w:b/>
          <w:sz w:val="24"/>
          <w:szCs w:val="24"/>
        </w:rPr>
        <w:t xml:space="preserve"> in Indonesia</w:t>
      </w:r>
    </w:p>
    <w:p w:rsidR="0074421F" w:rsidRPr="003D62FE" w:rsidRDefault="0074421F" w:rsidP="0074421F">
      <w:pPr>
        <w:pStyle w:val="Normal1"/>
        <w:spacing w:after="0" w:line="360" w:lineRule="auto"/>
        <w:ind w:left="284" w:firstLine="720"/>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The Doctrine </w:t>
      </w:r>
      <w:r w:rsidRPr="003D62FE">
        <w:rPr>
          <w:rFonts w:ascii="Times New Roman" w:eastAsia="Arial Narrow" w:hAnsi="Times New Roman" w:cs="Times New Roman"/>
          <w:i/>
          <w:sz w:val="24"/>
          <w:szCs w:val="24"/>
        </w:rPr>
        <w:t>Essential Facilities</w:t>
      </w:r>
      <w:r w:rsidRPr="003D62FE">
        <w:rPr>
          <w:rFonts w:ascii="Times New Roman" w:eastAsia="Arial Narrow" w:hAnsi="Times New Roman" w:cs="Times New Roman"/>
          <w:sz w:val="24"/>
          <w:szCs w:val="24"/>
        </w:rPr>
        <w:t xml:space="preserve"> in Indonesian Competition Law is formulated in Chapter IV of the third section, which regulates the control of the market, particularly article 19 of Law No. 5/1999. 5 of 1999. </w:t>
      </w:r>
    </w:p>
    <w:p w:rsidR="0074421F" w:rsidRPr="003D62FE" w:rsidRDefault="0074421F" w:rsidP="0074421F">
      <w:pPr>
        <w:pStyle w:val="Normal1"/>
        <w:spacing w:after="0" w:line="360" w:lineRule="auto"/>
        <w:ind w:left="284" w:firstLine="720"/>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Article 19 of Law No. 5 of 1999 stipulates that business actors are prohibited from performing one or several activities, either alone or with other business actors, which may result in monopolistic practices and or unfair business competition in the form of:</w:t>
      </w:r>
    </w:p>
    <w:p w:rsidR="0074421F" w:rsidRPr="003D62FE" w:rsidRDefault="0074421F" w:rsidP="0074421F">
      <w:pPr>
        <w:pStyle w:val="Normal1"/>
        <w:numPr>
          <w:ilvl w:val="0"/>
          <w:numId w:val="2"/>
        </w:numPr>
        <w:spacing w:after="0" w:line="360" w:lineRule="auto"/>
        <w:ind w:left="709"/>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refusing and / or blocking offenders a certain business to conduct the same business activity in the relevant market; or</w:t>
      </w:r>
    </w:p>
    <w:p w:rsidR="0074421F" w:rsidRPr="003D62FE" w:rsidRDefault="0074421F" w:rsidP="0074421F">
      <w:pPr>
        <w:pStyle w:val="Normal1"/>
        <w:numPr>
          <w:ilvl w:val="0"/>
          <w:numId w:val="2"/>
        </w:numPr>
        <w:spacing w:after="0" w:line="360" w:lineRule="auto"/>
        <w:ind w:left="709"/>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deter customers or customers of their competitors from entering into business relationships with their competitors; or</w:t>
      </w:r>
    </w:p>
    <w:p w:rsidR="0074421F" w:rsidRPr="003D62FE" w:rsidRDefault="0074421F" w:rsidP="0074421F">
      <w:pPr>
        <w:pStyle w:val="Normal1"/>
        <w:numPr>
          <w:ilvl w:val="0"/>
          <w:numId w:val="2"/>
        </w:numPr>
        <w:spacing w:after="0" w:line="360" w:lineRule="auto"/>
        <w:ind w:left="709"/>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lastRenderedPageBreak/>
        <w:t>restrict the circulation and or sale of goods and or services to the relevant market; or</w:t>
      </w:r>
    </w:p>
    <w:p w:rsidR="0074421F" w:rsidRPr="003D62FE" w:rsidRDefault="0074421F" w:rsidP="0074421F">
      <w:pPr>
        <w:pStyle w:val="Normal1"/>
        <w:numPr>
          <w:ilvl w:val="0"/>
          <w:numId w:val="2"/>
        </w:numPr>
        <w:spacing w:after="0" w:line="360" w:lineRule="auto"/>
        <w:ind w:left="709"/>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discriminating against certain business actors.</w:t>
      </w:r>
    </w:p>
    <w:p w:rsidR="0074421F" w:rsidRPr="003D62FE" w:rsidRDefault="0074421F" w:rsidP="0074421F">
      <w:pPr>
        <w:pStyle w:val="Normal1"/>
        <w:spacing w:after="0" w:line="360" w:lineRule="auto"/>
        <w:ind w:left="284" w:firstLine="720"/>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Besides this doctrine also entered the soul in Law No. 5 of 1999 CHAPTER V the first part of article 25 on the dominant position. Article 25 Paragraph (1) states that business actors are prohibited from using dominant positions either directly or indirectly to:</w:t>
      </w:r>
    </w:p>
    <w:p w:rsidR="0074421F" w:rsidRPr="003D62FE" w:rsidRDefault="0074421F" w:rsidP="0074421F">
      <w:pPr>
        <w:pStyle w:val="Normal1"/>
        <w:numPr>
          <w:ilvl w:val="0"/>
          <w:numId w:val="4"/>
        </w:numPr>
        <w:spacing w:after="0" w:line="360" w:lineRule="auto"/>
        <w:ind w:left="709"/>
        <w:jc w:val="both"/>
        <w:rPr>
          <w:rFonts w:ascii="Times New Roman" w:eastAsia="Arial Narrow" w:hAnsi="Times New Roman" w:cs="Times New Roman"/>
          <w:sz w:val="24"/>
          <w:szCs w:val="24"/>
        </w:rPr>
      </w:pPr>
      <w:bookmarkStart w:id="1" w:name="_gjdgxs" w:colFirst="0" w:colLast="0"/>
      <w:bookmarkEnd w:id="1"/>
      <w:r w:rsidRPr="003D62FE">
        <w:rPr>
          <w:rFonts w:ascii="Times New Roman" w:eastAsia="Arial Narrow" w:hAnsi="Times New Roman" w:cs="Times New Roman"/>
          <w:sz w:val="24"/>
          <w:szCs w:val="24"/>
        </w:rPr>
        <w:t>stipulate trade conditions with the aim of preventing and / or preventing consumers from obtaining competing goods and or services in terms of price or quality; or</w:t>
      </w:r>
    </w:p>
    <w:p w:rsidR="0074421F" w:rsidRPr="003D62FE" w:rsidRDefault="0074421F" w:rsidP="0074421F">
      <w:pPr>
        <w:pStyle w:val="Normal1"/>
        <w:numPr>
          <w:ilvl w:val="0"/>
          <w:numId w:val="4"/>
        </w:numPr>
        <w:spacing w:after="0" w:line="360" w:lineRule="auto"/>
        <w:ind w:left="709"/>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restricting market and technology development; or</w:t>
      </w:r>
    </w:p>
    <w:p w:rsidR="0074421F" w:rsidRPr="003D62FE" w:rsidRDefault="0074421F" w:rsidP="0074421F">
      <w:pPr>
        <w:pStyle w:val="Normal1"/>
        <w:numPr>
          <w:ilvl w:val="0"/>
          <w:numId w:val="4"/>
        </w:numPr>
        <w:spacing w:after="0" w:line="360" w:lineRule="auto"/>
        <w:ind w:left="709"/>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inhibit other potential business actors from becoming competitors to enter the relevant market.</w:t>
      </w:r>
    </w:p>
    <w:p w:rsidR="0074421F" w:rsidRPr="003D62FE" w:rsidRDefault="0074421F" w:rsidP="0074421F">
      <w:pPr>
        <w:pStyle w:val="Normal1"/>
        <w:spacing w:after="0" w:line="360" w:lineRule="auto"/>
        <w:ind w:left="284"/>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Article 25 paragraph (2) states that a business actor has a dominant position as referred to in paragraph (1) if:</w:t>
      </w:r>
    </w:p>
    <w:p w:rsidR="0074421F" w:rsidRPr="003D62FE" w:rsidRDefault="0074421F" w:rsidP="0074421F">
      <w:pPr>
        <w:pStyle w:val="Normal1"/>
        <w:numPr>
          <w:ilvl w:val="0"/>
          <w:numId w:val="5"/>
        </w:numPr>
        <w:spacing w:after="0" w:line="360" w:lineRule="auto"/>
        <w:ind w:left="851" w:hanging="502"/>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lastRenderedPageBreak/>
        <w:t>one business actor or a group of business actors owns 50% (fifty percent) or more market share of a certain type of goods or services; or</w:t>
      </w:r>
    </w:p>
    <w:p w:rsidR="0074421F" w:rsidRPr="003D62FE" w:rsidRDefault="0074421F" w:rsidP="0074421F">
      <w:pPr>
        <w:pStyle w:val="Normal1"/>
        <w:numPr>
          <w:ilvl w:val="0"/>
          <w:numId w:val="5"/>
        </w:numPr>
        <w:spacing w:after="0" w:line="360" w:lineRule="auto"/>
        <w:ind w:left="851" w:hanging="502"/>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two or three business actors or group of business actors control 75% (seventy five percent) or more market share of one particular type of goods or service.</w:t>
      </w:r>
    </w:p>
    <w:p w:rsidR="0074421F" w:rsidRPr="003D62FE" w:rsidRDefault="0074421F" w:rsidP="0074421F">
      <w:pPr>
        <w:pStyle w:val="Normal1"/>
        <w:spacing w:after="0" w:line="360" w:lineRule="auto"/>
        <w:jc w:val="both"/>
        <w:outlineLvl w:val="0"/>
        <w:rPr>
          <w:rFonts w:ascii="Times New Roman" w:eastAsia="Arial Narrow" w:hAnsi="Times New Roman" w:cs="Times New Roman"/>
          <w:b/>
          <w:sz w:val="24"/>
          <w:szCs w:val="24"/>
        </w:rPr>
      </w:pPr>
      <w:r w:rsidRPr="003D62FE">
        <w:rPr>
          <w:rFonts w:ascii="Times New Roman" w:eastAsia="Arial Narrow" w:hAnsi="Times New Roman" w:cs="Times New Roman"/>
          <w:b/>
          <w:sz w:val="24"/>
          <w:szCs w:val="24"/>
        </w:rPr>
        <w:t>Conclusion and suggestions</w:t>
      </w:r>
    </w:p>
    <w:p w:rsidR="0074421F" w:rsidRPr="003D62FE" w:rsidRDefault="0074421F" w:rsidP="0074421F">
      <w:pPr>
        <w:pStyle w:val="Normal1"/>
        <w:spacing w:after="0" w:line="360" w:lineRule="auto"/>
        <w:jc w:val="both"/>
        <w:outlineLvl w:val="0"/>
        <w:rPr>
          <w:rFonts w:ascii="Times New Roman" w:eastAsia="Arial Narrow" w:hAnsi="Times New Roman" w:cs="Times New Roman"/>
          <w:b/>
          <w:sz w:val="24"/>
          <w:szCs w:val="24"/>
        </w:rPr>
      </w:pPr>
      <w:r w:rsidRPr="003D62FE">
        <w:rPr>
          <w:rFonts w:ascii="Times New Roman" w:eastAsia="Arial Narrow" w:hAnsi="Times New Roman" w:cs="Times New Roman"/>
          <w:b/>
          <w:sz w:val="24"/>
          <w:szCs w:val="24"/>
        </w:rPr>
        <w:t>Conclusion</w:t>
      </w:r>
    </w:p>
    <w:p w:rsidR="0074421F" w:rsidRPr="003D62FE" w:rsidRDefault="0074421F" w:rsidP="0074421F">
      <w:pPr>
        <w:pStyle w:val="Normal1"/>
        <w:spacing w:after="0" w:line="360" w:lineRule="auto"/>
        <w:ind w:left="142" w:firstLine="578"/>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Regulations on </w:t>
      </w:r>
      <w:r w:rsidRPr="003D62FE">
        <w:rPr>
          <w:rFonts w:ascii="Times New Roman" w:eastAsia="Arial Narrow" w:hAnsi="Times New Roman" w:cs="Times New Roman"/>
          <w:i/>
          <w:sz w:val="24"/>
          <w:szCs w:val="24"/>
        </w:rPr>
        <w:t>essential facilities</w:t>
      </w: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i/>
          <w:sz w:val="24"/>
          <w:szCs w:val="24"/>
        </w:rPr>
        <w:t>duties</w:t>
      </w:r>
      <w:r w:rsidRPr="003D62FE">
        <w:rPr>
          <w:rFonts w:ascii="Times New Roman" w:eastAsia="Arial Narrow" w:hAnsi="Times New Roman" w:cs="Times New Roman"/>
          <w:sz w:val="24"/>
          <w:szCs w:val="24"/>
        </w:rPr>
        <w:t xml:space="preserve"> in Indonesia is still very less considering Indonesia adheres to the European continental law system (</w:t>
      </w:r>
      <w:r w:rsidRPr="003D62FE">
        <w:rPr>
          <w:rFonts w:ascii="Times New Roman" w:eastAsia="Arial Narrow" w:hAnsi="Times New Roman" w:cs="Times New Roman"/>
          <w:i/>
          <w:sz w:val="24"/>
          <w:szCs w:val="24"/>
        </w:rPr>
        <w:t>civil law</w:t>
      </w:r>
      <w:r w:rsidRPr="003D62FE">
        <w:rPr>
          <w:rFonts w:ascii="Times New Roman" w:eastAsia="Arial Narrow" w:hAnsi="Times New Roman" w:cs="Times New Roman"/>
          <w:sz w:val="24"/>
          <w:szCs w:val="24"/>
        </w:rPr>
        <w:t xml:space="preserve">). The European continental legal system is the basic legal system or legal reference that puts the source of the law the written rule. The law obtains a binding force, since it is manifested in laws that are in the form of laws and systematically arranged in certain codifications or compilations. This basic principle is embraced by binding that the ultimate value which is the objective of law is legal certainty. </w:t>
      </w:r>
      <w:r w:rsidRPr="003D62FE">
        <w:rPr>
          <w:rFonts w:ascii="Times New Roman" w:eastAsia="Arial Narrow" w:hAnsi="Times New Roman" w:cs="Times New Roman"/>
          <w:sz w:val="24"/>
          <w:szCs w:val="24"/>
        </w:rPr>
        <w:lastRenderedPageBreak/>
        <w:t>Legal certainty can only be realized if the actions of human law in the association of life is regulated by written rules.</w:t>
      </w:r>
    </w:p>
    <w:p w:rsidR="0074421F" w:rsidRPr="003D62FE" w:rsidRDefault="0074421F" w:rsidP="0074421F">
      <w:pPr>
        <w:pStyle w:val="Normal1"/>
        <w:spacing w:after="0" w:line="360" w:lineRule="auto"/>
        <w:ind w:left="142" w:firstLine="578"/>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Regulation of </w:t>
      </w:r>
      <w:r w:rsidRPr="003D62FE">
        <w:rPr>
          <w:rFonts w:ascii="Times New Roman" w:eastAsia="Arial Narrow" w:hAnsi="Times New Roman" w:cs="Times New Roman"/>
          <w:i/>
          <w:sz w:val="24"/>
          <w:szCs w:val="24"/>
        </w:rPr>
        <w:t>essential facilities</w:t>
      </w: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i/>
          <w:sz w:val="24"/>
          <w:szCs w:val="24"/>
        </w:rPr>
        <w:t xml:space="preserve">duties </w:t>
      </w:r>
      <w:r w:rsidRPr="003D62FE">
        <w:rPr>
          <w:rFonts w:ascii="Times New Roman" w:eastAsia="Arial Narrow" w:hAnsi="Times New Roman" w:cs="Times New Roman"/>
          <w:sz w:val="24"/>
          <w:szCs w:val="24"/>
        </w:rPr>
        <w:t xml:space="preserve">must be explicitly regulated to ensure legal certainty of business competition in Indonesia. The case of violation of </w:t>
      </w:r>
      <w:r w:rsidRPr="003D62FE">
        <w:rPr>
          <w:rFonts w:ascii="Times New Roman" w:eastAsia="Arial Narrow" w:hAnsi="Times New Roman" w:cs="Times New Roman"/>
          <w:i/>
          <w:sz w:val="24"/>
          <w:szCs w:val="24"/>
        </w:rPr>
        <w:t xml:space="preserve">essential facilities has </w:t>
      </w:r>
      <w:r w:rsidRPr="003D62FE">
        <w:rPr>
          <w:rFonts w:ascii="Times New Roman" w:eastAsia="Arial Narrow" w:hAnsi="Times New Roman" w:cs="Times New Roman"/>
          <w:sz w:val="24"/>
          <w:szCs w:val="24"/>
        </w:rPr>
        <w:t xml:space="preserve"> so far not been found in Indonesia, so the Indonesian government has not yet focused on the regulation of </w:t>
      </w:r>
      <w:r w:rsidRPr="003D62FE">
        <w:rPr>
          <w:rFonts w:ascii="Times New Roman" w:eastAsia="Arial Narrow" w:hAnsi="Times New Roman" w:cs="Times New Roman"/>
          <w:i/>
          <w:sz w:val="24"/>
          <w:szCs w:val="24"/>
        </w:rPr>
        <w:t>essential facilities duties</w:t>
      </w:r>
      <w:r w:rsidRPr="003D62FE">
        <w:rPr>
          <w:rFonts w:ascii="Times New Roman" w:eastAsia="Arial Narrow" w:hAnsi="Times New Roman" w:cs="Times New Roman"/>
          <w:sz w:val="24"/>
          <w:szCs w:val="24"/>
        </w:rPr>
        <w:t xml:space="preserve">. </w:t>
      </w:r>
    </w:p>
    <w:p w:rsidR="0074421F" w:rsidRPr="003D62FE" w:rsidRDefault="0074421F" w:rsidP="0074421F">
      <w:pPr>
        <w:pStyle w:val="Normal1"/>
        <w:spacing w:after="0" w:line="360" w:lineRule="auto"/>
        <w:ind w:firstLine="142"/>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sz w:val="24"/>
          <w:szCs w:val="24"/>
        </w:rPr>
        <w:tab/>
        <w:t xml:space="preserve">the regulation of </w:t>
      </w:r>
      <w:r w:rsidRPr="003D62FE">
        <w:rPr>
          <w:rFonts w:ascii="Times New Roman" w:eastAsia="Arial Narrow" w:hAnsi="Times New Roman" w:cs="Times New Roman"/>
          <w:i/>
          <w:sz w:val="24"/>
          <w:szCs w:val="24"/>
        </w:rPr>
        <w:t>essential facilities duties</w:t>
      </w:r>
      <w:r w:rsidRPr="003D62FE">
        <w:rPr>
          <w:rFonts w:ascii="Times New Roman" w:eastAsia="Arial Narrow" w:hAnsi="Times New Roman" w:cs="Times New Roman"/>
          <w:sz w:val="24"/>
          <w:szCs w:val="24"/>
        </w:rPr>
        <w:t xml:space="preserve"> should be regulated in more detail in the Indonesian competition law. The infrastructure approach is expected to be helpful in providing a deep understanding of </w:t>
      </w:r>
      <w:r w:rsidRPr="003D62FE">
        <w:rPr>
          <w:rFonts w:ascii="Times New Roman" w:eastAsia="Arial Narrow" w:hAnsi="Times New Roman" w:cs="Times New Roman"/>
          <w:i/>
          <w:sz w:val="24"/>
          <w:szCs w:val="24"/>
        </w:rPr>
        <w:t>essential facilities</w:t>
      </w:r>
      <w:r w:rsidRPr="003D62FE">
        <w:rPr>
          <w:rFonts w:ascii="Times New Roman" w:eastAsia="Arial Narrow" w:hAnsi="Times New Roman" w:cs="Times New Roman"/>
          <w:sz w:val="24"/>
          <w:szCs w:val="24"/>
        </w:rPr>
        <w:t xml:space="preserve">, what actions are prohibited in enforcing doctrine </w:t>
      </w:r>
      <w:r w:rsidRPr="003D62FE">
        <w:rPr>
          <w:rFonts w:ascii="Times New Roman" w:eastAsia="Arial Narrow" w:hAnsi="Times New Roman" w:cs="Times New Roman"/>
          <w:i/>
          <w:sz w:val="24"/>
          <w:szCs w:val="24"/>
        </w:rPr>
        <w:lastRenderedPageBreak/>
        <w:t>essential facilities duties</w:t>
      </w:r>
      <w:r w:rsidRPr="003D62FE">
        <w:rPr>
          <w:rFonts w:ascii="Times New Roman" w:eastAsia="Arial Narrow" w:hAnsi="Times New Roman" w:cs="Times New Roman"/>
          <w:sz w:val="24"/>
          <w:szCs w:val="24"/>
        </w:rPr>
        <w:t xml:space="preserve">, facility criteria included in </w:t>
      </w:r>
      <w:r w:rsidRPr="003D62FE">
        <w:rPr>
          <w:rFonts w:ascii="Times New Roman" w:eastAsia="Arial Narrow" w:hAnsi="Times New Roman" w:cs="Times New Roman"/>
          <w:i/>
          <w:sz w:val="24"/>
          <w:szCs w:val="24"/>
        </w:rPr>
        <w:t>essential facilities</w:t>
      </w:r>
      <w:r w:rsidRPr="003D62FE">
        <w:rPr>
          <w:rFonts w:ascii="Times New Roman" w:eastAsia="Arial Narrow" w:hAnsi="Times New Roman" w:cs="Times New Roman"/>
          <w:sz w:val="24"/>
          <w:szCs w:val="24"/>
        </w:rPr>
        <w:t xml:space="preserve"> so as to improve Law no 5 of 1999. The regulation of </w:t>
      </w:r>
      <w:r w:rsidRPr="003D62FE">
        <w:rPr>
          <w:rFonts w:ascii="Times New Roman" w:eastAsia="Arial Narrow" w:hAnsi="Times New Roman" w:cs="Times New Roman"/>
          <w:i/>
          <w:sz w:val="24"/>
          <w:szCs w:val="24"/>
        </w:rPr>
        <w:t xml:space="preserve">essential facilites </w:t>
      </w:r>
      <w:r w:rsidRPr="003D62FE">
        <w:rPr>
          <w:rFonts w:ascii="Times New Roman" w:eastAsia="Arial Narrow" w:hAnsi="Times New Roman" w:cs="Times New Roman"/>
          <w:sz w:val="24"/>
          <w:szCs w:val="24"/>
        </w:rPr>
        <w:t>provides benefits including</w:t>
      </w:r>
    </w:p>
    <w:p w:rsidR="0074421F" w:rsidRPr="003D62FE" w:rsidRDefault="0074421F" w:rsidP="0074421F">
      <w:pPr>
        <w:pStyle w:val="Normal1"/>
        <w:numPr>
          <w:ilvl w:val="0"/>
          <w:numId w:val="3"/>
        </w:numPr>
        <w:spacing w:after="0" w:line="360" w:lineRule="auto"/>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Ensure legal certainty among business actors in Indonesia, so it is expected with the regulation of </w:t>
      </w:r>
      <w:r w:rsidRPr="003D62FE">
        <w:rPr>
          <w:rFonts w:ascii="Times New Roman" w:eastAsia="Arial Narrow" w:hAnsi="Times New Roman" w:cs="Times New Roman"/>
          <w:i/>
          <w:sz w:val="24"/>
          <w:szCs w:val="24"/>
        </w:rPr>
        <w:t>essential facilities duties</w:t>
      </w:r>
      <w:r w:rsidRPr="003D62FE">
        <w:rPr>
          <w:rFonts w:ascii="Times New Roman" w:eastAsia="Arial Narrow" w:hAnsi="Times New Roman" w:cs="Times New Roman"/>
          <w:sz w:val="24"/>
          <w:szCs w:val="24"/>
        </w:rPr>
        <w:t xml:space="preserve"> business actors have a better legal awareness.</w:t>
      </w:r>
    </w:p>
    <w:p w:rsidR="0074421F" w:rsidRPr="003D62FE" w:rsidRDefault="0074421F" w:rsidP="0074421F">
      <w:pPr>
        <w:pStyle w:val="Normal1"/>
        <w:numPr>
          <w:ilvl w:val="0"/>
          <w:numId w:val="3"/>
        </w:numPr>
        <w:spacing w:after="0" w:line="360" w:lineRule="auto"/>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Reduces market dominance by dominant companies, thus providing an opportunity for new companies to enter into a market.</w:t>
      </w:r>
    </w:p>
    <w:p w:rsidR="0074421F" w:rsidRPr="003D62FE" w:rsidRDefault="0074421F" w:rsidP="0074421F">
      <w:pPr>
        <w:pStyle w:val="Normal1"/>
        <w:numPr>
          <w:ilvl w:val="0"/>
          <w:numId w:val="3"/>
        </w:numPr>
        <w:spacing w:after="0" w:line="360" w:lineRule="auto"/>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Creating a healthier competition, so that business actors can compete and can always improve the quality of its products and services.</w:t>
      </w:r>
    </w:p>
    <w:p w:rsidR="0074421F" w:rsidRPr="003D62FE" w:rsidRDefault="0074421F" w:rsidP="0074421F">
      <w:pPr>
        <w:pStyle w:val="Normal1"/>
        <w:numPr>
          <w:ilvl w:val="0"/>
          <w:numId w:val="3"/>
        </w:numPr>
        <w:spacing w:after="0" w:line="360" w:lineRule="auto"/>
        <w:jc w:val="both"/>
        <w:rPr>
          <w:rFonts w:ascii="Times New Roman" w:eastAsia="Arial Narrow" w:hAnsi="Times New Roman" w:cs="Times New Roman"/>
          <w:sz w:val="24"/>
          <w:szCs w:val="24"/>
        </w:rPr>
        <w:sectPr w:rsidR="0074421F" w:rsidRPr="003D62FE" w:rsidSect="003D62FE">
          <w:type w:val="continuous"/>
          <w:pgSz w:w="11906" w:h="16838"/>
          <w:pgMar w:top="1701" w:right="2268" w:bottom="2268" w:left="1701" w:header="709" w:footer="709" w:gutter="0"/>
          <w:cols w:num="2" w:space="708"/>
          <w:docGrid w:linePitch="360"/>
        </w:sectPr>
      </w:pPr>
    </w:p>
    <w:p w:rsidR="0074421F" w:rsidRPr="003D62FE" w:rsidRDefault="0074421F" w:rsidP="0074421F">
      <w:pPr>
        <w:pStyle w:val="Normal1"/>
        <w:numPr>
          <w:ilvl w:val="0"/>
          <w:numId w:val="3"/>
        </w:numPr>
        <w:spacing w:after="0" w:line="360" w:lineRule="auto"/>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lastRenderedPageBreak/>
        <w:t>Consumers have more diverse options and can enjoy products and services that are always better.</w:t>
      </w:r>
    </w:p>
    <w:p w:rsidR="0074421F" w:rsidRPr="003D62FE" w:rsidRDefault="0074421F" w:rsidP="0074421F">
      <w:pPr>
        <w:pStyle w:val="Normal1"/>
        <w:numPr>
          <w:ilvl w:val="0"/>
          <w:numId w:val="3"/>
        </w:numPr>
        <w:spacing w:after="0" w:line="360" w:lineRule="auto"/>
        <w:jc w:val="both"/>
        <w:rPr>
          <w:rFonts w:ascii="Times New Roman" w:eastAsia="Arial Narrow" w:hAnsi="Times New Roman" w:cs="Times New Roman"/>
          <w:sz w:val="24"/>
          <w:szCs w:val="24"/>
        </w:rPr>
      </w:pPr>
      <w:r w:rsidRPr="003D62FE">
        <w:rPr>
          <w:rFonts w:ascii="Times New Roman" w:eastAsia="Arial Narrow" w:hAnsi="Times New Roman" w:cs="Times New Roman"/>
          <w:sz w:val="24"/>
          <w:szCs w:val="24"/>
        </w:rPr>
        <w:t xml:space="preserve">Provide certainty to KPPU and other legal apparatus to solve the problem of violation of </w:t>
      </w:r>
      <w:r w:rsidRPr="003D62FE">
        <w:rPr>
          <w:rFonts w:ascii="Times New Roman" w:eastAsia="Arial Narrow" w:hAnsi="Times New Roman" w:cs="Times New Roman"/>
          <w:i/>
          <w:sz w:val="24"/>
          <w:szCs w:val="24"/>
        </w:rPr>
        <w:t>essential facilities</w:t>
      </w:r>
      <w:r w:rsidRPr="003D62FE">
        <w:rPr>
          <w:rFonts w:ascii="Times New Roman" w:eastAsia="Arial Narrow" w:hAnsi="Times New Roman" w:cs="Times New Roman"/>
          <w:sz w:val="24"/>
          <w:szCs w:val="24"/>
        </w:rPr>
        <w:t xml:space="preserve"> </w:t>
      </w:r>
      <w:r w:rsidRPr="003D62FE">
        <w:rPr>
          <w:rFonts w:ascii="Times New Roman" w:eastAsia="Arial Narrow" w:hAnsi="Times New Roman" w:cs="Times New Roman"/>
          <w:i/>
          <w:sz w:val="24"/>
          <w:szCs w:val="24"/>
        </w:rPr>
        <w:t>duties</w:t>
      </w:r>
      <w:r w:rsidRPr="003D62FE">
        <w:rPr>
          <w:rFonts w:ascii="Times New Roman" w:eastAsia="Arial Narrow" w:hAnsi="Times New Roman" w:cs="Times New Roman"/>
          <w:sz w:val="24"/>
          <w:szCs w:val="24"/>
        </w:rPr>
        <w:t xml:space="preserve"> occurring in Indonesia</w:t>
      </w:r>
    </w:p>
    <w:p w:rsidR="0074421F" w:rsidRDefault="0074421F" w:rsidP="0074421F">
      <w:pPr>
        <w:pStyle w:val="Normal1"/>
        <w:spacing w:after="0" w:line="480" w:lineRule="auto"/>
        <w:jc w:val="both"/>
        <w:rPr>
          <w:rFonts w:ascii="Times New Roman" w:eastAsia="Arial Narrow" w:hAnsi="Times New Roman" w:cs="Times New Roman"/>
          <w:sz w:val="24"/>
          <w:szCs w:val="24"/>
          <w:lang w:val="en-US"/>
        </w:rPr>
      </w:pPr>
    </w:p>
    <w:p w:rsidR="0074421F" w:rsidRPr="003D62FE" w:rsidRDefault="0074421F" w:rsidP="0074421F">
      <w:pPr>
        <w:pStyle w:val="Normal1"/>
        <w:spacing w:after="0" w:line="480" w:lineRule="auto"/>
        <w:ind w:left="284"/>
        <w:jc w:val="both"/>
        <w:rPr>
          <w:rFonts w:ascii="Times New Roman" w:eastAsia="Arial Narrow" w:hAnsi="Times New Roman" w:cs="Times New Roman"/>
          <w:b/>
          <w:sz w:val="24"/>
          <w:szCs w:val="24"/>
        </w:rPr>
      </w:pPr>
      <w:proofErr w:type="spellStart"/>
      <w:r w:rsidRPr="003D62FE">
        <w:rPr>
          <w:rFonts w:ascii="Times New Roman" w:eastAsia="Arial Narrow" w:hAnsi="Times New Roman" w:cs="Times New Roman"/>
          <w:b/>
          <w:sz w:val="24"/>
          <w:szCs w:val="24"/>
          <w:lang w:val="en-US"/>
        </w:rPr>
        <w:t>Sugenstion</w:t>
      </w:r>
      <w:proofErr w:type="spellEnd"/>
    </w:p>
    <w:p w:rsidR="0074421F" w:rsidRPr="004F608F" w:rsidRDefault="0074421F" w:rsidP="00744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jc w:val="both"/>
        <w:rPr>
          <w:sz w:val="24"/>
          <w:szCs w:val="24"/>
        </w:rPr>
      </w:pPr>
      <w:proofErr w:type="gramStart"/>
      <w:r w:rsidRPr="003D62FE">
        <w:rPr>
          <w:sz w:val="24"/>
          <w:szCs w:val="24"/>
          <w:lang/>
        </w:rPr>
        <w:t>i</w:t>
      </w:r>
      <w:proofErr w:type="gramEnd"/>
      <w:r w:rsidRPr="003D62FE">
        <w:rPr>
          <w:sz w:val="24"/>
          <w:szCs w:val="24"/>
          <w:lang/>
        </w:rPr>
        <w:t xml:space="preserve"> expect</w:t>
      </w:r>
      <w:r w:rsidRPr="004F608F">
        <w:rPr>
          <w:sz w:val="24"/>
          <w:szCs w:val="24"/>
          <w:lang/>
        </w:rPr>
        <w:t xml:space="preserve"> that the Indonesian government will organize exclusively for the</w:t>
      </w:r>
      <w:r w:rsidRPr="003D62FE">
        <w:rPr>
          <w:sz w:val="24"/>
          <w:szCs w:val="24"/>
          <w:lang/>
        </w:rPr>
        <w:t xml:space="preserve"> essential facilities of </w:t>
      </w:r>
      <w:r w:rsidRPr="004F608F">
        <w:rPr>
          <w:sz w:val="24"/>
          <w:szCs w:val="24"/>
          <w:lang/>
        </w:rPr>
        <w:t xml:space="preserve">tasks to anticipate the problems of competition. Given </w:t>
      </w:r>
      <w:r w:rsidRPr="004F608F">
        <w:rPr>
          <w:sz w:val="24"/>
          <w:szCs w:val="24"/>
          <w:lang/>
        </w:rPr>
        <w:lastRenderedPageBreak/>
        <w:t xml:space="preserve">the clearer regulation of essential facilities, the tasks that the conscious business performers do </w:t>
      </w:r>
      <w:proofErr w:type="spellStart"/>
      <w:r w:rsidRPr="004F608F">
        <w:rPr>
          <w:sz w:val="24"/>
          <w:szCs w:val="24"/>
          <w:lang/>
        </w:rPr>
        <w:t>can n</w:t>
      </w:r>
      <w:r w:rsidRPr="003D62FE">
        <w:rPr>
          <w:sz w:val="24"/>
          <w:szCs w:val="24"/>
          <w:lang/>
        </w:rPr>
        <w:t>ot</w:t>
      </w:r>
      <w:proofErr w:type="spellEnd"/>
      <w:r w:rsidRPr="003D62FE">
        <w:rPr>
          <w:sz w:val="24"/>
          <w:szCs w:val="24"/>
          <w:lang/>
        </w:rPr>
        <w:t xml:space="preserve"> be done well, and </w:t>
      </w:r>
      <w:proofErr w:type="spellStart"/>
      <w:r w:rsidRPr="003D62FE">
        <w:rPr>
          <w:sz w:val="24"/>
          <w:szCs w:val="24"/>
          <w:lang/>
        </w:rPr>
        <w:t>can not</w:t>
      </w:r>
      <w:proofErr w:type="spellEnd"/>
      <w:r w:rsidRPr="003D62FE">
        <w:rPr>
          <w:sz w:val="24"/>
          <w:szCs w:val="24"/>
          <w:lang/>
        </w:rPr>
        <w:t xml:space="preserve"> be </w:t>
      </w:r>
      <w:r w:rsidRPr="004F608F">
        <w:rPr>
          <w:sz w:val="24"/>
          <w:szCs w:val="24"/>
          <w:lang/>
        </w:rPr>
        <w:t>done better because there is a clear legal basis.</w:t>
      </w:r>
    </w:p>
    <w:p w:rsidR="0074421F" w:rsidRPr="003D62FE" w:rsidRDefault="0074421F" w:rsidP="0074421F">
      <w:pPr>
        <w:pStyle w:val="Normal1"/>
        <w:spacing w:after="0" w:line="360" w:lineRule="auto"/>
        <w:jc w:val="both"/>
        <w:rPr>
          <w:rFonts w:ascii="Times New Roman" w:eastAsia="Arial Narrow" w:hAnsi="Times New Roman" w:cs="Times New Roman"/>
          <w:sz w:val="24"/>
          <w:szCs w:val="24"/>
          <w:lang w:val="en-US"/>
        </w:rPr>
      </w:pPr>
    </w:p>
    <w:sdt>
      <w:sdtPr>
        <w:rPr>
          <w:rFonts w:ascii="Calibri" w:eastAsia="Calibri" w:hAnsi="Calibri"/>
          <w:b w:val="0"/>
          <w:bCs w:val="0"/>
          <w:kern w:val="0"/>
          <w:sz w:val="22"/>
          <w:szCs w:val="22"/>
        </w:rPr>
        <w:id w:val="-52779429"/>
        <w:docPartObj>
          <w:docPartGallery w:val="Bibliographies"/>
          <w:docPartUnique/>
        </w:docPartObj>
      </w:sdtPr>
      <w:sdtEndPr>
        <w:rPr>
          <w:rFonts w:ascii="Times New Roman" w:eastAsia="Times New Roman" w:hAnsi="Times New Roman"/>
          <w:sz w:val="20"/>
          <w:szCs w:val="20"/>
        </w:rPr>
      </w:sdtEndPr>
      <w:sdtContent>
        <w:p w:rsidR="0074421F" w:rsidRDefault="0074421F" w:rsidP="0074421F">
          <w:pPr>
            <w:pStyle w:val="Heading1"/>
          </w:pPr>
          <w:r>
            <w:t>Bibliography</w:t>
          </w:r>
        </w:p>
        <w:sdt>
          <w:sdtPr>
            <w:rPr>
              <w:rFonts w:ascii="Times New Roman" w:eastAsia="Times New Roman" w:hAnsi="Times New Roman"/>
              <w:sz w:val="20"/>
              <w:szCs w:val="20"/>
            </w:rPr>
            <w:id w:val="-919325164"/>
            <w:bibliography/>
          </w:sdtPr>
          <w:sdtContent>
            <w:p w:rsidR="0074421F" w:rsidRDefault="00112186" w:rsidP="0074421F">
              <w:pPr>
                <w:pStyle w:val="Bibliography"/>
                <w:ind w:left="720" w:hanging="720"/>
                <w:rPr>
                  <w:noProof/>
                </w:rPr>
              </w:pPr>
              <w:r w:rsidRPr="00112186">
                <w:fldChar w:fldCharType="begin"/>
              </w:r>
              <w:r w:rsidR="0074421F">
                <w:instrText xml:space="preserve"> BIBLIOGRAPHY </w:instrText>
              </w:r>
              <w:r w:rsidRPr="00112186">
                <w:fldChar w:fldCharType="separate"/>
              </w:r>
              <w:r w:rsidR="0074421F">
                <w:rPr>
                  <w:noProof/>
                </w:rPr>
                <w:t xml:space="preserve">Hatzopoulos, V. (2006). </w:t>
              </w:r>
              <w:r w:rsidR="0074421F">
                <w:rPr>
                  <w:i/>
                  <w:iCs/>
                  <w:noProof/>
                </w:rPr>
                <w:t>The EU essential facilities doctrine .</w:t>
              </w:r>
              <w:r w:rsidR="0074421F">
                <w:rPr>
                  <w:noProof/>
                </w:rPr>
                <w:t xml:space="preserve"> European Legal Studies.</w:t>
              </w:r>
            </w:p>
            <w:p w:rsidR="0074421F" w:rsidRDefault="0074421F" w:rsidP="0074421F">
              <w:pPr>
                <w:pStyle w:val="Bibliography"/>
                <w:ind w:left="720" w:hanging="720"/>
                <w:rPr>
                  <w:noProof/>
                </w:rPr>
              </w:pPr>
              <w:r>
                <w:rPr>
                  <w:i/>
                  <w:iCs/>
                  <w:noProof/>
                </w:rPr>
                <w:t>https://supreme.justia.com/cases/federal/us/224/383/case.html, .</w:t>
              </w:r>
              <w:r>
                <w:rPr>
                  <w:noProof/>
                </w:rPr>
                <w:t xml:space="preserve"> (n.d.).</w:t>
              </w:r>
            </w:p>
            <w:p w:rsidR="0074421F" w:rsidRDefault="0074421F" w:rsidP="0074421F">
              <w:pPr>
                <w:pStyle w:val="Bibliography"/>
                <w:ind w:left="720" w:hanging="720"/>
                <w:rPr>
                  <w:noProof/>
                </w:rPr>
              </w:pPr>
              <w:r>
                <w:rPr>
                  <w:noProof/>
                </w:rPr>
                <w:lastRenderedPageBreak/>
                <w:t xml:space="preserve">Meuwissen, D. (2014). </w:t>
              </w:r>
              <w:r>
                <w:rPr>
                  <w:i/>
                  <w:iCs/>
                  <w:noProof/>
                </w:rPr>
                <w:t>Tentang Pengembanan Hukum, Ilmu Hukum, Teori Hukum dan Filsafat Hukum .</w:t>
              </w:r>
              <w:r>
                <w:rPr>
                  <w:noProof/>
                </w:rPr>
                <w:t xml:space="preserve"> Surabaya: Refika Aditama.</w:t>
              </w:r>
            </w:p>
            <w:p w:rsidR="0074421F" w:rsidRDefault="0074421F" w:rsidP="0074421F">
              <w:pPr>
                <w:pStyle w:val="Bibliography"/>
                <w:ind w:left="720" w:hanging="720"/>
                <w:rPr>
                  <w:noProof/>
                </w:rPr>
              </w:pPr>
              <w:r>
                <w:rPr>
                  <w:noProof/>
                </w:rPr>
                <w:t xml:space="preserve">Muhammad, A. ( 2004). </w:t>
              </w:r>
              <w:r>
                <w:rPr>
                  <w:i/>
                  <w:iCs/>
                  <w:noProof/>
                </w:rPr>
                <w:t>Hukum dan Penelitian Hukum.</w:t>
              </w:r>
              <w:r>
                <w:rPr>
                  <w:noProof/>
                </w:rPr>
                <w:t xml:space="preserve"> Bandung: Citra Aditya Bakti.</w:t>
              </w:r>
            </w:p>
            <w:p w:rsidR="0074421F" w:rsidRDefault="0074421F" w:rsidP="0074421F">
              <w:pPr>
                <w:pStyle w:val="Bibliography"/>
                <w:ind w:left="720" w:hanging="720"/>
                <w:rPr>
                  <w:noProof/>
                </w:rPr>
              </w:pPr>
              <w:r>
                <w:rPr>
                  <w:noProof/>
                </w:rPr>
                <w:t xml:space="preserve">R.B, S. (2008). </w:t>
              </w:r>
              <w:r>
                <w:rPr>
                  <w:i/>
                  <w:iCs/>
                  <w:noProof/>
                </w:rPr>
                <w:t>Konglomerat dan Antimonopoli.</w:t>
              </w:r>
              <w:r>
                <w:rPr>
                  <w:noProof/>
                </w:rPr>
                <w:t xml:space="preserve"> Jakarta: Pusaka Sinar Harapan.</w:t>
              </w:r>
            </w:p>
            <w:p w:rsidR="0074421F" w:rsidRDefault="0074421F" w:rsidP="0074421F">
              <w:pPr>
                <w:pStyle w:val="Bibliography"/>
                <w:ind w:left="720" w:hanging="720"/>
                <w:rPr>
                  <w:noProof/>
                </w:rPr>
              </w:pPr>
              <w:r>
                <w:rPr>
                  <w:noProof/>
                </w:rPr>
                <w:t xml:space="preserve">Sudikno Martokusumo. (2001). </w:t>
              </w:r>
              <w:r>
                <w:rPr>
                  <w:i/>
                  <w:iCs/>
                  <w:noProof/>
                </w:rPr>
                <w:t>Penemuan Hukum Suatu Pengantar.</w:t>
              </w:r>
              <w:r>
                <w:rPr>
                  <w:noProof/>
                </w:rPr>
                <w:t xml:space="preserve"> Yogyakarta: Liberty.</w:t>
              </w:r>
            </w:p>
            <w:p w:rsidR="0074421F" w:rsidRDefault="00112186" w:rsidP="0074421F">
              <w:r>
                <w:rPr>
                  <w:b/>
                  <w:bCs/>
                  <w:noProof/>
                </w:rPr>
                <w:fldChar w:fldCharType="end"/>
              </w:r>
            </w:p>
          </w:sdtContent>
        </w:sdt>
      </w:sdtContent>
    </w:sdt>
    <w:p w:rsidR="0074421F" w:rsidRPr="003D62FE" w:rsidRDefault="0074421F" w:rsidP="0074421F">
      <w:pPr>
        <w:pStyle w:val="Normal1"/>
        <w:rPr>
          <w:rFonts w:ascii="Times New Roman" w:hAnsi="Times New Roman" w:cs="Times New Roman"/>
          <w:sz w:val="24"/>
          <w:szCs w:val="24"/>
        </w:rPr>
        <w:sectPr w:rsidR="0074421F" w:rsidRPr="003D62FE" w:rsidSect="003D62FE">
          <w:type w:val="continuous"/>
          <w:pgSz w:w="11906" w:h="16838"/>
          <w:pgMar w:top="1701" w:right="2268" w:bottom="2268" w:left="1701" w:header="709" w:footer="709" w:gutter="0"/>
          <w:cols w:num="2" w:space="708"/>
          <w:docGrid w:linePitch="360"/>
        </w:sectPr>
      </w:pPr>
    </w:p>
    <w:p w:rsidR="0074421F" w:rsidRPr="003D62FE" w:rsidRDefault="0074421F" w:rsidP="0074421F">
      <w:pPr>
        <w:pStyle w:val="Normal1"/>
        <w:rPr>
          <w:rFonts w:ascii="Times New Roman" w:hAnsi="Times New Roman" w:cs="Times New Roman"/>
          <w:sz w:val="24"/>
          <w:szCs w:val="24"/>
        </w:rPr>
      </w:pPr>
    </w:p>
    <w:p w:rsidR="0074421F" w:rsidRPr="003D62FE" w:rsidRDefault="0074421F" w:rsidP="0074421F">
      <w:pPr>
        <w:spacing w:line="360" w:lineRule="auto"/>
        <w:ind w:right="425"/>
        <w:contextualSpacing/>
        <w:jc w:val="both"/>
        <w:rPr>
          <w:sz w:val="24"/>
          <w:szCs w:val="24"/>
        </w:rPr>
        <w:sectPr w:rsidR="0074421F" w:rsidRPr="003D62FE" w:rsidSect="002C018C">
          <w:type w:val="continuous"/>
          <w:pgSz w:w="11906" w:h="16838"/>
          <w:pgMar w:top="1701" w:right="2268" w:bottom="2268" w:left="1701" w:header="709" w:footer="709" w:gutter="0"/>
          <w:cols w:num="2" w:space="708"/>
          <w:docGrid w:linePitch="360"/>
        </w:sectPr>
      </w:pPr>
    </w:p>
    <w:p w:rsidR="0074421F" w:rsidRPr="003D62FE" w:rsidRDefault="0074421F" w:rsidP="0074421F">
      <w:pPr>
        <w:spacing w:line="360" w:lineRule="auto"/>
        <w:ind w:right="425"/>
        <w:contextualSpacing/>
        <w:jc w:val="both"/>
        <w:rPr>
          <w:sz w:val="24"/>
          <w:szCs w:val="24"/>
        </w:rPr>
      </w:pPr>
    </w:p>
    <w:p w:rsidR="0074421F" w:rsidRPr="003D62FE" w:rsidRDefault="0074421F" w:rsidP="0074421F">
      <w:pPr>
        <w:rPr>
          <w:sz w:val="24"/>
          <w:szCs w:val="24"/>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74421F" w:rsidRPr="003D62FE" w:rsidRDefault="0074421F" w:rsidP="0074421F">
      <w:pPr>
        <w:spacing w:line="360" w:lineRule="auto"/>
        <w:ind w:left="709" w:right="425" w:hanging="502"/>
        <w:contextualSpacing/>
        <w:jc w:val="both"/>
        <w:rPr>
          <w:sz w:val="24"/>
          <w:szCs w:val="24"/>
          <w:lang w:val="id-ID"/>
        </w:rPr>
      </w:pPr>
    </w:p>
    <w:p w:rsidR="00C556E3" w:rsidRDefault="00C556E3" w:rsidP="00C556E3">
      <w:pPr>
        <w:spacing w:before="2"/>
        <w:ind w:left="3816" w:right="3366"/>
        <w:jc w:val="center"/>
        <w:rPr>
          <w:b/>
          <w:spacing w:val="1"/>
          <w:w w:val="99"/>
          <w:sz w:val="24"/>
          <w:szCs w:val="24"/>
          <w:lang w:val="id-ID"/>
        </w:rPr>
      </w:pPr>
    </w:p>
    <w:p w:rsidR="00C556E3" w:rsidRDefault="00C556E3" w:rsidP="00C556E3">
      <w:pPr>
        <w:spacing w:before="2"/>
        <w:ind w:left="3816" w:right="3366"/>
        <w:jc w:val="center"/>
        <w:rPr>
          <w:b/>
          <w:spacing w:val="1"/>
          <w:w w:val="99"/>
          <w:sz w:val="24"/>
          <w:szCs w:val="24"/>
          <w:lang w:val="id-ID"/>
        </w:rPr>
      </w:pPr>
    </w:p>
    <w:p w:rsidR="00C556E3" w:rsidRDefault="00C556E3" w:rsidP="00C556E3">
      <w:pPr>
        <w:spacing w:before="2"/>
        <w:ind w:left="3816" w:right="3366"/>
        <w:jc w:val="center"/>
        <w:rPr>
          <w:b/>
          <w:spacing w:val="1"/>
          <w:w w:val="99"/>
          <w:sz w:val="24"/>
          <w:szCs w:val="24"/>
          <w:lang w:val="id-ID"/>
        </w:rPr>
      </w:pPr>
    </w:p>
    <w:p w:rsidR="00EB7048" w:rsidRPr="00EB7048" w:rsidRDefault="00EB7048">
      <w:pPr>
        <w:rPr>
          <w:lang w:val="id-ID"/>
        </w:rPr>
      </w:pPr>
    </w:p>
    <w:sectPr w:rsidR="00EB7048" w:rsidRPr="00EB7048" w:rsidSect="00747E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1F" w:rsidRDefault="0074421F" w:rsidP="0074421F">
      <w:r>
        <w:separator/>
      </w:r>
    </w:p>
  </w:endnote>
  <w:endnote w:type="continuationSeparator" w:id="0">
    <w:p w:rsidR="0074421F" w:rsidRDefault="0074421F" w:rsidP="00744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1F" w:rsidRDefault="0074421F" w:rsidP="0074421F">
      <w:r>
        <w:separator/>
      </w:r>
    </w:p>
  </w:footnote>
  <w:footnote w:type="continuationSeparator" w:id="0">
    <w:p w:rsidR="0074421F" w:rsidRDefault="0074421F" w:rsidP="0074421F">
      <w:r>
        <w:continuationSeparator/>
      </w:r>
    </w:p>
  </w:footnote>
  <w:footnote w:id="1">
    <w:p w:rsidR="0074421F" w:rsidRDefault="0074421F" w:rsidP="0074421F">
      <w:pPr>
        <w:pStyle w:val="Normal1"/>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Neale, 2002, The Antitrust Laws of the United States, USA: American Bar Association, p.280  </w:t>
      </w:r>
      <w:r>
        <w:rPr>
          <w:rFonts w:ascii="Arial Narrow" w:eastAsia="Arial Narrow" w:hAnsi="Arial Narrow" w:cs="Arial Narrow"/>
          <w:color w:val="000000"/>
          <w:sz w:val="20"/>
          <w:szCs w:val="20"/>
          <w:highlight w:val="white"/>
        </w:rPr>
        <w:t>Quoted by: Suhartono RB, 2008</w:t>
      </w:r>
      <w:r>
        <w:rPr>
          <w:rFonts w:ascii="Arial Narrow" w:eastAsia="Arial Narrow" w:hAnsi="Arial Narrow" w:cs="Arial Narrow"/>
          <w:i/>
          <w:color w:val="000000"/>
          <w:sz w:val="20"/>
          <w:szCs w:val="20"/>
          <w:highlight w:val="white"/>
        </w:rPr>
        <w:t xml:space="preserve">, Conglomerate and Antimonopoly, </w:t>
      </w:r>
      <w:r>
        <w:rPr>
          <w:rFonts w:ascii="Arial Narrow" w:eastAsia="Arial Narrow" w:hAnsi="Arial Narrow" w:cs="Arial Narrow"/>
          <w:color w:val="000000"/>
          <w:sz w:val="20"/>
          <w:szCs w:val="20"/>
          <w:highlight w:val="white"/>
        </w:rPr>
        <w:t>Jakarta: Sinar Harapan Heritage</w:t>
      </w:r>
      <w:r>
        <w:rPr>
          <w:rFonts w:ascii="Arial Narrow" w:eastAsia="Arial Narrow" w:hAnsi="Arial Narrow" w:cs="Arial Narrow"/>
          <w:i/>
          <w:color w:val="000000"/>
          <w:sz w:val="20"/>
          <w:szCs w:val="20"/>
          <w:highlight w:val="white"/>
        </w:rPr>
        <w:t xml:space="preserve">, </w:t>
      </w:r>
      <w:r>
        <w:rPr>
          <w:rFonts w:ascii="Arial Narrow" w:eastAsia="Arial Narrow" w:hAnsi="Arial Narrow" w:cs="Arial Narrow"/>
          <w:color w:val="000000"/>
          <w:sz w:val="20"/>
          <w:szCs w:val="20"/>
          <w:highlight w:val="white"/>
        </w:rPr>
        <w:t xml:space="preserve"> p.</w:t>
      </w:r>
      <w:r>
        <w:rPr>
          <w:rFonts w:ascii="Arial Narrow" w:eastAsia="Arial Narrow" w:hAnsi="Arial Narrow" w:cs="Arial Narrow"/>
          <w:color w:val="000000"/>
          <w:sz w:val="20"/>
          <w:szCs w:val="20"/>
        </w:rPr>
        <w:t xml:space="preserve">                                                                                                                                                                                                                                                      </w:t>
      </w:r>
    </w:p>
  </w:footnote>
  <w:footnote w:id="2">
    <w:p w:rsidR="0074421F" w:rsidRDefault="0074421F" w:rsidP="0074421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i/>
          <w:color w:val="000000"/>
          <w:sz w:val="20"/>
          <w:szCs w:val="20"/>
        </w:rPr>
        <w:t>Ibid</w:t>
      </w:r>
      <w:r>
        <w:rPr>
          <w:rFonts w:ascii="Arial Narrow" w:eastAsia="Arial Narrow" w:hAnsi="Arial Narrow" w:cs="Arial Narrow"/>
          <w:color w:val="000000"/>
          <w:sz w:val="20"/>
          <w:szCs w:val="20"/>
        </w:rPr>
        <w:t>, p. 38</w:t>
      </w:r>
    </w:p>
  </w:footnote>
  <w:footnote w:id="3">
    <w:p w:rsidR="0074421F" w:rsidRDefault="0074421F" w:rsidP="0074421F">
      <w:pPr>
        <w:pStyle w:val="Normal1"/>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Sudikno Martokusumo, 2001,  </w:t>
      </w:r>
      <w:r>
        <w:rPr>
          <w:rFonts w:ascii="Arial Narrow" w:eastAsia="Arial Narrow" w:hAnsi="Arial Narrow" w:cs="Arial Narrow"/>
          <w:i/>
          <w:color w:val="000000"/>
          <w:sz w:val="20"/>
          <w:szCs w:val="20"/>
        </w:rPr>
        <w:t>Legal Discovery An Introduction</w:t>
      </w:r>
      <w:r>
        <w:rPr>
          <w:rFonts w:ascii="Arial Narrow" w:eastAsia="Arial Narrow" w:hAnsi="Arial Narrow" w:cs="Arial Narrow"/>
          <w:color w:val="000000"/>
          <w:sz w:val="20"/>
          <w:szCs w:val="20"/>
        </w:rPr>
        <w:t>, cet. II, Yogyakarta: Liberty,, p. 29</w:t>
      </w:r>
    </w:p>
  </w:footnote>
  <w:footnote w:id="4">
    <w:p w:rsidR="0074421F" w:rsidRDefault="0074421F" w:rsidP="0074421F">
      <w:pPr>
        <w:pStyle w:val="Normal1"/>
        <w:pBdr>
          <w:top w:val="nil"/>
          <w:left w:val="nil"/>
          <w:bottom w:val="nil"/>
          <w:right w:val="nil"/>
          <w:between w:val="nil"/>
        </w:pBdr>
        <w:spacing w:after="0" w:line="240" w:lineRule="auto"/>
        <w:ind w:left="180" w:hanging="180"/>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Mukti Fajar and Yulianto Achmad, Indonesian Business Competition Law, Yogyakarta: Liberty</w:t>
      </w:r>
      <w:r>
        <w:rPr>
          <w:rFonts w:ascii="Arial Narrow" w:eastAsia="Arial Narrow" w:hAnsi="Arial Narrow" w:cs="Arial Narrow"/>
          <w:i/>
          <w:color w:val="000000"/>
          <w:sz w:val="20"/>
          <w:szCs w:val="20"/>
        </w:rPr>
        <w:t xml:space="preserve"> </w:t>
      </w:r>
      <w:r>
        <w:rPr>
          <w:rFonts w:ascii="Arial Narrow" w:eastAsia="Arial Narrow" w:hAnsi="Arial Narrow" w:cs="Arial Narrow"/>
          <w:color w:val="000000"/>
          <w:sz w:val="20"/>
          <w:szCs w:val="20"/>
        </w:rPr>
        <w:t>pp. 51.</w:t>
      </w:r>
    </w:p>
  </w:footnote>
  <w:footnote w:id="5">
    <w:p w:rsidR="0074421F" w:rsidRDefault="0074421F" w:rsidP="0074421F">
      <w:pPr>
        <w:pStyle w:val="Normal1"/>
        <w:pBdr>
          <w:top w:val="nil"/>
          <w:left w:val="nil"/>
          <w:bottom w:val="nil"/>
          <w:right w:val="nil"/>
          <w:between w:val="nil"/>
        </w:pBdr>
        <w:spacing w:after="0" w:line="240" w:lineRule="auto"/>
        <w:ind w:left="180" w:hanging="180"/>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Abdulkadir Muhammad, 2004, </w:t>
      </w:r>
      <w:r>
        <w:rPr>
          <w:rFonts w:ascii="Arial Narrow" w:eastAsia="Arial Narrow" w:hAnsi="Arial Narrow" w:cs="Arial Narrow"/>
          <w:i/>
          <w:color w:val="000000"/>
          <w:sz w:val="20"/>
          <w:szCs w:val="20"/>
        </w:rPr>
        <w:t>Law and Legal Research</w:t>
      </w:r>
      <w:r>
        <w:rPr>
          <w:rFonts w:ascii="Arial Narrow" w:eastAsia="Arial Narrow" w:hAnsi="Arial Narrow" w:cs="Arial Narrow"/>
          <w:color w:val="000000"/>
          <w:sz w:val="20"/>
          <w:szCs w:val="20"/>
        </w:rPr>
        <w:t>, Bandung: Citra Aditya Bakti, p. 132.</w:t>
      </w:r>
    </w:p>
  </w:footnote>
  <w:footnote w:id="6">
    <w:p w:rsidR="0074421F" w:rsidRDefault="0074421F" w:rsidP="0074421F">
      <w:pPr>
        <w:pStyle w:val="Heading1"/>
        <w:shd w:val="clear" w:color="auto" w:fill="FFFFFF"/>
        <w:spacing w:before="0" w:after="0" w:line="240" w:lineRule="auto"/>
        <w:jc w:val="both"/>
        <w:rPr>
          <w:rFonts w:ascii="Arial Narrow" w:eastAsia="Arial Narrow" w:hAnsi="Arial Narrow" w:cs="Arial Narrow"/>
          <w:b w:val="0"/>
          <w:color w:val="333333"/>
          <w:sz w:val="20"/>
          <w:szCs w:val="20"/>
        </w:rPr>
      </w:pPr>
      <w:r>
        <w:rPr>
          <w:vertAlign w:val="superscript"/>
        </w:rPr>
        <w:footnoteRef/>
      </w:r>
      <w:r>
        <w:rPr>
          <w:rFonts w:ascii="Arial Narrow" w:eastAsia="Arial Narrow" w:hAnsi="Arial Narrow" w:cs="Arial Narrow"/>
          <w:b w:val="0"/>
          <w:sz w:val="20"/>
          <w:szCs w:val="20"/>
        </w:rPr>
        <w:t xml:space="preserve"> DHM </w:t>
      </w:r>
      <w:proofErr w:type="spellStart"/>
      <w:r>
        <w:rPr>
          <w:rFonts w:ascii="Arial Narrow" w:eastAsia="Arial Narrow" w:hAnsi="Arial Narrow" w:cs="Arial Narrow"/>
          <w:b w:val="0"/>
          <w:sz w:val="20"/>
          <w:szCs w:val="20"/>
        </w:rPr>
        <w:t>Meuwissen</w:t>
      </w:r>
      <w:proofErr w:type="spellEnd"/>
      <w:r>
        <w:rPr>
          <w:rFonts w:ascii="Arial Narrow" w:eastAsia="Arial Narrow" w:hAnsi="Arial Narrow" w:cs="Arial Narrow"/>
          <w:b w:val="0"/>
          <w:sz w:val="20"/>
          <w:szCs w:val="20"/>
        </w:rPr>
        <w:t>, 2014</w:t>
      </w:r>
      <w:proofErr w:type="gramStart"/>
      <w:r>
        <w:rPr>
          <w:rFonts w:ascii="Arial Narrow" w:eastAsia="Arial Narrow" w:hAnsi="Arial Narrow" w:cs="Arial Narrow"/>
          <w:b w:val="0"/>
          <w:sz w:val="20"/>
          <w:szCs w:val="20"/>
        </w:rPr>
        <w:t>,Empowerment</w:t>
      </w:r>
      <w:proofErr w:type="gramEnd"/>
      <w:r>
        <w:rPr>
          <w:rFonts w:ascii="Arial Narrow" w:eastAsia="Arial Narrow" w:hAnsi="Arial Narrow" w:cs="Arial Narrow"/>
          <w:b w:val="0"/>
          <w:sz w:val="20"/>
          <w:szCs w:val="20"/>
        </w:rPr>
        <w:t xml:space="preserve">, </w:t>
      </w:r>
      <w:r>
        <w:rPr>
          <w:rFonts w:ascii="Arial Narrow" w:eastAsia="Arial Narrow" w:hAnsi="Arial Narrow" w:cs="Arial Narrow"/>
          <w:b w:val="0"/>
          <w:i/>
          <w:sz w:val="20"/>
          <w:szCs w:val="20"/>
        </w:rPr>
        <w:t xml:space="preserve">Concerning </w:t>
      </w:r>
      <w:proofErr w:type="spellStart"/>
      <w:r>
        <w:rPr>
          <w:rFonts w:ascii="Arial Narrow" w:eastAsia="Arial Narrow" w:hAnsi="Arial Narrow" w:cs="Arial Narrow"/>
          <w:b w:val="0"/>
          <w:i/>
          <w:sz w:val="20"/>
          <w:szCs w:val="20"/>
        </w:rPr>
        <w:t>LegalLegal</w:t>
      </w:r>
      <w:proofErr w:type="spellEnd"/>
      <w:r>
        <w:rPr>
          <w:rFonts w:ascii="Arial Narrow" w:eastAsia="Arial Narrow" w:hAnsi="Arial Narrow" w:cs="Arial Narrow"/>
          <w:b w:val="0"/>
          <w:i/>
          <w:sz w:val="20"/>
          <w:szCs w:val="20"/>
        </w:rPr>
        <w:t xml:space="preserve"> Science, Legal Theory and Philosophy of Law</w:t>
      </w:r>
      <w:r>
        <w:rPr>
          <w:rFonts w:ascii="Arial Narrow" w:eastAsia="Arial Narrow" w:hAnsi="Arial Narrow" w:cs="Arial Narrow"/>
          <w:b w:val="0"/>
          <w:sz w:val="20"/>
          <w:szCs w:val="20"/>
        </w:rPr>
        <w:t xml:space="preserve"> </w:t>
      </w:r>
      <w:r>
        <w:rPr>
          <w:rFonts w:ascii="Arial Narrow" w:eastAsia="Arial Narrow" w:hAnsi="Arial Narrow" w:cs="Arial Narrow"/>
          <w:sz w:val="20"/>
          <w:szCs w:val="20"/>
        </w:rPr>
        <w:t xml:space="preserve"> </w:t>
      </w:r>
      <w:r>
        <w:rPr>
          <w:rFonts w:ascii="Arial Narrow" w:eastAsia="Arial Narrow" w:hAnsi="Arial Narrow" w:cs="Arial Narrow"/>
          <w:b w:val="0"/>
          <w:sz w:val="20"/>
          <w:szCs w:val="20"/>
        </w:rPr>
        <w:t xml:space="preserve">over the language by B. </w:t>
      </w:r>
      <w:proofErr w:type="spellStart"/>
      <w:r>
        <w:rPr>
          <w:rFonts w:ascii="Arial Narrow" w:eastAsia="Arial Narrow" w:hAnsi="Arial Narrow" w:cs="Arial Narrow"/>
          <w:b w:val="0"/>
          <w:sz w:val="20"/>
          <w:szCs w:val="20"/>
        </w:rPr>
        <w:t>Arief</w:t>
      </w:r>
      <w:proofErr w:type="spellEnd"/>
      <w:r>
        <w:rPr>
          <w:rFonts w:ascii="Arial Narrow" w:eastAsia="Arial Narrow" w:hAnsi="Arial Narrow" w:cs="Arial Narrow"/>
          <w:b w:val="0"/>
          <w:sz w:val="20"/>
          <w:szCs w:val="20"/>
        </w:rPr>
        <w:t xml:space="preserve"> </w:t>
      </w:r>
      <w:proofErr w:type="spellStart"/>
      <w:r>
        <w:rPr>
          <w:rFonts w:ascii="Arial Narrow" w:eastAsia="Arial Narrow" w:hAnsi="Arial Narrow" w:cs="Arial Narrow"/>
          <w:b w:val="0"/>
          <w:sz w:val="20"/>
          <w:szCs w:val="20"/>
        </w:rPr>
        <w:t>Sidharta</w:t>
      </w:r>
      <w:proofErr w:type="spellEnd"/>
      <w:r>
        <w:rPr>
          <w:rFonts w:ascii="Arial Narrow" w:eastAsia="Arial Narrow" w:hAnsi="Arial Narrow" w:cs="Arial Narrow"/>
          <w:b w:val="0"/>
          <w:sz w:val="20"/>
          <w:szCs w:val="20"/>
        </w:rPr>
        <w:t xml:space="preserve">, Surabaya: </w:t>
      </w:r>
      <w:proofErr w:type="spellStart"/>
      <w:r>
        <w:rPr>
          <w:rFonts w:ascii="Arial Narrow" w:eastAsia="Arial Narrow" w:hAnsi="Arial Narrow" w:cs="Arial Narrow"/>
          <w:b w:val="0"/>
          <w:sz w:val="20"/>
          <w:szCs w:val="20"/>
        </w:rPr>
        <w:t>Refika</w:t>
      </w:r>
      <w:proofErr w:type="spellEnd"/>
      <w:r>
        <w:rPr>
          <w:rFonts w:ascii="Arial Narrow" w:eastAsia="Arial Narrow" w:hAnsi="Arial Narrow" w:cs="Arial Narrow"/>
          <w:b w:val="0"/>
          <w:sz w:val="20"/>
          <w:szCs w:val="20"/>
        </w:rPr>
        <w:t xml:space="preserve"> </w:t>
      </w:r>
      <w:proofErr w:type="spellStart"/>
      <w:r>
        <w:rPr>
          <w:rFonts w:ascii="Arial Narrow" w:eastAsia="Arial Narrow" w:hAnsi="Arial Narrow" w:cs="Arial Narrow"/>
          <w:b w:val="0"/>
          <w:sz w:val="20"/>
          <w:szCs w:val="20"/>
        </w:rPr>
        <w:t>Aditama</w:t>
      </w:r>
      <w:proofErr w:type="spellEnd"/>
      <w:r>
        <w:rPr>
          <w:rFonts w:ascii="Arial Narrow" w:eastAsia="Arial Narrow" w:hAnsi="Arial Narrow" w:cs="Arial Narrow"/>
          <w:b w:val="0"/>
          <w:sz w:val="20"/>
          <w:szCs w:val="20"/>
        </w:rPr>
        <w:t xml:space="preserve"> p</w:t>
      </w:r>
    </w:p>
  </w:footnote>
  <w:footnote w:id="7">
    <w:p w:rsidR="0074421F" w:rsidRDefault="0074421F" w:rsidP="0074421F">
      <w:pPr>
        <w:pStyle w:val="Normal1"/>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hyperlink r:id="rId1">
        <w:r>
          <w:rPr>
            <w:rFonts w:ascii="Arial Narrow" w:eastAsia="Arial Narrow" w:hAnsi="Arial Narrow" w:cs="Arial Narrow"/>
            <w:color w:val="000000"/>
            <w:sz w:val="20"/>
            <w:szCs w:val="20"/>
            <w:u w:val="single"/>
          </w:rPr>
          <w:t>https://supreme.justia.com/cases/federal/us/224/383/case.html</w:t>
        </w:r>
      </w:hyperlink>
      <w:r>
        <w:rPr>
          <w:rFonts w:ascii="Arial Narrow" w:eastAsia="Arial Narrow" w:hAnsi="Arial Narrow" w:cs="Arial Narrow"/>
          <w:color w:val="000000"/>
          <w:sz w:val="20"/>
          <w:szCs w:val="20"/>
        </w:rPr>
        <w:t>, accessed on 28 January 2017</w:t>
      </w:r>
    </w:p>
  </w:footnote>
  <w:footnote w:id="8">
    <w:p w:rsidR="0074421F" w:rsidRDefault="0074421F" w:rsidP="0074421F">
      <w:pPr>
        <w:pStyle w:val="Normal1"/>
        <w:spacing w:after="0"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Vassilis Hatzopoulos, 2006, </w:t>
      </w:r>
      <w:r>
        <w:rPr>
          <w:rFonts w:ascii="Arial Narrow" w:eastAsia="Arial Narrow" w:hAnsi="Arial Narrow" w:cs="Arial Narrow"/>
          <w:i/>
          <w:sz w:val="20"/>
          <w:szCs w:val="20"/>
        </w:rPr>
        <w:t>The EU essential facilities doctrine 1</w:t>
      </w:r>
      <w:r>
        <w:rPr>
          <w:rFonts w:ascii="Arial Narrow" w:eastAsia="Arial Narrow" w:hAnsi="Arial Narrow" w:cs="Arial Narrow"/>
          <w:sz w:val="20"/>
          <w:szCs w:val="20"/>
        </w:rPr>
        <w:t>, European Legal Studies, p44</w:t>
      </w:r>
      <w:r>
        <w:rPr>
          <w:rFonts w:ascii="Arial Narrow" w:eastAsia="Arial Narrow" w:hAnsi="Arial Narrow" w:cs="Arial Narrow"/>
          <w:sz w:val="20"/>
          <w:szCs w:val="20"/>
        </w:rPr>
        <w:tab/>
      </w:r>
    </w:p>
  </w:footnote>
  <w:footnote w:id="9">
    <w:p w:rsidR="0074421F" w:rsidRDefault="0074421F" w:rsidP="0074421F">
      <w:pPr>
        <w:pStyle w:val="Normal1"/>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i/>
          <w:color w:val="000000"/>
          <w:sz w:val="20"/>
          <w:szCs w:val="20"/>
        </w:rPr>
        <w:t>Ibid</w:t>
      </w:r>
      <w:r>
        <w:rPr>
          <w:rFonts w:ascii="Arial Narrow" w:eastAsia="Arial Narrow" w:hAnsi="Arial Narrow" w:cs="Arial Narrow"/>
          <w:color w:val="000000"/>
          <w:sz w:val="20"/>
          <w:szCs w:val="20"/>
        </w:rPr>
        <w:t xml:space="preserve"> 47</w:t>
      </w:r>
    </w:p>
  </w:footnote>
  <w:footnote w:id="10">
    <w:p w:rsidR="0074421F" w:rsidRDefault="0074421F" w:rsidP="0074421F">
      <w:pPr>
        <w:pStyle w:val="Normal1"/>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r>
        <w:rPr>
          <w:rFonts w:ascii="Arial Narrow" w:eastAsia="Arial Narrow" w:hAnsi="Arial Narrow" w:cs="Arial Narrow"/>
          <w:i/>
          <w:color w:val="000000"/>
          <w:sz w:val="20"/>
          <w:szCs w:val="20"/>
        </w:rPr>
        <w:t xml:space="preserve">Ibid </w:t>
      </w:r>
      <w:r>
        <w:rPr>
          <w:rFonts w:ascii="Arial Narrow" w:eastAsia="Arial Narrow" w:hAnsi="Arial Narrow" w:cs="Arial Narrow"/>
          <w:color w:val="000000"/>
          <w:sz w:val="20"/>
          <w:szCs w:val="20"/>
        </w:rPr>
        <w:t>p 48</w:t>
      </w:r>
    </w:p>
  </w:footnote>
  <w:footnote w:id="11">
    <w:p w:rsidR="0074421F" w:rsidRDefault="0074421F" w:rsidP="0074421F">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Arial Narrow" w:eastAsia="Arial Narrow" w:hAnsi="Arial Narrow" w:cs="Arial Narrow"/>
          <w:i/>
          <w:color w:val="000000"/>
          <w:sz w:val="20"/>
          <w:szCs w:val="20"/>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918"/>
    <w:multiLevelType w:val="multilevel"/>
    <w:tmpl w:val="57A84E56"/>
    <w:lvl w:ilvl="0">
      <w:start w:val="1"/>
      <w:numFmt w:val="decimal"/>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1">
    <w:nsid w:val="23FF2D9E"/>
    <w:multiLevelType w:val="multilevel"/>
    <w:tmpl w:val="9D8C9AEA"/>
    <w:lvl w:ilvl="0">
      <w:start w:val="1"/>
      <w:numFmt w:val="lowerLetter"/>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26C478A7"/>
    <w:multiLevelType w:val="multilevel"/>
    <w:tmpl w:val="DEA4F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FB66AA"/>
    <w:multiLevelType w:val="multilevel"/>
    <w:tmpl w:val="A7D06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143DE4"/>
    <w:multiLevelType w:val="multilevel"/>
    <w:tmpl w:val="1F7C29A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4744E6"/>
    <w:multiLevelType w:val="multilevel"/>
    <w:tmpl w:val="FB2ED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537D35"/>
    <w:multiLevelType w:val="multilevel"/>
    <w:tmpl w:val="560ED3FC"/>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3EF"/>
    <w:rsid w:val="0004052D"/>
    <w:rsid w:val="00112186"/>
    <w:rsid w:val="00191AF4"/>
    <w:rsid w:val="0030077C"/>
    <w:rsid w:val="006403EF"/>
    <w:rsid w:val="00713E20"/>
    <w:rsid w:val="0074421F"/>
    <w:rsid w:val="00747EF7"/>
    <w:rsid w:val="00C556E3"/>
    <w:rsid w:val="00EB70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E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4421F"/>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EF"/>
    <w:pPr>
      <w:spacing w:after="200" w:line="276" w:lineRule="auto"/>
      <w:ind w:left="720"/>
      <w:contextualSpacing/>
    </w:pPr>
    <w:rPr>
      <w:rFonts w:ascii="Calibri" w:eastAsia="Calibri" w:hAnsi="Calibri"/>
      <w:sz w:val="22"/>
      <w:szCs w:val="22"/>
    </w:rPr>
  </w:style>
  <w:style w:type="character" w:styleId="Emphasis">
    <w:name w:val="Emphasis"/>
    <w:uiPriority w:val="20"/>
    <w:qFormat/>
    <w:rsid w:val="006403EF"/>
    <w:rPr>
      <w:i/>
      <w:iCs/>
    </w:rPr>
  </w:style>
  <w:style w:type="character" w:customStyle="1" w:styleId="st">
    <w:name w:val="st"/>
    <w:rsid w:val="006403EF"/>
  </w:style>
  <w:style w:type="paragraph" w:styleId="BalloonText">
    <w:name w:val="Balloon Text"/>
    <w:basedOn w:val="Normal"/>
    <w:link w:val="BalloonTextChar"/>
    <w:uiPriority w:val="99"/>
    <w:semiHidden/>
    <w:unhideWhenUsed/>
    <w:rsid w:val="006403EF"/>
    <w:rPr>
      <w:rFonts w:ascii="Tahoma" w:hAnsi="Tahoma" w:cs="Tahoma"/>
      <w:sz w:val="16"/>
      <w:szCs w:val="16"/>
    </w:rPr>
  </w:style>
  <w:style w:type="character" w:customStyle="1" w:styleId="BalloonTextChar">
    <w:name w:val="Balloon Text Char"/>
    <w:basedOn w:val="DefaultParagraphFont"/>
    <w:link w:val="BalloonText"/>
    <w:uiPriority w:val="99"/>
    <w:semiHidden/>
    <w:rsid w:val="006403EF"/>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6403EF"/>
    <w:rPr>
      <w:rFonts w:ascii="Tahoma" w:hAnsi="Tahoma" w:cs="Tahoma"/>
      <w:sz w:val="16"/>
      <w:szCs w:val="16"/>
    </w:rPr>
  </w:style>
  <w:style w:type="character" w:customStyle="1" w:styleId="DocumentMapChar">
    <w:name w:val="Document Map Char"/>
    <w:basedOn w:val="DefaultParagraphFont"/>
    <w:link w:val="DocumentMap"/>
    <w:uiPriority w:val="99"/>
    <w:semiHidden/>
    <w:rsid w:val="006403EF"/>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4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6403EF"/>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74421F"/>
    <w:rPr>
      <w:rFonts w:ascii="Cambria" w:eastAsia="Times New Roman" w:hAnsi="Cambria" w:cs="Times New Roman"/>
      <w:b/>
      <w:bCs/>
      <w:kern w:val="32"/>
      <w:sz w:val="32"/>
      <w:szCs w:val="32"/>
      <w:lang w:val="en-US"/>
    </w:rPr>
  </w:style>
  <w:style w:type="paragraph" w:styleId="Bibliography">
    <w:name w:val="Bibliography"/>
    <w:basedOn w:val="Normal"/>
    <w:next w:val="Normal"/>
    <w:uiPriority w:val="37"/>
    <w:unhideWhenUsed/>
    <w:rsid w:val="0074421F"/>
    <w:pPr>
      <w:spacing w:after="200" w:line="276" w:lineRule="auto"/>
    </w:pPr>
    <w:rPr>
      <w:rFonts w:ascii="Calibri" w:eastAsia="Calibri" w:hAnsi="Calibri"/>
      <w:sz w:val="22"/>
      <w:szCs w:val="22"/>
    </w:rPr>
  </w:style>
  <w:style w:type="paragraph" w:customStyle="1" w:styleId="Normal1">
    <w:name w:val="Normal1"/>
    <w:rsid w:val="0074421F"/>
    <w:rPr>
      <w:rFonts w:ascii="Calibri" w:eastAsia="Calibri" w:hAnsi="Calibri" w:cs="Calibri"/>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E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4421F"/>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EF"/>
    <w:pPr>
      <w:spacing w:after="200" w:line="276" w:lineRule="auto"/>
      <w:ind w:left="720"/>
      <w:contextualSpacing/>
    </w:pPr>
    <w:rPr>
      <w:rFonts w:ascii="Calibri" w:eastAsia="Calibri" w:hAnsi="Calibri"/>
      <w:sz w:val="22"/>
      <w:szCs w:val="22"/>
    </w:rPr>
  </w:style>
  <w:style w:type="character" w:styleId="Emphasis">
    <w:name w:val="Emphasis"/>
    <w:uiPriority w:val="20"/>
    <w:qFormat/>
    <w:rsid w:val="006403EF"/>
    <w:rPr>
      <w:i/>
      <w:iCs/>
    </w:rPr>
  </w:style>
  <w:style w:type="character" w:customStyle="1" w:styleId="st">
    <w:name w:val="st"/>
    <w:rsid w:val="006403EF"/>
  </w:style>
  <w:style w:type="paragraph" w:styleId="BalloonText">
    <w:name w:val="Balloon Text"/>
    <w:basedOn w:val="Normal"/>
    <w:link w:val="BalloonTextChar"/>
    <w:uiPriority w:val="99"/>
    <w:semiHidden/>
    <w:unhideWhenUsed/>
    <w:rsid w:val="006403EF"/>
    <w:rPr>
      <w:rFonts w:ascii="Tahoma" w:hAnsi="Tahoma" w:cs="Tahoma"/>
      <w:sz w:val="16"/>
      <w:szCs w:val="16"/>
    </w:rPr>
  </w:style>
  <w:style w:type="character" w:customStyle="1" w:styleId="BalloonTextChar">
    <w:name w:val="Balloon Text Char"/>
    <w:basedOn w:val="DefaultParagraphFont"/>
    <w:link w:val="BalloonText"/>
    <w:uiPriority w:val="99"/>
    <w:semiHidden/>
    <w:rsid w:val="006403EF"/>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6403EF"/>
    <w:rPr>
      <w:rFonts w:ascii="Tahoma" w:hAnsi="Tahoma" w:cs="Tahoma"/>
      <w:sz w:val="16"/>
      <w:szCs w:val="16"/>
    </w:rPr>
  </w:style>
  <w:style w:type="character" w:customStyle="1" w:styleId="DocumentMapChar">
    <w:name w:val="Document Map Char"/>
    <w:basedOn w:val="DefaultParagraphFont"/>
    <w:link w:val="DocumentMap"/>
    <w:uiPriority w:val="99"/>
    <w:semiHidden/>
    <w:rsid w:val="006403EF"/>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4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6403EF"/>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74421F"/>
    <w:rPr>
      <w:rFonts w:ascii="Cambria" w:eastAsia="Times New Roman" w:hAnsi="Cambria" w:cs="Times New Roman"/>
      <w:b/>
      <w:bCs/>
      <w:kern w:val="32"/>
      <w:sz w:val="32"/>
      <w:szCs w:val="32"/>
      <w:lang w:val="en-US"/>
    </w:rPr>
  </w:style>
  <w:style w:type="paragraph" w:styleId="Bibliography">
    <w:name w:val="Bibliography"/>
    <w:basedOn w:val="Normal"/>
    <w:next w:val="Normal"/>
    <w:uiPriority w:val="37"/>
    <w:unhideWhenUsed/>
    <w:rsid w:val="0074421F"/>
    <w:pPr>
      <w:spacing w:after="200" w:line="276" w:lineRule="auto"/>
    </w:pPr>
    <w:rPr>
      <w:rFonts w:ascii="Calibri" w:eastAsia="Calibri" w:hAnsi="Calibri"/>
      <w:sz w:val="22"/>
      <w:szCs w:val="22"/>
    </w:rPr>
  </w:style>
  <w:style w:type="paragraph" w:customStyle="1" w:styleId="Normal1">
    <w:name w:val="Normal1"/>
    <w:rsid w:val="0074421F"/>
    <w:rPr>
      <w:rFonts w:ascii="Calibri" w:eastAsia="Calibri" w:hAnsi="Calibri" w:cs="Calibri"/>
      <w:lang w:eastAsia="id-ID"/>
    </w:rPr>
  </w:style>
</w:styles>
</file>

<file path=word/webSettings.xml><?xml version="1.0" encoding="utf-8"?>
<w:webSettings xmlns:r="http://schemas.openxmlformats.org/officeDocument/2006/relationships" xmlns:w="http://schemas.openxmlformats.org/wordprocessingml/2006/main">
  <w:divs>
    <w:div w:id="17513638">
      <w:bodyDiv w:val="1"/>
      <w:marLeft w:val="0"/>
      <w:marRight w:val="0"/>
      <w:marTop w:val="0"/>
      <w:marBottom w:val="0"/>
      <w:divBdr>
        <w:top w:val="none" w:sz="0" w:space="0" w:color="auto"/>
        <w:left w:val="none" w:sz="0" w:space="0" w:color="auto"/>
        <w:bottom w:val="none" w:sz="0" w:space="0" w:color="auto"/>
        <w:right w:val="none" w:sz="0" w:space="0" w:color="auto"/>
      </w:divBdr>
    </w:div>
    <w:div w:id="49111166">
      <w:bodyDiv w:val="1"/>
      <w:marLeft w:val="0"/>
      <w:marRight w:val="0"/>
      <w:marTop w:val="0"/>
      <w:marBottom w:val="0"/>
      <w:divBdr>
        <w:top w:val="none" w:sz="0" w:space="0" w:color="auto"/>
        <w:left w:val="none" w:sz="0" w:space="0" w:color="auto"/>
        <w:bottom w:val="none" w:sz="0" w:space="0" w:color="auto"/>
        <w:right w:val="none" w:sz="0" w:space="0" w:color="auto"/>
      </w:divBdr>
      <w:divsChild>
        <w:div w:id="425419710">
          <w:marLeft w:val="0"/>
          <w:marRight w:val="0"/>
          <w:marTop w:val="0"/>
          <w:marBottom w:val="0"/>
          <w:divBdr>
            <w:top w:val="none" w:sz="0" w:space="0" w:color="auto"/>
            <w:left w:val="none" w:sz="0" w:space="0" w:color="auto"/>
            <w:bottom w:val="none" w:sz="0" w:space="0" w:color="auto"/>
            <w:right w:val="none" w:sz="0" w:space="0" w:color="auto"/>
          </w:divBdr>
          <w:divsChild>
            <w:div w:id="1004287988">
              <w:marLeft w:val="0"/>
              <w:marRight w:val="0"/>
              <w:marTop w:val="0"/>
              <w:marBottom w:val="0"/>
              <w:divBdr>
                <w:top w:val="none" w:sz="0" w:space="0" w:color="auto"/>
                <w:left w:val="none" w:sz="0" w:space="0" w:color="auto"/>
                <w:bottom w:val="none" w:sz="0" w:space="0" w:color="auto"/>
                <w:right w:val="none" w:sz="0" w:space="0" w:color="auto"/>
              </w:divBdr>
              <w:divsChild>
                <w:div w:id="15053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8379">
      <w:bodyDiv w:val="1"/>
      <w:marLeft w:val="0"/>
      <w:marRight w:val="0"/>
      <w:marTop w:val="0"/>
      <w:marBottom w:val="0"/>
      <w:divBdr>
        <w:top w:val="none" w:sz="0" w:space="0" w:color="auto"/>
        <w:left w:val="none" w:sz="0" w:space="0" w:color="auto"/>
        <w:bottom w:val="none" w:sz="0" w:space="0" w:color="auto"/>
        <w:right w:val="none" w:sz="0" w:space="0" w:color="auto"/>
      </w:divBdr>
      <w:divsChild>
        <w:div w:id="2016767354">
          <w:marLeft w:val="0"/>
          <w:marRight w:val="0"/>
          <w:marTop w:val="0"/>
          <w:marBottom w:val="0"/>
          <w:divBdr>
            <w:top w:val="none" w:sz="0" w:space="0" w:color="auto"/>
            <w:left w:val="none" w:sz="0" w:space="0" w:color="auto"/>
            <w:bottom w:val="none" w:sz="0" w:space="0" w:color="auto"/>
            <w:right w:val="none" w:sz="0" w:space="0" w:color="auto"/>
          </w:divBdr>
          <w:divsChild>
            <w:div w:id="2058896952">
              <w:marLeft w:val="0"/>
              <w:marRight w:val="0"/>
              <w:marTop w:val="0"/>
              <w:marBottom w:val="0"/>
              <w:divBdr>
                <w:top w:val="none" w:sz="0" w:space="0" w:color="auto"/>
                <w:left w:val="none" w:sz="0" w:space="0" w:color="auto"/>
                <w:bottom w:val="none" w:sz="0" w:space="0" w:color="auto"/>
                <w:right w:val="none" w:sz="0" w:space="0" w:color="auto"/>
              </w:divBdr>
              <w:divsChild>
                <w:div w:id="986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upreme.justia.com/cases/federal/us/224/383/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0F4C9-5748-46F9-AD1A-3578C79C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Nandiwee_Adiccon</dc:creator>
  <cp:lastModifiedBy>MIH UNDIP AKADEMIK</cp:lastModifiedBy>
  <cp:revision>2</cp:revision>
  <cp:lastPrinted>2018-06-22T05:05:00Z</cp:lastPrinted>
  <dcterms:created xsi:type="dcterms:W3CDTF">2018-06-26T06:45:00Z</dcterms:created>
  <dcterms:modified xsi:type="dcterms:W3CDTF">2018-06-26T06:45:00Z</dcterms:modified>
</cp:coreProperties>
</file>