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A8BBBC" w14:textId="77777777" w:rsidR="00F04545" w:rsidRPr="00BF64DA" w:rsidRDefault="00F04545" w:rsidP="00BF64DA">
      <w:pPr>
        <w:spacing w:after="0" w:line="240" w:lineRule="auto"/>
        <w:jc w:val="both"/>
        <w:rPr>
          <w:rFonts w:ascii="Cambria" w:hAnsi="Cambria"/>
          <w:b/>
          <w:bCs/>
          <w:sz w:val="28"/>
          <w:szCs w:val="28"/>
        </w:rPr>
      </w:pPr>
      <w:r w:rsidRPr="00BF64DA">
        <w:rPr>
          <w:rFonts w:ascii="Cambria" w:hAnsi="Cambria"/>
          <w:b/>
          <w:bCs/>
          <w:sz w:val="28"/>
          <w:szCs w:val="28"/>
        </w:rPr>
        <w:t>Digital Leadership Strategies in Public Health Transformation: A Systematic Review of the Literature on Multi-Level Governance Practices, Inequalities, and Policies</w:t>
      </w:r>
    </w:p>
    <w:p w14:paraId="4D3705D8" w14:textId="77777777" w:rsidR="00BF64DA" w:rsidRDefault="00BF64DA" w:rsidP="00BF64DA">
      <w:pPr>
        <w:spacing w:after="0" w:line="240" w:lineRule="auto"/>
        <w:jc w:val="both"/>
        <w:rPr>
          <w:rFonts w:ascii="Cambria" w:hAnsi="Cambria"/>
          <w:sz w:val="24"/>
          <w:szCs w:val="24"/>
        </w:rPr>
      </w:pPr>
    </w:p>
    <w:p w14:paraId="52E814B2" w14:textId="77777777" w:rsidR="00F034AD" w:rsidRPr="00F034AD" w:rsidRDefault="00F034AD" w:rsidP="00F034AD">
      <w:pPr>
        <w:spacing w:after="0" w:line="240" w:lineRule="auto"/>
        <w:jc w:val="center"/>
        <w:rPr>
          <w:rFonts w:ascii="Cambria" w:hAnsi="Cambria"/>
          <w:sz w:val="24"/>
          <w:szCs w:val="24"/>
        </w:rPr>
      </w:pPr>
      <w:r w:rsidRPr="00F034AD">
        <w:rPr>
          <w:rFonts w:ascii="Cambria" w:hAnsi="Cambria"/>
          <w:sz w:val="24"/>
          <w:szCs w:val="24"/>
        </w:rPr>
        <w:t>Fidi Mustafa1, Asna Aneta2, Yanti Aneta3</w:t>
      </w:r>
    </w:p>
    <w:p w14:paraId="2C6ED9B7" w14:textId="77777777" w:rsidR="00F034AD" w:rsidRPr="00F034AD" w:rsidRDefault="00F034AD" w:rsidP="00F034AD">
      <w:pPr>
        <w:spacing w:after="0" w:line="240" w:lineRule="auto"/>
        <w:jc w:val="center"/>
        <w:rPr>
          <w:rFonts w:ascii="Cambria" w:hAnsi="Cambria"/>
          <w:b/>
          <w:bCs/>
          <w:sz w:val="24"/>
          <w:szCs w:val="24"/>
        </w:rPr>
      </w:pPr>
      <w:r w:rsidRPr="00F034AD">
        <w:rPr>
          <w:rFonts w:ascii="Cambria" w:hAnsi="Cambria"/>
          <w:b/>
          <w:bCs/>
          <w:sz w:val="24"/>
          <w:szCs w:val="24"/>
          <w:vertAlign w:val="superscript"/>
        </w:rPr>
        <w:t>123</w:t>
      </w:r>
      <w:r w:rsidRPr="00F034AD">
        <w:rPr>
          <w:rFonts w:ascii="Cambria" w:hAnsi="Cambria"/>
          <w:sz w:val="24"/>
          <w:szCs w:val="24"/>
        </w:rPr>
        <w:t>Public Administration, Postgraduate, State University of Gorontalo, Indonesia</w:t>
      </w:r>
    </w:p>
    <w:p w14:paraId="33A30E48" w14:textId="77777777" w:rsidR="00F034AD" w:rsidRDefault="00F034AD" w:rsidP="00F034AD">
      <w:pPr>
        <w:spacing w:after="0" w:line="240" w:lineRule="auto"/>
        <w:jc w:val="center"/>
        <w:rPr>
          <w:rFonts w:ascii="Cambria" w:hAnsi="Cambria"/>
          <w:sz w:val="24"/>
          <w:szCs w:val="24"/>
        </w:rPr>
      </w:pPr>
      <w:r w:rsidRPr="00F034AD">
        <w:rPr>
          <w:rFonts w:ascii="Cambria" w:hAnsi="Cambria"/>
          <w:sz w:val="24"/>
          <w:szCs w:val="24"/>
          <w:vertAlign w:val="superscript"/>
        </w:rPr>
        <w:t>1</w:t>
      </w:r>
      <w:r w:rsidRPr="00F034AD">
        <w:rPr>
          <w:rFonts w:ascii="Cambria" w:hAnsi="Cambria"/>
          <w:sz w:val="24"/>
          <w:szCs w:val="24"/>
        </w:rPr>
        <w:t>e-mail:</w:t>
      </w:r>
      <w:hyperlink r:id="rId5" w:history="1">
        <w:r w:rsidRPr="00B13418">
          <w:rPr>
            <w:rStyle w:val="Hyperlink"/>
            <w:rFonts w:ascii="Cambria" w:hAnsi="Cambria"/>
            <w:sz w:val="24"/>
            <w:szCs w:val="24"/>
          </w:rPr>
          <w:t>fidimustafa112@gmail.com</w:t>
        </w:r>
      </w:hyperlink>
    </w:p>
    <w:p w14:paraId="1167C0F7" w14:textId="77777777" w:rsidR="00F034AD" w:rsidRPr="00F034AD" w:rsidRDefault="00F034AD" w:rsidP="00F034AD">
      <w:pPr>
        <w:spacing w:after="0" w:line="240" w:lineRule="auto"/>
        <w:jc w:val="center"/>
        <w:rPr>
          <w:rFonts w:ascii="Cambria" w:hAnsi="Cambria"/>
          <w:sz w:val="24"/>
          <w:szCs w:val="24"/>
        </w:rPr>
      </w:pPr>
      <w:r w:rsidRPr="00F034AD">
        <w:rPr>
          <w:rFonts w:ascii="Cambria" w:hAnsi="Cambria"/>
          <w:sz w:val="24"/>
          <w:szCs w:val="24"/>
          <w:vertAlign w:val="superscript"/>
        </w:rPr>
        <w:t>2</w:t>
      </w:r>
      <w:r w:rsidRPr="00F034AD">
        <w:rPr>
          <w:rFonts w:ascii="Cambria" w:hAnsi="Cambria"/>
          <w:sz w:val="24"/>
          <w:szCs w:val="24"/>
        </w:rPr>
        <w:t>e-mail:</w:t>
      </w:r>
      <w:hyperlink r:id="rId6" w:history="1">
        <w:r w:rsidRPr="00F034AD">
          <w:rPr>
            <w:rStyle w:val="Hyperlink"/>
            <w:rFonts w:ascii="Cambria" w:hAnsi="Cambria"/>
            <w:sz w:val="24"/>
            <w:szCs w:val="24"/>
          </w:rPr>
          <w:t>asnaatiek.aneta@ung.ac.id</w:t>
        </w:r>
      </w:hyperlink>
    </w:p>
    <w:p w14:paraId="54629148" w14:textId="77777777" w:rsidR="00F034AD" w:rsidRPr="00F034AD" w:rsidRDefault="00F034AD" w:rsidP="00F034AD">
      <w:pPr>
        <w:spacing w:after="0" w:line="240" w:lineRule="auto"/>
        <w:jc w:val="center"/>
        <w:rPr>
          <w:rFonts w:ascii="Cambria" w:hAnsi="Cambria"/>
          <w:sz w:val="24"/>
          <w:szCs w:val="24"/>
        </w:rPr>
      </w:pPr>
      <w:r w:rsidRPr="00F034AD">
        <w:rPr>
          <w:rFonts w:ascii="Cambria" w:hAnsi="Cambria"/>
          <w:sz w:val="24"/>
          <w:szCs w:val="24"/>
          <w:vertAlign w:val="superscript"/>
        </w:rPr>
        <w:t>3</w:t>
      </w:r>
      <w:r w:rsidRPr="00F034AD">
        <w:rPr>
          <w:rFonts w:ascii="Cambria" w:hAnsi="Cambria"/>
          <w:sz w:val="24"/>
          <w:szCs w:val="24"/>
        </w:rPr>
        <w:t>e-mail:</w:t>
      </w:r>
      <w:hyperlink r:id="rId7" w:history="1">
        <w:r w:rsidRPr="00F034AD">
          <w:rPr>
            <w:rStyle w:val="Hyperlink"/>
            <w:rFonts w:ascii="Cambria" w:hAnsi="Cambria"/>
            <w:sz w:val="24"/>
            <w:szCs w:val="24"/>
          </w:rPr>
          <w:t>yantianeta@ung.ac.id</w:t>
        </w:r>
      </w:hyperlink>
    </w:p>
    <w:p w14:paraId="646C50EB" w14:textId="77777777" w:rsidR="00BF64DA" w:rsidRDefault="00BF64DA" w:rsidP="00BF64DA">
      <w:pPr>
        <w:spacing w:after="0" w:line="240" w:lineRule="auto"/>
        <w:jc w:val="both"/>
        <w:rPr>
          <w:rFonts w:ascii="Cambria" w:hAnsi="Cambria"/>
          <w:b/>
          <w:bCs/>
          <w:sz w:val="24"/>
          <w:szCs w:val="24"/>
        </w:rPr>
      </w:pPr>
    </w:p>
    <w:p w14:paraId="2A693871" w14:textId="77777777" w:rsidR="000F176E" w:rsidRDefault="000F176E" w:rsidP="00BF64DA">
      <w:pPr>
        <w:spacing w:after="0" w:line="240" w:lineRule="auto"/>
        <w:jc w:val="both"/>
        <w:rPr>
          <w:rFonts w:ascii="Cambria" w:hAnsi="Cambria"/>
          <w:b/>
          <w:bCs/>
          <w:sz w:val="24"/>
          <w:szCs w:val="24"/>
        </w:rPr>
      </w:pPr>
    </w:p>
    <w:p w14:paraId="3FE401F6" w14:textId="77777777" w:rsidR="00534A15" w:rsidRPr="00F456A5" w:rsidRDefault="00534A15" w:rsidP="00534A15">
      <w:pPr>
        <w:spacing w:after="0" w:line="240" w:lineRule="auto"/>
        <w:jc w:val="both"/>
        <w:rPr>
          <w:rFonts w:ascii="Cambria" w:hAnsi="Cambria"/>
          <w:b/>
          <w:bCs/>
          <w:sz w:val="24"/>
          <w:szCs w:val="24"/>
        </w:rPr>
      </w:pPr>
      <w:r w:rsidRPr="00F456A5">
        <w:rPr>
          <w:rFonts w:ascii="Cambria" w:hAnsi="Cambria"/>
          <w:b/>
          <w:bCs/>
          <w:sz w:val="24"/>
          <w:szCs w:val="24"/>
        </w:rPr>
        <w:t>ABSTRAK</w:t>
      </w:r>
    </w:p>
    <w:p w14:paraId="292C0A78" w14:textId="77777777" w:rsidR="00534A15" w:rsidRPr="00F456A5" w:rsidRDefault="00534A15" w:rsidP="00534A15">
      <w:pPr>
        <w:spacing w:after="0" w:line="240" w:lineRule="auto"/>
        <w:jc w:val="both"/>
        <w:rPr>
          <w:rFonts w:ascii="Cambria" w:hAnsi="Cambria"/>
          <w:sz w:val="24"/>
          <w:szCs w:val="24"/>
        </w:rPr>
      </w:pPr>
      <w:r w:rsidRPr="00F456A5">
        <w:rPr>
          <w:rFonts w:ascii="Cambria" w:hAnsi="Cambria"/>
          <w:sz w:val="24"/>
          <w:szCs w:val="24"/>
        </w:rPr>
        <w:t>Transformasi digital dalam sistem kesehatan publik telah memunculkan urgensi untuk meninjau ulang peran dan strategi kepemimpinan di tengah dinamika tata kelola multi-level dan meningkatnya ketimpangan digital. Studi ini bertujuan untuk mengidentifikasi pola, tantangan, dan kontribusi strategis dari kepemimpinan digital dalam konteks kebijakan kesehatan publik yang kompleks.</w:t>
      </w:r>
    </w:p>
    <w:p w14:paraId="199A57BE" w14:textId="77777777" w:rsidR="00534A15" w:rsidRPr="00F456A5" w:rsidRDefault="00534A15" w:rsidP="00534A15">
      <w:pPr>
        <w:spacing w:after="0" w:line="240" w:lineRule="auto"/>
        <w:jc w:val="both"/>
        <w:rPr>
          <w:rFonts w:ascii="Cambria" w:hAnsi="Cambria"/>
          <w:sz w:val="24"/>
          <w:szCs w:val="24"/>
        </w:rPr>
      </w:pPr>
      <w:r w:rsidRPr="00F456A5">
        <w:rPr>
          <w:rFonts w:ascii="Cambria" w:hAnsi="Cambria"/>
          <w:sz w:val="24"/>
          <w:szCs w:val="24"/>
        </w:rPr>
        <w:t xml:space="preserve">Pendekatan </w:t>
      </w:r>
      <w:r w:rsidRPr="00F456A5">
        <w:rPr>
          <w:rFonts w:ascii="Cambria" w:hAnsi="Cambria"/>
          <w:i/>
          <w:iCs/>
          <w:sz w:val="24"/>
          <w:szCs w:val="24"/>
        </w:rPr>
        <w:t>Systematic Literature Review (SLR)</w:t>
      </w:r>
      <w:r w:rsidRPr="00F456A5">
        <w:rPr>
          <w:rFonts w:ascii="Cambria" w:hAnsi="Cambria"/>
          <w:sz w:val="24"/>
          <w:szCs w:val="24"/>
        </w:rPr>
        <w:t xml:space="preserve"> digunakan dengan mengikuti panduan PRISMA 2020. Sebanyak 96 artikel dari tujuh basis data internasional disaring, dan 18 artikel terpilih dianalisis secara tematik menggunakan metode Braun &amp; Clarke. Fokus analisis diarahkan pada tiga dimensi utama: gaya kepemimpinan, konteks tata kelola multi-level, dan keadilan digital dalam pelayanan publik.</w:t>
      </w:r>
    </w:p>
    <w:p w14:paraId="5124C5B3" w14:textId="77777777" w:rsidR="00534A15" w:rsidRPr="00F456A5" w:rsidRDefault="00534A15" w:rsidP="00534A15">
      <w:pPr>
        <w:spacing w:after="0" w:line="240" w:lineRule="auto"/>
        <w:jc w:val="both"/>
        <w:rPr>
          <w:rFonts w:ascii="Cambria" w:hAnsi="Cambria"/>
          <w:sz w:val="24"/>
          <w:szCs w:val="24"/>
        </w:rPr>
      </w:pPr>
      <w:r w:rsidRPr="00F456A5">
        <w:rPr>
          <w:rFonts w:ascii="Cambria" w:hAnsi="Cambria"/>
          <w:sz w:val="24"/>
          <w:szCs w:val="24"/>
        </w:rPr>
        <w:t xml:space="preserve">Hasil menunjukkan tiga temuan utama: pertama, kepemimpinan digital saat ini cenderung berorientasi teknokratik dan belum cukup responsif terhadap ketimpangan akses dan literasi digital. Kedua, terdapat paradoks kebijakan antara tingkat pusat dan lokal, menciptakan hambatan implementasi strategis. Ketiga, etika dan keadilan publik belum menjadi landasan eksplisit dalam desain strategi digital leadership. Dari ketiga temuan tersebut, dibangun sebuah model konseptual berbasis interseksi antara </w:t>
      </w:r>
      <w:r w:rsidRPr="00F456A5">
        <w:rPr>
          <w:rFonts w:ascii="Cambria" w:hAnsi="Cambria"/>
          <w:i/>
          <w:iCs/>
          <w:sz w:val="24"/>
          <w:szCs w:val="24"/>
        </w:rPr>
        <w:t>kepemimpinan digital etis</w:t>
      </w:r>
      <w:r w:rsidRPr="00F456A5">
        <w:rPr>
          <w:rFonts w:ascii="Cambria" w:hAnsi="Cambria"/>
          <w:sz w:val="24"/>
          <w:szCs w:val="24"/>
        </w:rPr>
        <w:t xml:space="preserve">, </w:t>
      </w:r>
      <w:r w:rsidRPr="00F456A5">
        <w:rPr>
          <w:rFonts w:ascii="Cambria" w:hAnsi="Cambria"/>
          <w:i/>
          <w:iCs/>
          <w:sz w:val="24"/>
          <w:szCs w:val="24"/>
        </w:rPr>
        <w:t>tata kelola lintas level</w:t>
      </w:r>
      <w:r w:rsidRPr="00F456A5">
        <w:rPr>
          <w:rFonts w:ascii="Cambria" w:hAnsi="Cambria"/>
          <w:sz w:val="24"/>
          <w:szCs w:val="24"/>
        </w:rPr>
        <w:t xml:space="preserve">, dan </w:t>
      </w:r>
      <w:r w:rsidRPr="00F456A5">
        <w:rPr>
          <w:rFonts w:ascii="Cambria" w:hAnsi="Cambria"/>
          <w:i/>
          <w:iCs/>
          <w:sz w:val="24"/>
          <w:szCs w:val="24"/>
        </w:rPr>
        <w:t>kepekaan terhadap ketimpangan digital</w:t>
      </w:r>
      <w:r w:rsidRPr="00F456A5">
        <w:rPr>
          <w:rFonts w:ascii="Cambria" w:hAnsi="Cambria"/>
          <w:sz w:val="24"/>
          <w:szCs w:val="24"/>
        </w:rPr>
        <w:t>.</w:t>
      </w:r>
    </w:p>
    <w:p w14:paraId="0AC14E47" w14:textId="77777777" w:rsidR="00534A15" w:rsidRPr="00F456A5" w:rsidRDefault="00534A15" w:rsidP="00534A15">
      <w:pPr>
        <w:spacing w:after="0" w:line="240" w:lineRule="auto"/>
        <w:jc w:val="both"/>
        <w:rPr>
          <w:rFonts w:ascii="Cambria" w:hAnsi="Cambria"/>
          <w:sz w:val="24"/>
          <w:szCs w:val="24"/>
        </w:rPr>
      </w:pPr>
      <w:r w:rsidRPr="00F456A5">
        <w:rPr>
          <w:rFonts w:ascii="Cambria" w:hAnsi="Cambria"/>
          <w:sz w:val="24"/>
          <w:szCs w:val="24"/>
        </w:rPr>
        <w:t>Penelitian ini berkontribusi terhadap pengembangan teori kepemimpinan sektor publik yang lebih reflektif dan aplikatif, serta menawarkan arah kebijakan dan pelatihan kepemimpinan digital berbasis keadilan.</w:t>
      </w:r>
    </w:p>
    <w:p w14:paraId="34E4C300" w14:textId="77777777" w:rsidR="00534A15" w:rsidRPr="00F456A5" w:rsidRDefault="00534A15" w:rsidP="00534A15">
      <w:pPr>
        <w:spacing w:after="0" w:line="240" w:lineRule="auto"/>
        <w:jc w:val="both"/>
        <w:rPr>
          <w:rFonts w:ascii="Cambria" w:hAnsi="Cambria"/>
          <w:b/>
          <w:bCs/>
          <w:sz w:val="24"/>
          <w:szCs w:val="24"/>
        </w:rPr>
      </w:pPr>
    </w:p>
    <w:p w14:paraId="47199C3C" w14:textId="77777777" w:rsidR="00534A15" w:rsidRPr="00F456A5" w:rsidRDefault="00534A15" w:rsidP="00534A15">
      <w:pPr>
        <w:spacing w:after="0" w:line="240" w:lineRule="auto"/>
        <w:jc w:val="both"/>
        <w:rPr>
          <w:rFonts w:ascii="Cambria" w:hAnsi="Cambria"/>
          <w:sz w:val="24"/>
          <w:szCs w:val="24"/>
        </w:rPr>
      </w:pPr>
      <w:r w:rsidRPr="00F456A5">
        <w:rPr>
          <w:rFonts w:ascii="Cambria" w:hAnsi="Cambria"/>
          <w:b/>
          <w:bCs/>
          <w:sz w:val="24"/>
          <w:szCs w:val="24"/>
        </w:rPr>
        <w:t>Kata Kunci</w:t>
      </w:r>
      <w:r w:rsidRPr="00F456A5">
        <w:rPr>
          <w:rFonts w:ascii="Cambria" w:hAnsi="Cambria"/>
          <w:sz w:val="24"/>
          <w:szCs w:val="24"/>
        </w:rPr>
        <w:t>Kepemimpinan Digital; Transformasi Kesehatan Publik; Ketimpangan Digital; Multi-Level Governance; Tinjauan Sistematik Literatur</w:t>
      </w:r>
    </w:p>
    <w:p w14:paraId="420E767A" w14:textId="77777777" w:rsidR="00534A15" w:rsidRPr="00534A15" w:rsidRDefault="00534A15" w:rsidP="00BF64DA">
      <w:pPr>
        <w:spacing w:after="0" w:line="240" w:lineRule="auto"/>
        <w:jc w:val="both"/>
        <w:rPr>
          <w:rFonts w:ascii="Cambria" w:hAnsi="Cambria"/>
          <w:sz w:val="24"/>
          <w:szCs w:val="24"/>
        </w:rPr>
      </w:pPr>
      <w:bookmarkStart w:id="0" w:name="_GoBack"/>
      <w:bookmarkEnd w:id="0"/>
    </w:p>
    <w:p w14:paraId="21A6FE33" w14:textId="01D0CB28" w:rsidR="00F04545" w:rsidRPr="00BF64DA" w:rsidRDefault="00F04545" w:rsidP="00BF64DA">
      <w:pPr>
        <w:spacing w:after="0" w:line="240" w:lineRule="auto"/>
        <w:jc w:val="both"/>
        <w:rPr>
          <w:rFonts w:ascii="Cambria" w:hAnsi="Cambria"/>
          <w:b/>
          <w:bCs/>
          <w:sz w:val="24"/>
          <w:szCs w:val="24"/>
        </w:rPr>
      </w:pPr>
      <w:r w:rsidRPr="00BF64DA">
        <w:rPr>
          <w:rFonts w:ascii="Cambria" w:hAnsi="Cambria"/>
          <w:b/>
          <w:bCs/>
          <w:sz w:val="24"/>
          <w:szCs w:val="24"/>
        </w:rPr>
        <w:t>ABSTRACT</w:t>
      </w:r>
    </w:p>
    <w:p w14:paraId="1E72B861"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sz w:val="24"/>
          <w:szCs w:val="24"/>
        </w:rPr>
        <w:t>The digital transformation of public health systems has created an urgent need to reexamine leadership roles and strategies amidst the dynamics of multi-level governance and increasing digital inequality. This study aims to identify patterns, challenges, and strategic contributions of digital leadership in the complex context of public health policy.</w:t>
      </w:r>
    </w:p>
    <w:p w14:paraId="32183083"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sz w:val="24"/>
          <w:szCs w:val="24"/>
        </w:rPr>
        <w:t>A Systematic Literature Review (SLR) approach was used following the PRISMA 2020 guidelines. A total of 96 articles from seven international databases were screened, and 18 selected articles were thematically analyzed using the Braun &amp; Clarke method. The analysis focused on three main dimensions: leadership style, multi-level governance context, and digital equity in public services.</w:t>
      </w:r>
    </w:p>
    <w:p w14:paraId="6509F22C"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sz w:val="24"/>
          <w:szCs w:val="24"/>
        </w:rPr>
        <w:t xml:space="preserve">The results reveal three key findings: first, current digital leadership tends to be technocratic and insufficiently responsive to inequalities in digital access and literacy. </w:t>
      </w:r>
      <w:r w:rsidRPr="00BF64DA">
        <w:rPr>
          <w:rFonts w:ascii="Cambria" w:hAnsi="Cambria"/>
          <w:sz w:val="24"/>
          <w:szCs w:val="24"/>
        </w:rPr>
        <w:lastRenderedPageBreak/>
        <w:t>Second, a policy paradox exists between the central and local levels, creating obstacles to strategic implementation. Third, ethics and public justice have not been explicitly underpinned in the design of digital leadership strategies. Based on these three findings, a conceptual model was developed based on the intersection of ethical digital leadership, cross-level governance, and sensitivity to digital inequality.</w:t>
      </w:r>
    </w:p>
    <w:p w14:paraId="499C60FE"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sz w:val="24"/>
          <w:szCs w:val="24"/>
        </w:rPr>
        <w:t>This research contributes to the development of a more reflective and applicable theory of public sector leadership, and offers policy direction and training for justice-based digital leadership.</w:t>
      </w:r>
    </w:p>
    <w:p w14:paraId="0F41D667" w14:textId="77777777" w:rsidR="00BF64DA" w:rsidRDefault="00BF64DA" w:rsidP="00BF64DA">
      <w:pPr>
        <w:spacing w:after="0" w:line="240" w:lineRule="auto"/>
        <w:jc w:val="both"/>
        <w:rPr>
          <w:rFonts w:ascii="Cambria" w:hAnsi="Cambria"/>
          <w:b/>
          <w:bCs/>
          <w:sz w:val="24"/>
          <w:szCs w:val="24"/>
        </w:rPr>
      </w:pPr>
    </w:p>
    <w:p w14:paraId="6BCAF6FF"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b/>
          <w:bCs/>
          <w:sz w:val="24"/>
          <w:szCs w:val="24"/>
        </w:rPr>
        <w:t>Keywords</w:t>
      </w:r>
      <w:r w:rsidRPr="00BF64DA">
        <w:rPr>
          <w:rFonts w:ascii="Cambria" w:hAnsi="Cambria"/>
          <w:sz w:val="24"/>
          <w:szCs w:val="24"/>
        </w:rPr>
        <w:t>Digital Leadership; Public Health Transformation; Digital Inequality; Multi-Level Governance; Systematic Review of the Literature</w:t>
      </w:r>
    </w:p>
    <w:p w14:paraId="64727CB6" w14:textId="77777777" w:rsidR="00BF64DA" w:rsidRDefault="00BF64DA" w:rsidP="00BF64DA">
      <w:pPr>
        <w:spacing w:after="0" w:line="240" w:lineRule="auto"/>
        <w:jc w:val="both"/>
        <w:rPr>
          <w:rFonts w:ascii="Segoe UI Emoji" w:hAnsi="Segoe UI Emoji" w:cs="Segoe UI Emoji"/>
          <w:b/>
          <w:bCs/>
          <w:sz w:val="24"/>
          <w:szCs w:val="24"/>
        </w:rPr>
      </w:pPr>
    </w:p>
    <w:p w14:paraId="1727377F" w14:textId="77777777" w:rsidR="00BF64DA" w:rsidRDefault="00BF64DA" w:rsidP="00BF64DA">
      <w:pPr>
        <w:spacing w:after="0" w:line="240" w:lineRule="auto"/>
        <w:jc w:val="both"/>
        <w:rPr>
          <w:rFonts w:ascii="Segoe UI Emoji" w:hAnsi="Segoe UI Emoji" w:cs="Segoe UI Emoji"/>
          <w:b/>
          <w:bCs/>
          <w:sz w:val="24"/>
          <w:szCs w:val="24"/>
        </w:rPr>
      </w:pPr>
    </w:p>
    <w:p w14:paraId="5688D3C2" w14:textId="77777777" w:rsidR="00F04545" w:rsidRPr="00BF64DA" w:rsidRDefault="00F04545" w:rsidP="00BF64DA">
      <w:pPr>
        <w:spacing w:after="0" w:line="240" w:lineRule="auto"/>
        <w:jc w:val="both"/>
        <w:rPr>
          <w:rFonts w:ascii="Cambria" w:hAnsi="Cambria"/>
          <w:b/>
          <w:bCs/>
          <w:sz w:val="24"/>
          <w:szCs w:val="24"/>
        </w:rPr>
      </w:pPr>
      <w:r w:rsidRPr="00BF64DA">
        <w:rPr>
          <w:rFonts w:ascii="Cambria" w:hAnsi="Cambria"/>
          <w:b/>
          <w:bCs/>
          <w:sz w:val="24"/>
          <w:szCs w:val="24"/>
        </w:rPr>
        <w:t>Introduction</w:t>
      </w:r>
    </w:p>
    <w:p w14:paraId="5A30A466"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sz w:val="24"/>
          <w:szCs w:val="24"/>
        </w:rPr>
        <w:t>Over the past decade, digital transformation has become a key driver of public health system reform in various countries. The need for fast, efficient, and digitally integrated services has become increasingly urgent, particularly following the COVID-19 pandemic, which accelerated the adoption of digital-based health technologies such as telemedicine, big data analytics, and remote patient monitoring (Petretto et al., 2023; Jonassen et al., 2024). Behind this surge in innovation, complex structural challenges have emerged, including digital inequality and implementation gaps between levels of government (Badr et al., 2024; Van Kessel et al., 2022).</w:t>
      </w:r>
    </w:p>
    <w:p w14:paraId="171FBE9D"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sz w:val="24"/>
          <w:szCs w:val="24"/>
        </w:rPr>
        <w:t>Digital leadership—defined as the capacity of public actors to guide technology-driven change through strategic vision, inter-institutional collaboration, and responsiveness to social dynamics—is crucial for the success of such transformations (Kludacz-Alessandri et al., 2025; López-Figueroa et al., 2023). However, current literature indicates a mismatch between macro-level digital policy direction and institutional capacity at the meso- and micro-levels, giving rise to what is known as the policy-practice divide (Wik et al., 2025; Spanos et al., 2024).</w:t>
      </w:r>
    </w:p>
    <w:p w14:paraId="37E0538B"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sz w:val="24"/>
          <w:szCs w:val="24"/>
        </w:rPr>
        <w:t>The digital paradox in the health context manifests itself in an ironic way: the greater the intensity of technology use, the greater the risk of digital exclusion for vulnerable and marginalized groups (Petretto et al., 2023; Ahsan &amp; Siddique, 2024). This situation complicates the task of public sector leadership, which is responsible not only for technological efficiency but also for equitable access, transparent governance, and institutional sustainability (Brommeyer et al., 2023; Tsekouropoulos et al., 2024).</w:t>
      </w:r>
    </w:p>
    <w:p w14:paraId="33F1D26A"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sz w:val="24"/>
          <w:szCs w:val="24"/>
        </w:rPr>
        <w:t>To date, there has been no systematic review that comprehensively outlines how digital leadership strategies are applied in a public health context, taking into account the dynamics of multi-level governance, digital inequality, and the complexity of public sector policies. Yet, a cross-level approach is crucial for understanding the relationship between central policies, organizational strategies, and implementation on the ground, particularly in decentralized health systems (Denicolai et al., 2024; Wosny et al., 2023).</w:t>
      </w:r>
    </w:p>
    <w:p w14:paraId="5F21FAF5"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sz w:val="24"/>
          <w:szCs w:val="24"/>
        </w:rPr>
        <w:t>This research addresses this gap through a systematic literature review approach based on qualitative thematic synthesis. It focuses on identifying digital leadership patterns, cross-level health policy dynamics, and the challenges and practices influencing public health system transformation in the digital era.</w:t>
      </w:r>
    </w:p>
    <w:p w14:paraId="35A569AA" w14:textId="77777777" w:rsidR="00BF64DA" w:rsidRDefault="00BF64DA" w:rsidP="00BF64DA">
      <w:pPr>
        <w:spacing w:after="0" w:line="240" w:lineRule="auto"/>
        <w:jc w:val="both"/>
        <w:rPr>
          <w:rFonts w:ascii="Segoe UI Emoji" w:hAnsi="Segoe UI Emoji" w:cs="Segoe UI Emoji"/>
          <w:b/>
          <w:bCs/>
          <w:sz w:val="24"/>
          <w:szCs w:val="24"/>
        </w:rPr>
      </w:pPr>
    </w:p>
    <w:p w14:paraId="25D35E60" w14:textId="77777777" w:rsidR="00F04545" w:rsidRPr="00BF64DA" w:rsidRDefault="00F04545" w:rsidP="00BF64DA">
      <w:pPr>
        <w:spacing w:after="0" w:line="240" w:lineRule="auto"/>
        <w:jc w:val="both"/>
        <w:rPr>
          <w:rFonts w:ascii="Cambria" w:hAnsi="Cambria"/>
          <w:b/>
          <w:bCs/>
          <w:sz w:val="24"/>
          <w:szCs w:val="24"/>
        </w:rPr>
      </w:pPr>
      <w:r w:rsidRPr="00BF64DA">
        <w:rPr>
          <w:rFonts w:ascii="Cambria" w:hAnsi="Cambria"/>
          <w:b/>
          <w:bCs/>
          <w:sz w:val="24"/>
          <w:szCs w:val="24"/>
        </w:rPr>
        <w:t>Research Gap Analysis &amp; Novelty Injection</w:t>
      </w:r>
    </w:p>
    <w:p w14:paraId="38D84485"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sz w:val="24"/>
          <w:szCs w:val="24"/>
        </w:rPr>
        <w:lastRenderedPageBreak/>
        <w:t>Although the global literature on digital transformation in the healthcare sector has grown significantly, to date there are three conceptual gaps that have not been examined in an integrated manner within a public leadership framework.</w:t>
      </w:r>
    </w:p>
    <w:p w14:paraId="5BC96C45" w14:textId="77777777" w:rsidR="00F04545" w:rsidRPr="00BF64DA" w:rsidRDefault="00F04545" w:rsidP="00BF64DA">
      <w:pPr>
        <w:spacing w:after="0" w:line="240" w:lineRule="auto"/>
        <w:jc w:val="both"/>
        <w:rPr>
          <w:rFonts w:ascii="Cambria" w:hAnsi="Cambria"/>
          <w:b/>
          <w:bCs/>
          <w:sz w:val="24"/>
          <w:szCs w:val="24"/>
        </w:rPr>
      </w:pPr>
      <w:r w:rsidRPr="00BF64DA">
        <w:rPr>
          <w:rFonts w:ascii="Cambria" w:hAnsi="Cambria"/>
          <w:b/>
          <w:bCs/>
          <w:sz w:val="24"/>
          <w:szCs w:val="24"/>
        </w:rPr>
        <w:t>1. The Absence of Multi-Level Governance Synthesis in Digital Leadership Narratives</w:t>
      </w:r>
    </w:p>
    <w:p w14:paraId="594B779E"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sz w:val="24"/>
          <w:szCs w:val="24"/>
        </w:rPr>
        <w:t>Most recent research focuses on technology and internal organizational capabilities, but fails to contextualize digital leadership strategies within a multi-level governance framework. For example, Kludacz-Alessandri et al. (2025) explore the influence of digital transformational leadership but fail to integrate the dynamics of national and local policies. Similarly, Spanos et al. (2024) emphasize organizational complexity but fail to explicitly explore the interface between governance structures and public health institutional responses.</w:t>
      </w:r>
    </w:p>
    <w:p w14:paraId="3F38DF76" w14:textId="77777777" w:rsidR="00F04545" w:rsidRPr="00BF64DA" w:rsidRDefault="00F04545" w:rsidP="00BF64DA">
      <w:pPr>
        <w:spacing w:after="0" w:line="240" w:lineRule="auto"/>
        <w:jc w:val="both"/>
        <w:rPr>
          <w:rFonts w:ascii="Cambria" w:hAnsi="Cambria"/>
          <w:b/>
          <w:bCs/>
          <w:sz w:val="24"/>
          <w:szCs w:val="24"/>
        </w:rPr>
      </w:pPr>
      <w:r w:rsidRPr="00BF64DA">
        <w:rPr>
          <w:rFonts w:ascii="Cambria" w:hAnsi="Cambria"/>
          <w:b/>
          <w:bCs/>
          <w:sz w:val="24"/>
          <w:szCs w:val="24"/>
        </w:rPr>
        <w:t>2. Lack of Focus on Digital Inequality as a Leadership Risk</w:t>
      </w:r>
    </w:p>
    <w:p w14:paraId="03E17D66"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sz w:val="24"/>
          <w:szCs w:val="24"/>
        </w:rPr>
        <w:t>The digital paradox characterized by unequal access and digital competency has not been systematically examined as a moral and strategic burden for public sector leadership. Petretto et al. (2023) and Badr et al. (2024) do highlight the issue of digital equity, but these studies have not yet connected it to the normative responsibility of public leaders in addressing structural bias and disparities in technology access in marginalized communities.</w:t>
      </w:r>
    </w:p>
    <w:p w14:paraId="7C946920" w14:textId="77777777" w:rsidR="00F04545" w:rsidRPr="00BF64DA" w:rsidRDefault="00F04545" w:rsidP="00BF64DA">
      <w:pPr>
        <w:spacing w:after="0" w:line="240" w:lineRule="auto"/>
        <w:jc w:val="both"/>
        <w:rPr>
          <w:rFonts w:ascii="Cambria" w:hAnsi="Cambria"/>
          <w:b/>
          <w:bCs/>
          <w:sz w:val="24"/>
          <w:szCs w:val="24"/>
        </w:rPr>
      </w:pPr>
      <w:r w:rsidRPr="00BF64DA">
        <w:rPr>
          <w:rFonts w:ascii="Cambria" w:hAnsi="Cambria"/>
          <w:b/>
          <w:bCs/>
          <w:sz w:val="24"/>
          <w:szCs w:val="24"/>
        </w:rPr>
        <w:t>3. Weakness of a Reflexive Perspective on the Paradox of Technocratic Leadership</w:t>
      </w:r>
    </w:p>
    <w:p w14:paraId="6491DDDE"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sz w:val="24"/>
          <w:szCs w:val="24"/>
        </w:rPr>
        <w:t>The dominant narrative in the literature often glorifies the effectiveness of technology without examining the policy reflexivity and moral dilemmas leaders face in the field. Studies such as those by Wosny et al. (2023) and Jonassen et al. (2024) demonstrate the paradoxes of digital tool adoption in hospitals, but have not examined the epistemic dimensions or ethical dilemmas of technology-based leadership decision-making.</w:t>
      </w:r>
    </w:p>
    <w:p w14:paraId="4AF9878E" w14:textId="77777777" w:rsidR="00F04545" w:rsidRPr="00BF64DA" w:rsidRDefault="00F04545" w:rsidP="00BF64DA">
      <w:pPr>
        <w:spacing w:after="0" w:line="240" w:lineRule="auto"/>
        <w:jc w:val="both"/>
        <w:rPr>
          <w:rFonts w:ascii="Cambria" w:hAnsi="Cambria"/>
          <w:b/>
          <w:bCs/>
          <w:sz w:val="24"/>
          <w:szCs w:val="24"/>
        </w:rPr>
      </w:pPr>
      <w:r w:rsidRPr="00BF64DA">
        <w:rPr>
          <w:rFonts w:ascii="Cambria" w:hAnsi="Cambria"/>
          <w:b/>
          <w:bCs/>
          <w:sz w:val="24"/>
          <w:szCs w:val="24"/>
        </w:rPr>
        <w:t>Novelty Injection – A Unique Research Contribution</w:t>
      </w:r>
    </w:p>
    <w:p w14:paraId="61D240BB"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sz w:val="24"/>
          <w:szCs w:val="24"/>
        </w:rPr>
        <w:t>This research offers an injection of novelty through:</w:t>
      </w:r>
    </w:p>
    <w:p w14:paraId="5A0A2039" w14:textId="77777777" w:rsidR="00F04545" w:rsidRPr="00BF64DA" w:rsidRDefault="00F04545" w:rsidP="00BF64DA">
      <w:pPr>
        <w:numPr>
          <w:ilvl w:val="0"/>
          <w:numId w:val="1"/>
        </w:numPr>
        <w:spacing w:after="0" w:line="240" w:lineRule="auto"/>
        <w:jc w:val="both"/>
        <w:rPr>
          <w:rFonts w:ascii="Cambria" w:hAnsi="Cambria"/>
          <w:sz w:val="24"/>
          <w:szCs w:val="24"/>
        </w:rPr>
      </w:pPr>
      <w:r w:rsidRPr="00BF64DA">
        <w:rPr>
          <w:rFonts w:ascii="Cambria" w:hAnsi="Cambria"/>
          <w:b/>
          <w:bCs/>
          <w:sz w:val="24"/>
          <w:szCs w:val="24"/>
        </w:rPr>
        <w:t>Thematic synthesis across governance levels</w:t>
      </w:r>
      <w:r w:rsidRPr="00BF64DA">
        <w:rPr>
          <w:rFonts w:ascii="Cambria" w:hAnsi="Cambria"/>
          <w:sz w:val="24"/>
          <w:szCs w:val="24"/>
        </w:rPr>
        <w:t>which maps the relationship between macro policies, organizational strategies, and micro practices from a digital leadership perspective in the public health sector.</w:t>
      </w:r>
    </w:p>
    <w:p w14:paraId="5182FFD3" w14:textId="77777777" w:rsidR="00F04545" w:rsidRPr="00BF64DA" w:rsidRDefault="00F04545" w:rsidP="00BF64DA">
      <w:pPr>
        <w:numPr>
          <w:ilvl w:val="0"/>
          <w:numId w:val="1"/>
        </w:numPr>
        <w:spacing w:after="0" w:line="240" w:lineRule="auto"/>
        <w:jc w:val="both"/>
        <w:rPr>
          <w:rFonts w:ascii="Cambria" w:hAnsi="Cambria"/>
          <w:sz w:val="24"/>
          <w:szCs w:val="24"/>
        </w:rPr>
      </w:pPr>
      <w:r w:rsidRPr="00BF64DA">
        <w:rPr>
          <w:rFonts w:ascii="Cambria" w:hAnsi="Cambria"/>
          <w:b/>
          <w:bCs/>
          <w:sz w:val="24"/>
          <w:szCs w:val="24"/>
        </w:rPr>
        <w:t>Integrating digital justice issues into public sector leadership models</w:t>
      </w:r>
      <w:r w:rsidRPr="00BF64DA">
        <w:rPr>
          <w:rFonts w:ascii="Cambria" w:hAnsi="Cambria"/>
          <w:sz w:val="24"/>
          <w:szCs w:val="24"/>
        </w:rPr>
        <w:t>, expanding the definition of public value and digital leadership to the realm of structural ethics and social inclusion.</w:t>
      </w:r>
    </w:p>
    <w:p w14:paraId="299D28AE" w14:textId="77777777" w:rsidR="00F04545" w:rsidRPr="00BF64DA" w:rsidRDefault="00F04545" w:rsidP="00BF64DA">
      <w:pPr>
        <w:numPr>
          <w:ilvl w:val="0"/>
          <w:numId w:val="1"/>
        </w:numPr>
        <w:spacing w:after="0" w:line="240" w:lineRule="auto"/>
        <w:jc w:val="both"/>
        <w:rPr>
          <w:rFonts w:ascii="Cambria" w:hAnsi="Cambria"/>
          <w:sz w:val="24"/>
          <w:szCs w:val="24"/>
        </w:rPr>
      </w:pPr>
      <w:r w:rsidRPr="00BF64DA">
        <w:rPr>
          <w:rFonts w:ascii="Cambria" w:hAnsi="Cambria"/>
          <w:b/>
          <w:bCs/>
          <w:sz w:val="24"/>
          <w:szCs w:val="24"/>
        </w:rPr>
        <w:t>A reflective approach to the paradoxes of policy and leadership</w:t>
      </w:r>
      <w:r w:rsidRPr="00BF64DA">
        <w:rPr>
          <w:rFonts w:ascii="Cambria" w:hAnsi="Cambria"/>
          <w:sz w:val="24"/>
          <w:szCs w:val="24"/>
        </w:rPr>
        <w:t>, uniting the moral, technocratic, and political dimensions of digital transformation in public service systems.</w:t>
      </w:r>
    </w:p>
    <w:p w14:paraId="0D2E6BB0" w14:textId="77777777" w:rsidR="00F04545" w:rsidRDefault="00F04545" w:rsidP="00BF64DA">
      <w:pPr>
        <w:spacing w:after="0" w:line="240" w:lineRule="auto"/>
        <w:jc w:val="both"/>
        <w:rPr>
          <w:rFonts w:ascii="Cambria" w:hAnsi="Cambria"/>
          <w:sz w:val="24"/>
          <w:szCs w:val="24"/>
        </w:rPr>
      </w:pPr>
      <w:r w:rsidRPr="00BF64DA">
        <w:rPr>
          <w:rFonts w:ascii="Cambria" w:hAnsi="Cambria"/>
          <w:noProof/>
          <w:sz w:val="24"/>
          <w:szCs w:val="24"/>
        </w:rPr>
        <w:lastRenderedPageBreak/>
        <w:drawing>
          <wp:inline distT="0" distB="0" distL="0" distR="0" wp14:anchorId="0FBC4E82" wp14:editId="461C87ED">
            <wp:extent cx="4381500" cy="37882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Oct 3, 2025, 06_50_16 PM.png"/>
                    <pic:cNvPicPr/>
                  </pic:nvPicPr>
                  <pic:blipFill rotWithShape="1">
                    <a:blip r:embed="rId8">
                      <a:extLst>
                        <a:ext uri="{28A0092B-C50C-407E-A947-70E740481C1C}">
                          <a14:useLocalDpi xmlns:a14="http://schemas.microsoft.com/office/drawing/2010/main" val="0"/>
                        </a:ext>
                      </a:extLst>
                    </a:blip>
                    <a:srcRect t="4349" b="9192"/>
                    <a:stretch/>
                  </pic:blipFill>
                  <pic:spPr bwMode="auto">
                    <a:xfrm>
                      <a:off x="0" y="0"/>
                      <a:ext cx="4385199" cy="3791427"/>
                    </a:xfrm>
                    <a:prstGeom prst="rect">
                      <a:avLst/>
                    </a:prstGeom>
                    <a:ln>
                      <a:noFill/>
                    </a:ln>
                    <a:extLst>
                      <a:ext uri="{53640926-AAD7-44D8-BBD7-CCE9431645EC}">
                        <a14:shadowObscured xmlns:a14="http://schemas.microsoft.com/office/drawing/2010/main"/>
                      </a:ext>
                    </a:extLst>
                  </pic:spPr>
                </pic:pic>
              </a:graphicData>
            </a:graphic>
          </wp:inline>
        </w:drawing>
      </w:r>
    </w:p>
    <w:p w14:paraId="48E5F58F" w14:textId="77777777" w:rsidR="00BF64DA" w:rsidRDefault="00BF64DA" w:rsidP="00BF64DA">
      <w:pPr>
        <w:spacing w:after="0" w:line="240" w:lineRule="auto"/>
        <w:jc w:val="center"/>
        <w:rPr>
          <w:rFonts w:ascii="Cambria" w:hAnsi="Cambria"/>
          <w:sz w:val="24"/>
          <w:szCs w:val="24"/>
        </w:rPr>
      </w:pPr>
      <w:r>
        <w:rPr>
          <w:rFonts w:ascii="Cambria" w:hAnsi="Cambria"/>
          <w:sz w:val="24"/>
          <w:szCs w:val="24"/>
        </w:rPr>
        <w:t>Figure 1 grant theory</w:t>
      </w:r>
    </w:p>
    <w:p w14:paraId="390A58C0" w14:textId="77777777" w:rsidR="00BF64DA" w:rsidRPr="00BF64DA" w:rsidRDefault="00BF64DA" w:rsidP="00BF64DA">
      <w:pPr>
        <w:spacing w:after="0" w:line="240" w:lineRule="auto"/>
        <w:jc w:val="both"/>
        <w:rPr>
          <w:rFonts w:ascii="Cambria" w:hAnsi="Cambria"/>
          <w:sz w:val="24"/>
          <w:szCs w:val="24"/>
        </w:rPr>
      </w:pPr>
    </w:p>
    <w:p w14:paraId="5CFB8382"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sz w:val="24"/>
          <w:szCs w:val="24"/>
        </w:rPr>
        <w:t>Figure 1: The Venn diagram above represents the conceptual framework of three major intersecting theories in the study of digital leadership in public health transformation. The first circle represents Digital Leadership Theory, which emphasizes the strategic and adaptive capabilities of leaders in facilitating technology-driven change in the public sector (Kludacz-Alessandri et al., 2025; López-Figueroa et al., 2023). The second circle, Multi-Level Governance Theory, illustrates the complexity of coordination between levels of government—national, regional, and local—that serve as the terrain for implementing digital health policies (Spanos et al., 2024; Wik et al., 2025). The third circle, Justice and Ethics in Public Administration, contains a normative framework regarding fair access, digital inclusion, and moral responsibility in public services, particularly in the context of digital inequality (Petretto et al., 2023; Badr et al., 2024).</w:t>
      </w:r>
    </w:p>
    <w:p w14:paraId="37F0F030"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sz w:val="24"/>
          <w:szCs w:val="24"/>
        </w:rPr>
        <w:t>The intersection of these three theories highlights the primary focus of this research: examining how digital leadership strategies can be designed to be not only effective in driving technological transformation but also socially just and contextually responsive to cross-level governance dynamics. This approach bridges the gap between technocratic narratives and ethical dimensions in contemporary digital health policy (Van Kessel et al., 2022; Tsekouropoulos et al., 2024).</w:t>
      </w:r>
    </w:p>
    <w:p w14:paraId="313B32BC" w14:textId="77777777" w:rsidR="00BF64DA" w:rsidRDefault="00BF64DA" w:rsidP="00BF64DA">
      <w:pPr>
        <w:spacing w:after="0" w:line="240" w:lineRule="auto"/>
        <w:jc w:val="both"/>
        <w:rPr>
          <w:rFonts w:ascii="Segoe UI Emoji" w:hAnsi="Segoe UI Emoji" w:cs="Segoe UI Emoji"/>
          <w:b/>
          <w:bCs/>
          <w:sz w:val="24"/>
          <w:szCs w:val="24"/>
        </w:rPr>
      </w:pPr>
    </w:p>
    <w:p w14:paraId="47163335" w14:textId="77777777" w:rsidR="00BF64DA" w:rsidRPr="00BF64DA" w:rsidRDefault="00F04545" w:rsidP="00BF64DA">
      <w:pPr>
        <w:spacing w:after="0" w:line="240" w:lineRule="auto"/>
        <w:jc w:val="both"/>
        <w:rPr>
          <w:rFonts w:ascii="Cambria" w:hAnsi="Cambria"/>
          <w:b/>
          <w:bCs/>
          <w:sz w:val="24"/>
          <w:szCs w:val="24"/>
        </w:rPr>
      </w:pPr>
      <w:r w:rsidRPr="00BF64DA">
        <w:rPr>
          <w:rFonts w:ascii="Cambria" w:hAnsi="Cambria"/>
          <w:b/>
          <w:bCs/>
          <w:sz w:val="24"/>
          <w:szCs w:val="24"/>
        </w:rPr>
        <w:t>Methodology</w:t>
      </w:r>
    </w:p>
    <w:p w14:paraId="39B75B16"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sz w:val="24"/>
          <w:szCs w:val="24"/>
        </w:rPr>
        <w:t>This study employed a qualitative-descriptive Systematic Literature Review (SLR) approach, focusing primarily on thematic synthesis of literature relevant to digital leadership in public healthcare transformation. This approach was chosen to explore in-depth the complex relationships between leadership strategies, multi-level governance policy dynamics, and equity issues in the public sector digital ecosystem (Siddaway et al., 2019; López-Figueroa et al., 2023).</w:t>
      </w:r>
    </w:p>
    <w:p w14:paraId="4A2E24DF" w14:textId="77777777" w:rsidR="00F04545" w:rsidRPr="00BF64DA" w:rsidRDefault="00F04545" w:rsidP="00BF64DA">
      <w:pPr>
        <w:spacing w:after="0" w:line="240" w:lineRule="auto"/>
        <w:jc w:val="both"/>
        <w:rPr>
          <w:rFonts w:ascii="Cambria" w:hAnsi="Cambria"/>
          <w:b/>
          <w:bCs/>
          <w:sz w:val="24"/>
          <w:szCs w:val="24"/>
        </w:rPr>
      </w:pPr>
      <w:r w:rsidRPr="00BF64DA">
        <w:rPr>
          <w:rFonts w:ascii="Cambria" w:hAnsi="Cambria"/>
          <w:b/>
          <w:bCs/>
          <w:sz w:val="24"/>
          <w:szCs w:val="24"/>
        </w:rPr>
        <w:t>Design and Procedural Guidelines</w:t>
      </w:r>
    </w:p>
    <w:p w14:paraId="67495C98"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sz w:val="24"/>
          <w:szCs w:val="24"/>
        </w:rPr>
        <w:lastRenderedPageBreak/>
        <w:t>The review process followed the PRISMA 2020 (Preferred Reporting Items for Systematic Reviews and Meta-Analyses) guidelines, which include four main stages:</w:t>
      </w:r>
    </w:p>
    <w:p w14:paraId="04722E68" w14:textId="77777777" w:rsidR="00F04545" w:rsidRPr="00BF64DA" w:rsidRDefault="00F04545" w:rsidP="00BF64DA">
      <w:pPr>
        <w:numPr>
          <w:ilvl w:val="0"/>
          <w:numId w:val="2"/>
        </w:numPr>
        <w:spacing w:after="0" w:line="240" w:lineRule="auto"/>
        <w:jc w:val="both"/>
        <w:rPr>
          <w:rFonts w:ascii="Cambria" w:hAnsi="Cambria"/>
          <w:sz w:val="24"/>
          <w:szCs w:val="24"/>
        </w:rPr>
      </w:pPr>
      <w:r w:rsidRPr="00BF64DA">
        <w:rPr>
          <w:rFonts w:ascii="Cambria" w:hAnsi="Cambria"/>
          <w:b/>
          <w:bCs/>
          <w:sz w:val="24"/>
          <w:szCs w:val="24"/>
        </w:rPr>
        <w:t>Identification</w:t>
      </w:r>
      <w:r w:rsidRPr="00BF64DA">
        <w:rPr>
          <w:rFonts w:ascii="Cambria" w:hAnsi="Cambria"/>
          <w:sz w:val="24"/>
          <w:szCs w:val="24"/>
        </w:rPr>
        <w:t>Literature sources from trusted databases such as PubMed, ScienceDirect, SAGE Journals, MDPI, JMIR, and arXiv.</w:t>
      </w:r>
    </w:p>
    <w:p w14:paraId="2B6AF093" w14:textId="77777777" w:rsidR="00F04545" w:rsidRPr="00BF64DA" w:rsidRDefault="00F04545" w:rsidP="00BF64DA">
      <w:pPr>
        <w:numPr>
          <w:ilvl w:val="0"/>
          <w:numId w:val="2"/>
        </w:numPr>
        <w:spacing w:after="0" w:line="240" w:lineRule="auto"/>
        <w:jc w:val="both"/>
        <w:rPr>
          <w:rFonts w:ascii="Cambria" w:hAnsi="Cambria"/>
          <w:sz w:val="24"/>
          <w:szCs w:val="24"/>
        </w:rPr>
      </w:pPr>
      <w:r w:rsidRPr="00BF64DA">
        <w:rPr>
          <w:rFonts w:ascii="Cambria" w:hAnsi="Cambria"/>
          <w:b/>
          <w:bCs/>
          <w:sz w:val="24"/>
          <w:szCs w:val="24"/>
        </w:rPr>
        <w:t>Initial selection</w:t>
      </w:r>
      <w:r w:rsidRPr="00BF64DA">
        <w:rPr>
          <w:rFonts w:ascii="Cambria" w:hAnsi="Cambria"/>
          <w:sz w:val="24"/>
          <w:szCs w:val="24"/>
        </w:rPr>
        <w:t>through duplication removal and filtering based on title and abstract.</w:t>
      </w:r>
    </w:p>
    <w:p w14:paraId="409BF1FF" w14:textId="77777777" w:rsidR="00F04545" w:rsidRPr="00BF64DA" w:rsidRDefault="00F04545" w:rsidP="00BF64DA">
      <w:pPr>
        <w:numPr>
          <w:ilvl w:val="0"/>
          <w:numId w:val="2"/>
        </w:numPr>
        <w:spacing w:after="0" w:line="240" w:lineRule="auto"/>
        <w:jc w:val="both"/>
        <w:rPr>
          <w:rFonts w:ascii="Cambria" w:hAnsi="Cambria"/>
          <w:sz w:val="24"/>
          <w:szCs w:val="24"/>
        </w:rPr>
      </w:pPr>
      <w:r w:rsidRPr="00BF64DA">
        <w:rPr>
          <w:rFonts w:ascii="Cambria" w:hAnsi="Cambria"/>
          <w:b/>
          <w:bCs/>
          <w:sz w:val="24"/>
          <w:szCs w:val="24"/>
        </w:rPr>
        <w:t>Advanced filtering</w:t>
      </w:r>
      <w:r w:rsidRPr="00BF64DA">
        <w:rPr>
          <w:rFonts w:ascii="Cambria" w:hAnsi="Cambria"/>
          <w:sz w:val="24"/>
          <w:szCs w:val="24"/>
        </w:rPr>
        <w:t>based on relevant inclusion-exclusion criteria.</w:t>
      </w:r>
    </w:p>
    <w:p w14:paraId="399F9F20" w14:textId="77777777" w:rsidR="00F04545" w:rsidRPr="00BF64DA" w:rsidRDefault="00F04545" w:rsidP="00BF64DA">
      <w:pPr>
        <w:numPr>
          <w:ilvl w:val="0"/>
          <w:numId w:val="2"/>
        </w:numPr>
        <w:spacing w:after="0" w:line="240" w:lineRule="auto"/>
        <w:jc w:val="both"/>
        <w:rPr>
          <w:rFonts w:ascii="Cambria" w:hAnsi="Cambria"/>
          <w:sz w:val="24"/>
          <w:szCs w:val="24"/>
        </w:rPr>
      </w:pPr>
      <w:r w:rsidRPr="00BF64DA">
        <w:rPr>
          <w:rFonts w:ascii="Cambria" w:hAnsi="Cambria"/>
          <w:b/>
          <w:bCs/>
          <w:sz w:val="24"/>
          <w:szCs w:val="24"/>
        </w:rPr>
        <w:t>Data extraction and thematic synthesis</w:t>
      </w:r>
      <w:r w:rsidRPr="00BF64DA">
        <w:rPr>
          <w:rFonts w:ascii="Cambria" w:hAnsi="Cambria"/>
          <w:sz w:val="24"/>
          <w:szCs w:val="24"/>
        </w:rPr>
        <w:t>using narrative and thematic-based analysis (Braun &amp; Clarke, 2006).</w:t>
      </w:r>
    </w:p>
    <w:p w14:paraId="3BA86026" w14:textId="77777777" w:rsidR="00F04545" w:rsidRPr="00BF64DA" w:rsidRDefault="00F04545" w:rsidP="00BF64DA">
      <w:pPr>
        <w:spacing w:after="0" w:line="240" w:lineRule="auto"/>
        <w:jc w:val="both"/>
        <w:rPr>
          <w:rFonts w:ascii="Cambria" w:hAnsi="Cambria"/>
          <w:b/>
          <w:bCs/>
          <w:sz w:val="24"/>
          <w:szCs w:val="24"/>
        </w:rPr>
      </w:pPr>
      <w:r w:rsidRPr="00BF64DA">
        <w:rPr>
          <w:rFonts w:ascii="Cambria" w:hAnsi="Cambria"/>
          <w:b/>
          <w:bCs/>
          <w:sz w:val="24"/>
          <w:szCs w:val="24"/>
        </w:rPr>
        <w:t>Inclusion Criteria</w:t>
      </w:r>
    </w:p>
    <w:p w14:paraId="457D5D42" w14:textId="77777777" w:rsidR="00F04545" w:rsidRPr="00BF64DA" w:rsidRDefault="00F04545" w:rsidP="00BF64DA">
      <w:pPr>
        <w:numPr>
          <w:ilvl w:val="0"/>
          <w:numId w:val="3"/>
        </w:numPr>
        <w:spacing w:after="0" w:line="240" w:lineRule="auto"/>
        <w:jc w:val="both"/>
        <w:rPr>
          <w:rFonts w:ascii="Cambria" w:hAnsi="Cambria"/>
          <w:sz w:val="24"/>
          <w:szCs w:val="24"/>
        </w:rPr>
      </w:pPr>
      <w:r w:rsidRPr="00BF64DA">
        <w:rPr>
          <w:rFonts w:ascii="Cambria" w:hAnsi="Cambria"/>
          <w:sz w:val="24"/>
          <w:szCs w:val="24"/>
        </w:rPr>
        <w:t>Scientific publications between 2019–2025, in English or Indonesian.</w:t>
      </w:r>
    </w:p>
    <w:p w14:paraId="756F8371" w14:textId="77777777" w:rsidR="00F04545" w:rsidRPr="00BF64DA" w:rsidRDefault="00F04545" w:rsidP="00BF64DA">
      <w:pPr>
        <w:numPr>
          <w:ilvl w:val="0"/>
          <w:numId w:val="3"/>
        </w:numPr>
        <w:spacing w:after="0" w:line="240" w:lineRule="auto"/>
        <w:jc w:val="both"/>
        <w:rPr>
          <w:rFonts w:ascii="Cambria" w:hAnsi="Cambria"/>
          <w:sz w:val="24"/>
          <w:szCs w:val="24"/>
        </w:rPr>
      </w:pPr>
      <w:r w:rsidRPr="00BF64DA">
        <w:rPr>
          <w:rFonts w:ascii="Cambria" w:hAnsi="Cambria"/>
          <w:sz w:val="24"/>
          <w:szCs w:val="24"/>
        </w:rPr>
        <w:t>Focus on digital leadership, health system transformation, and public sector governance.</w:t>
      </w:r>
    </w:p>
    <w:p w14:paraId="5212776B" w14:textId="77777777" w:rsidR="00F04545" w:rsidRPr="00BF64DA" w:rsidRDefault="00F04545" w:rsidP="00BF64DA">
      <w:pPr>
        <w:numPr>
          <w:ilvl w:val="0"/>
          <w:numId w:val="3"/>
        </w:numPr>
        <w:spacing w:after="0" w:line="240" w:lineRule="auto"/>
        <w:jc w:val="both"/>
        <w:rPr>
          <w:rFonts w:ascii="Cambria" w:hAnsi="Cambria"/>
          <w:sz w:val="24"/>
          <w:szCs w:val="24"/>
        </w:rPr>
      </w:pPr>
      <w:r w:rsidRPr="00BF64DA">
        <w:rPr>
          <w:rFonts w:ascii="Cambria" w:hAnsi="Cambria"/>
          <w:sz w:val="24"/>
          <w:szCs w:val="24"/>
        </w:rPr>
        <w:t>Studies that touch on issues of digital inequality, access to services, and technology-based public policy.</w:t>
      </w:r>
    </w:p>
    <w:p w14:paraId="297C16F8" w14:textId="77777777" w:rsidR="00F04545" w:rsidRPr="00BF64DA" w:rsidRDefault="00F04545" w:rsidP="00BF64DA">
      <w:pPr>
        <w:spacing w:after="0" w:line="240" w:lineRule="auto"/>
        <w:jc w:val="both"/>
        <w:rPr>
          <w:rFonts w:ascii="Cambria" w:hAnsi="Cambria"/>
          <w:b/>
          <w:bCs/>
          <w:sz w:val="24"/>
          <w:szCs w:val="24"/>
        </w:rPr>
      </w:pPr>
      <w:r w:rsidRPr="00BF64DA">
        <w:rPr>
          <w:rFonts w:ascii="Cambria" w:hAnsi="Cambria"/>
          <w:b/>
          <w:bCs/>
          <w:sz w:val="24"/>
          <w:szCs w:val="24"/>
        </w:rPr>
        <w:t>Exclusion Criteria</w:t>
      </w:r>
    </w:p>
    <w:p w14:paraId="1889EC6E" w14:textId="77777777" w:rsidR="00F04545" w:rsidRPr="00BF64DA" w:rsidRDefault="00F04545" w:rsidP="00BF64DA">
      <w:pPr>
        <w:numPr>
          <w:ilvl w:val="0"/>
          <w:numId w:val="4"/>
        </w:numPr>
        <w:spacing w:after="0" w:line="240" w:lineRule="auto"/>
        <w:jc w:val="both"/>
        <w:rPr>
          <w:rFonts w:ascii="Cambria" w:hAnsi="Cambria"/>
          <w:sz w:val="24"/>
          <w:szCs w:val="24"/>
        </w:rPr>
      </w:pPr>
      <w:r w:rsidRPr="00BF64DA">
        <w:rPr>
          <w:rFonts w:ascii="Cambria" w:hAnsi="Cambria"/>
          <w:sz w:val="24"/>
          <w:szCs w:val="24"/>
        </w:rPr>
        <w:t>Non-peer-reviewed articles (blogs, editorials).</w:t>
      </w:r>
    </w:p>
    <w:p w14:paraId="7E40049C" w14:textId="77777777" w:rsidR="00F04545" w:rsidRPr="00BF64DA" w:rsidRDefault="00F04545" w:rsidP="00BF64DA">
      <w:pPr>
        <w:numPr>
          <w:ilvl w:val="0"/>
          <w:numId w:val="4"/>
        </w:numPr>
        <w:spacing w:after="0" w:line="240" w:lineRule="auto"/>
        <w:jc w:val="both"/>
        <w:rPr>
          <w:rFonts w:ascii="Cambria" w:hAnsi="Cambria"/>
          <w:sz w:val="24"/>
          <w:szCs w:val="24"/>
        </w:rPr>
      </w:pPr>
      <w:r w:rsidRPr="00BF64DA">
        <w:rPr>
          <w:rFonts w:ascii="Cambria" w:hAnsi="Cambria"/>
          <w:sz w:val="24"/>
          <w:szCs w:val="24"/>
        </w:rPr>
        <w:t>Studies with a purely technical focus (without leadership or policy dimensions).</w:t>
      </w:r>
    </w:p>
    <w:p w14:paraId="78FDCDE7" w14:textId="77777777" w:rsidR="00F04545" w:rsidRPr="00BF64DA" w:rsidRDefault="00F04545" w:rsidP="00BF64DA">
      <w:pPr>
        <w:numPr>
          <w:ilvl w:val="0"/>
          <w:numId w:val="4"/>
        </w:numPr>
        <w:spacing w:after="0" w:line="240" w:lineRule="auto"/>
        <w:jc w:val="both"/>
        <w:rPr>
          <w:rFonts w:ascii="Cambria" w:hAnsi="Cambria"/>
          <w:sz w:val="24"/>
          <w:szCs w:val="24"/>
        </w:rPr>
      </w:pPr>
      <w:r w:rsidRPr="00BF64DA">
        <w:rPr>
          <w:rFonts w:ascii="Cambria" w:hAnsi="Cambria"/>
          <w:sz w:val="24"/>
          <w:szCs w:val="24"/>
        </w:rPr>
        <w:t>Duplication of results from the same publication.</w:t>
      </w:r>
    </w:p>
    <w:p w14:paraId="3BD11339" w14:textId="77777777" w:rsidR="00F04545" w:rsidRPr="00BF64DA" w:rsidRDefault="00F04545" w:rsidP="00BF64DA">
      <w:pPr>
        <w:spacing w:after="0" w:line="240" w:lineRule="auto"/>
        <w:jc w:val="both"/>
        <w:rPr>
          <w:rFonts w:ascii="Cambria" w:hAnsi="Cambria"/>
          <w:b/>
          <w:bCs/>
          <w:sz w:val="24"/>
          <w:szCs w:val="24"/>
        </w:rPr>
      </w:pPr>
      <w:r w:rsidRPr="00BF64DA">
        <w:rPr>
          <w:rFonts w:ascii="Cambria" w:hAnsi="Cambria"/>
          <w:b/>
          <w:bCs/>
          <w:sz w:val="24"/>
          <w:szCs w:val="24"/>
        </w:rPr>
        <w:t>Analysis Techniques</w:t>
      </w:r>
    </w:p>
    <w:p w14:paraId="5EDB58BB" w14:textId="77777777" w:rsidR="00F04545" w:rsidRPr="00BF64DA" w:rsidRDefault="00F04545" w:rsidP="00BF64DA">
      <w:pPr>
        <w:spacing w:after="0" w:line="240" w:lineRule="auto"/>
        <w:jc w:val="both"/>
        <w:rPr>
          <w:rFonts w:ascii="Cambria" w:hAnsi="Cambria"/>
          <w:sz w:val="24"/>
          <w:szCs w:val="24"/>
        </w:rPr>
      </w:pPr>
      <w:r w:rsidRPr="00BF64DA">
        <w:rPr>
          <w:rFonts w:ascii="Cambria" w:hAnsi="Cambria"/>
          <w:sz w:val="24"/>
          <w:szCs w:val="24"/>
        </w:rPr>
        <w:t>Data were analyzed using the Thematic Content Analysis approach (Braun &amp; Clarke, 2006), which includes the following processes:</w:t>
      </w:r>
    </w:p>
    <w:p w14:paraId="1FE7F4C6" w14:textId="77777777" w:rsidR="00F04545" w:rsidRPr="00BF64DA" w:rsidRDefault="00F04545" w:rsidP="00BF64DA">
      <w:pPr>
        <w:numPr>
          <w:ilvl w:val="0"/>
          <w:numId w:val="5"/>
        </w:numPr>
        <w:spacing w:after="0" w:line="240" w:lineRule="auto"/>
        <w:jc w:val="both"/>
        <w:rPr>
          <w:rFonts w:ascii="Cambria" w:hAnsi="Cambria"/>
          <w:sz w:val="24"/>
          <w:szCs w:val="24"/>
        </w:rPr>
      </w:pPr>
      <w:r w:rsidRPr="00BF64DA">
        <w:rPr>
          <w:rFonts w:ascii="Cambria" w:hAnsi="Cambria"/>
          <w:i/>
          <w:iCs/>
          <w:sz w:val="24"/>
          <w:szCs w:val="24"/>
        </w:rPr>
        <w:t>Open coding</w:t>
      </w:r>
      <w:r w:rsidRPr="00BF64DA">
        <w:rPr>
          <w:rFonts w:ascii="Cambria" w:hAnsi="Cambria"/>
          <w:sz w:val="24"/>
          <w:szCs w:val="24"/>
        </w:rPr>
        <w:t>: marking key ideas, issues and practices.</w:t>
      </w:r>
    </w:p>
    <w:p w14:paraId="20A6068E" w14:textId="77777777" w:rsidR="00F04545" w:rsidRPr="00BF64DA" w:rsidRDefault="00F04545" w:rsidP="00BF64DA">
      <w:pPr>
        <w:numPr>
          <w:ilvl w:val="0"/>
          <w:numId w:val="5"/>
        </w:numPr>
        <w:spacing w:after="0" w:line="240" w:lineRule="auto"/>
        <w:jc w:val="both"/>
        <w:rPr>
          <w:rFonts w:ascii="Cambria" w:hAnsi="Cambria"/>
          <w:sz w:val="24"/>
          <w:szCs w:val="24"/>
        </w:rPr>
      </w:pPr>
      <w:r w:rsidRPr="00BF64DA">
        <w:rPr>
          <w:rFonts w:ascii="Cambria" w:hAnsi="Cambria"/>
          <w:i/>
          <w:iCs/>
          <w:sz w:val="24"/>
          <w:szCs w:val="24"/>
        </w:rPr>
        <w:t>Axial coding</w:t>
      </w:r>
      <w:r w:rsidRPr="00BF64DA">
        <w:rPr>
          <w:rFonts w:ascii="Cambria" w:hAnsi="Cambria"/>
          <w:sz w:val="24"/>
          <w:szCs w:val="24"/>
        </w:rPr>
        <w:t>: grouping based on the relationship between themes.</w:t>
      </w:r>
    </w:p>
    <w:p w14:paraId="1C563906" w14:textId="77777777" w:rsidR="00F04545" w:rsidRPr="00BF64DA" w:rsidRDefault="00F04545" w:rsidP="00BF64DA">
      <w:pPr>
        <w:numPr>
          <w:ilvl w:val="0"/>
          <w:numId w:val="5"/>
        </w:numPr>
        <w:spacing w:after="0" w:line="240" w:lineRule="auto"/>
        <w:jc w:val="both"/>
        <w:rPr>
          <w:rFonts w:ascii="Cambria" w:hAnsi="Cambria"/>
          <w:sz w:val="24"/>
          <w:szCs w:val="24"/>
        </w:rPr>
      </w:pPr>
      <w:r w:rsidRPr="00BF64DA">
        <w:rPr>
          <w:rFonts w:ascii="Cambria" w:hAnsi="Cambria"/>
          <w:i/>
          <w:iCs/>
          <w:sz w:val="24"/>
          <w:szCs w:val="24"/>
        </w:rPr>
        <w:t>Selective coding</w:t>
      </w:r>
      <w:r w:rsidRPr="00BF64DA">
        <w:rPr>
          <w:rFonts w:ascii="Cambria" w:hAnsi="Cambria"/>
          <w:sz w:val="24"/>
          <w:szCs w:val="24"/>
        </w:rPr>
        <w:t>: formulation of a grand narrative about digital public leadership strategy.</w:t>
      </w:r>
    </w:p>
    <w:p w14:paraId="32D660F0" w14:textId="77777777" w:rsidR="00F04545" w:rsidRPr="00BF64DA" w:rsidRDefault="00F04545" w:rsidP="00BF64DA">
      <w:pPr>
        <w:spacing w:after="0" w:line="240" w:lineRule="auto"/>
        <w:jc w:val="both"/>
        <w:rPr>
          <w:rFonts w:ascii="Cambria" w:hAnsi="Cambria"/>
          <w:b/>
          <w:bCs/>
          <w:sz w:val="24"/>
          <w:szCs w:val="24"/>
        </w:rPr>
      </w:pPr>
      <w:r w:rsidRPr="00BF64DA">
        <w:rPr>
          <w:rFonts w:ascii="Cambria" w:hAnsi="Cambria"/>
          <w:b/>
          <w:bCs/>
          <w:sz w:val="24"/>
          <w:szCs w:val="24"/>
        </w:rPr>
        <w:t>Additional Analysis Tools</w:t>
      </w:r>
    </w:p>
    <w:p w14:paraId="6551B525" w14:textId="77777777" w:rsidR="00F04545" w:rsidRPr="00BF64DA" w:rsidRDefault="00F04545" w:rsidP="00BF64DA">
      <w:pPr>
        <w:numPr>
          <w:ilvl w:val="0"/>
          <w:numId w:val="6"/>
        </w:numPr>
        <w:spacing w:after="0" w:line="240" w:lineRule="auto"/>
        <w:jc w:val="both"/>
        <w:rPr>
          <w:rFonts w:ascii="Cambria" w:hAnsi="Cambria"/>
          <w:sz w:val="24"/>
          <w:szCs w:val="24"/>
        </w:rPr>
      </w:pPr>
      <w:r w:rsidRPr="00BF64DA">
        <w:rPr>
          <w:rFonts w:ascii="Cambria" w:hAnsi="Cambria"/>
          <w:sz w:val="24"/>
          <w:szCs w:val="24"/>
        </w:rPr>
        <w:t>Assistive software such as NVivo 14 was used to perform keyword searches, thematic coexistence mapping, and visualization of conceptual models of findings.</w:t>
      </w:r>
    </w:p>
    <w:p w14:paraId="0A9F441B" w14:textId="77777777" w:rsidR="00F04545" w:rsidRPr="00BF64DA" w:rsidRDefault="00F04545" w:rsidP="00BF64DA">
      <w:pPr>
        <w:numPr>
          <w:ilvl w:val="0"/>
          <w:numId w:val="6"/>
        </w:numPr>
        <w:spacing w:after="0" w:line="240" w:lineRule="auto"/>
        <w:jc w:val="both"/>
        <w:rPr>
          <w:rFonts w:ascii="Cambria" w:hAnsi="Cambria"/>
          <w:sz w:val="24"/>
          <w:szCs w:val="24"/>
        </w:rPr>
      </w:pPr>
      <w:r w:rsidRPr="00BF64DA">
        <w:rPr>
          <w:rFonts w:ascii="Cambria" w:hAnsi="Cambria"/>
          <w:sz w:val="24"/>
          <w:szCs w:val="24"/>
        </w:rPr>
        <w:t>Validation was conducted through inter-coder agreement and triangulation of the main findings.</w:t>
      </w:r>
    </w:p>
    <w:p w14:paraId="1B04765C" w14:textId="77777777" w:rsidR="00BF64DA" w:rsidRDefault="00BF64DA" w:rsidP="00BF64DA">
      <w:pPr>
        <w:spacing w:after="0" w:line="240" w:lineRule="auto"/>
        <w:jc w:val="both"/>
        <w:outlineLvl w:val="1"/>
        <w:rPr>
          <w:rFonts w:ascii="Cambria" w:eastAsia="Times New Roman" w:hAnsi="Cambria" w:cs="Times New Roman"/>
          <w:b/>
          <w:bCs/>
          <w:sz w:val="24"/>
          <w:szCs w:val="24"/>
          <w:lang w:eastAsia="en-ID"/>
        </w:rPr>
      </w:pPr>
    </w:p>
    <w:p w14:paraId="153D63E4" w14:textId="77777777" w:rsidR="00376CE5" w:rsidRPr="00BF64DA" w:rsidRDefault="00376CE5" w:rsidP="00BF64DA">
      <w:pPr>
        <w:spacing w:after="0" w:line="240" w:lineRule="auto"/>
        <w:jc w:val="both"/>
        <w:outlineLvl w:val="1"/>
        <w:rPr>
          <w:rFonts w:ascii="Cambria" w:eastAsia="Times New Roman" w:hAnsi="Cambria" w:cs="Times New Roman"/>
          <w:b/>
          <w:bCs/>
          <w:sz w:val="24"/>
          <w:szCs w:val="24"/>
          <w:lang w:eastAsia="en-ID"/>
        </w:rPr>
      </w:pPr>
      <w:r w:rsidRPr="00BF64DA">
        <w:rPr>
          <w:rFonts w:ascii="Cambria" w:eastAsia="Times New Roman" w:hAnsi="Cambria" w:cs="Times New Roman"/>
          <w:b/>
          <w:bCs/>
          <w:sz w:val="24"/>
          <w:szCs w:val="24"/>
          <w:lang w:eastAsia="en-ID"/>
        </w:rPr>
        <w:t>Source Data Table (Inclusion, Exclusion, and Database Criteria)</w:t>
      </w:r>
    </w:p>
    <w:p w14:paraId="6F2DEBB4" w14:textId="77777777" w:rsidR="00376CE5" w:rsidRPr="00BF64DA" w:rsidRDefault="00376CE5" w:rsidP="00BF64DA">
      <w:pPr>
        <w:spacing w:after="0" w:line="240" w:lineRule="auto"/>
        <w:jc w:val="both"/>
        <w:outlineLvl w:val="2"/>
        <w:rPr>
          <w:rFonts w:ascii="Cambria" w:eastAsia="Times New Roman" w:hAnsi="Cambria" w:cs="Times New Roman"/>
          <w:b/>
          <w:bCs/>
          <w:sz w:val="24"/>
          <w:szCs w:val="24"/>
          <w:lang w:eastAsia="en-ID"/>
        </w:rPr>
      </w:pPr>
      <w:r w:rsidRPr="00BF64DA">
        <w:rPr>
          <w:rFonts w:ascii="Cambria" w:eastAsia="Times New Roman" w:hAnsi="Cambria" w:cs="Times New Roman"/>
          <w:b/>
          <w:bCs/>
          <w:sz w:val="24"/>
          <w:szCs w:val="24"/>
          <w:lang w:eastAsia="en-ID"/>
        </w:rPr>
        <w:t>Table 1. SLR Literature Search Strategy</w:t>
      </w:r>
    </w:p>
    <w:tbl>
      <w:tblPr>
        <w:tblStyle w:val="TableGrid"/>
        <w:tblW w:w="0" w:type="auto"/>
        <w:tblLook w:val="04A0" w:firstRow="1" w:lastRow="0" w:firstColumn="1" w:lastColumn="0" w:noHBand="0" w:noVBand="1"/>
      </w:tblPr>
      <w:tblGrid>
        <w:gridCol w:w="1950"/>
        <w:gridCol w:w="7066"/>
      </w:tblGrid>
      <w:tr w:rsidR="00376CE5" w:rsidRPr="00BF64DA" w14:paraId="2225E2A0" w14:textId="77777777" w:rsidTr="00376CE5">
        <w:tc>
          <w:tcPr>
            <w:tcW w:w="0" w:type="auto"/>
            <w:hideMark/>
          </w:tcPr>
          <w:p w14:paraId="4FB85C57" w14:textId="77777777" w:rsidR="00376CE5" w:rsidRPr="00BF64DA" w:rsidRDefault="00376CE5" w:rsidP="00BF64DA">
            <w:pPr>
              <w:jc w:val="both"/>
              <w:rPr>
                <w:rFonts w:ascii="Cambria" w:eastAsia="Times New Roman" w:hAnsi="Cambria" w:cs="Times New Roman"/>
                <w:b/>
                <w:bCs/>
                <w:sz w:val="24"/>
                <w:szCs w:val="24"/>
                <w:lang w:eastAsia="en-ID"/>
              </w:rPr>
            </w:pPr>
            <w:r w:rsidRPr="00BF64DA">
              <w:rPr>
                <w:rFonts w:ascii="Cambria" w:eastAsia="Times New Roman" w:hAnsi="Cambria" w:cs="Times New Roman"/>
                <w:b/>
                <w:bCs/>
                <w:sz w:val="24"/>
                <w:szCs w:val="24"/>
                <w:lang w:eastAsia="en-ID"/>
              </w:rPr>
              <w:t>Component</w:t>
            </w:r>
          </w:p>
        </w:tc>
        <w:tc>
          <w:tcPr>
            <w:tcW w:w="0" w:type="auto"/>
            <w:hideMark/>
          </w:tcPr>
          <w:p w14:paraId="6EBB4A7F" w14:textId="77777777" w:rsidR="00376CE5" w:rsidRPr="00BF64DA" w:rsidRDefault="00376CE5" w:rsidP="00BF64DA">
            <w:pPr>
              <w:jc w:val="both"/>
              <w:rPr>
                <w:rFonts w:ascii="Cambria" w:eastAsia="Times New Roman" w:hAnsi="Cambria" w:cs="Times New Roman"/>
                <w:b/>
                <w:bCs/>
                <w:sz w:val="24"/>
                <w:szCs w:val="24"/>
                <w:lang w:eastAsia="en-ID"/>
              </w:rPr>
            </w:pPr>
            <w:r w:rsidRPr="00BF64DA">
              <w:rPr>
                <w:rFonts w:ascii="Cambria" w:eastAsia="Times New Roman" w:hAnsi="Cambria" w:cs="Times New Roman"/>
                <w:b/>
                <w:bCs/>
                <w:sz w:val="24"/>
                <w:szCs w:val="24"/>
                <w:lang w:eastAsia="en-ID"/>
              </w:rPr>
              <w:t>Description</w:t>
            </w:r>
          </w:p>
        </w:tc>
      </w:tr>
      <w:tr w:rsidR="00376CE5" w:rsidRPr="00BF64DA" w14:paraId="05FF826B" w14:textId="77777777" w:rsidTr="00376CE5">
        <w:tc>
          <w:tcPr>
            <w:tcW w:w="0" w:type="auto"/>
            <w:hideMark/>
          </w:tcPr>
          <w:p w14:paraId="2273CA9A"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b/>
                <w:bCs/>
                <w:sz w:val="24"/>
                <w:szCs w:val="24"/>
                <w:lang w:eastAsia="en-ID"/>
              </w:rPr>
              <w:t>Database</w:t>
            </w:r>
          </w:p>
        </w:tc>
        <w:tc>
          <w:tcPr>
            <w:tcW w:w="0" w:type="auto"/>
            <w:hideMark/>
          </w:tcPr>
          <w:p w14:paraId="4F302B72"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sz w:val="24"/>
                <w:szCs w:val="24"/>
                <w:lang w:eastAsia="en-ID"/>
              </w:rPr>
              <w:t>PubMed, Scopus, ScienceDirect, SAGE Journals, MDPI, BioMed Central, arXiv, JMIR</w:t>
            </w:r>
          </w:p>
        </w:tc>
      </w:tr>
      <w:tr w:rsidR="00376CE5" w:rsidRPr="00BF64DA" w14:paraId="5DC74AD5" w14:textId="77777777" w:rsidTr="00376CE5">
        <w:tc>
          <w:tcPr>
            <w:tcW w:w="0" w:type="auto"/>
            <w:hideMark/>
          </w:tcPr>
          <w:p w14:paraId="363AF9B8"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b/>
                <w:bCs/>
                <w:sz w:val="24"/>
                <w:szCs w:val="24"/>
                <w:lang w:eastAsia="en-ID"/>
              </w:rPr>
              <w:t>Boolean Keywords</w:t>
            </w:r>
          </w:p>
        </w:tc>
        <w:tc>
          <w:tcPr>
            <w:tcW w:w="0" w:type="auto"/>
            <w:hideMark/>
          </w:tcPr>
          <w:p w14:paraId="0F8AE030"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sz w:val="24"/>
                <w:szCs w:val="24"/>
                <w:lang w:eastAsia="en-ID"/>
              </w:rPr>
              <w:t>(“Digital Leadership” OR “Leadership 4.0”) AND (“Public Health” OR “Healthcare Transformation”) AND (“Multi-level Governance” OR “Health Policy”) AND (“Digital Inequality” OR “Digital Divide”)</w:t>
            </w:r>
          </w:p>
        </w:tc>
      </w:tr>
      <w:tr w:rsidR="00376CE5" w:rsidRPr="00BF64DA" w14:paraId="22532431" w14:textId="77777777" w:rsidTr="00376CE5">
        <w:tc>
          <w:tcPr>
            <w:tcW w:w="0" w:type="auto"/>
            <w:hideMark/>
          </w:tcPr>
          <w:p w14:paraId="418EAC77"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b/>
                <w:bCs/>
                <w:sz w:val="24"/>
                <w:szCs w:val="24"/>
                <w:lang w:eastAsia="en-ID"/>
              </w:rPr>
              <w:t>Time Period</w:t>
            </w:r>
          </w:p>
        </w:tc>
        <w:tc>
          <w:tcPr>
            <w:tcW w:w="0" w:type="auto"/>
            <w:hideMark/>
          </w:tcPr>
          <w:p w14:paraId="197B17F7"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sz w:val="24"/>
                <w:szCs w:val="24"/>
                <w:lang w:eastAsia="en-ID"/>
              </w:rPr>
              <w:t>January 2019 – October 2025</w:t>
            </w:r>
          </w:p>
        </w:tc>
      </w:tr>
      <w:tr w:rsidR="00376CE5" w:rsidRPr="00BF64DA" w14:paraId="7D402F4C" w14:textId="77777777" w:rsidTr="00376CE5">
        <w:tc>
          <w:tcPr>
            <w:tcW w:w="0" w:type="auto"/>
            <w:hideMark/>
          </w:tcPr>
          <w:p w14:paraId="6AA02DE3"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b/>
                <w:bCs/>
                <w:sz w:val="24"/>
                <w:szCs w:val="24"/>
                <w:lang w:eastAsia="en-ID"/>
              </w:rPr>
              <w:t>Language</w:t>
            </w:r>
          </w:p>
        </w:tc>
        <w:tc>
          <w:tcPr>
            <w:tcW w:w="0" w:type="auto"/>
            <w:hideMark/>
          </w:tcPr>
          <w:p w14:paraId="1E0D3F40"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sz w:val="24"/>
                <w:szCs w:val="24"/>
                <w:lang w:eastAsia="en-ID"/>
              </w:rPr>
              <w:t>English Indonesian</w:t>
            </w:r>
          </w:p>
        </w:tc>
      </w:tr>
      <w:tr w:rsidR="00376CE5" w:rsidRPr="00BF64DA" w14:paraId="19BAE45D" w14:textId="77777777" w:rsidTr="00376CE5">
        <w:tc>
          <w:tcPr>
            <w:tcW w:w="0" w:type="auto"/>
            <w:hideMark/>
          </w:tcPr>
          <w:p w14:paraId="22636787"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b/>
                <w:bCs/>
                <w:sz w:val="24"/>
                <w:szCs w:val="24"/>
                <w:lang w:eastAsia="en-ID"/>
              </w:rPr>
              <w:t>Type of Study</w:t>
            </w:r>
          </w:p>
        </w:tc>
        <w:tc>
          <w:tcPr>
            <w:tcW w:w="0" w:type="auto"/>
            <w:hideMark/>
          </w:tcPr>
          <w:p w14:paraId="5A8775B1"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sz w:val="24"/>
                <w:szCs w:val="24"/>
                <w:lang w:eastAsia="en-ID"/>
              </w:rPr>
              <w:t>Peer-reviewed journal articles, systematic reviews, scoping reviews, qualitative studies, gray academic literature</w:t>
            </w:r>
          </w:p>
        </w:tc>
      </w:tr>
      <w:tr w:rsidR="00376CE5" w:rsidRPr="00BF64DA" w14:paraId="25353A06" w14:textId="77777777" w:rsidTr="00376CE5">
        <w:tc>
          <w:tcPr>
            <w:tcW w:w="0" w:type="auto"/>
            <w:hideMark/>
          </w:tcPr>
          <w:p w14:paraId="31D78E31"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b/>
                <w:bCs/>
                <w:sz w:val="24"/>
                <w:szCs w:val="24"/>
                <w:lang w:eastAsia="en-ID"/>
              </w:rPr>
              <w:t>Initial Article Count</w:t>
            </w:r>
          </w:p>
        </w:tc>
        <w:tc>
          <w:tcPr>
            <w:tcW w:w="0" w:type="auto"/>
            <w:hideMark/>
          </w:tcPr>
          <w:p w14:paraId="3576AF70"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sz w:val="24"/>
                <w:szCs w:val="24"/>
                <w:lang w:eastAsia="en-ID"/>
              </w:rPr>
              <w:t>96</w:t>
            </w:r>
          </w:p>
        </w:tc>
      </w:tr>
      <w:tr w:rsidR="00376CE5" w:rsidRPr="00BF64DA" w14:paraId="5A308B67" w14:textId="77777777" w:rsidTr="00376CE5">
        <w:tc>
          <w:tcPr>
            <w:tcW w:w="0" w:type="auto"/>
            <w:hideMark/>
          </w:tcPr>
          <w:p w14:paraId="05FFC5F6"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b/>
                <w:bCs/>
                <w:sz w:val="24"/>
                <w:szCs w:val="24"/>
                <w:lang w:eastAsia="en-ID"/>
              </w:rPr>
              <w:t>Articles After Final Selection</w:t>
            </w:r>
          </w:p>
        </w:tc>
        <w:tc>
          <w:tcPr>
            <w:tcW w:w="0" w:type="auto"/>
            <w:hideMark/>
          </w:tcPr>
          <w:p w14:paraId="405A104F" w14:textId="77777777" w:rsidR="00376CE5" w:rsidRPr="00BF64DA" w:rsidRDefault="00376CE5" w:rsidP="00BF64DA">
            <w:pPr>
              <w:pStyle w:val="ListParagraph"/>
              <w:numPr>
                <w:ilvl w:val="1"/>
                <w:numId w:val="5"/>
              </w:numPr>
              <w:jc w:val="both"/>
              <w:rPr>
                <w:rFonts w:ascii="Cambria" w:eastAsia="Times New Roman" w:hAnsi="Cambria" w:cs="Times New Roman"/>
                <w:sz w:val="24"/>
                <w:szCs w:val="24"/>
                <w:lang w:eastAsia="en-ID"/>
              </w:rPr>
            </w:pPr>
            <w:r w:rsidRPr="00BF64DA">
              <w:rPr>
                <w:rFonts w:ascii="Cambria" w:eastAsia="Times New Roman" w:hAnsi="Cambria" w:cs="Times New Roman"/>
                <w:sz w:val="24"/>
                <w:szCs w:val="24"/>
                <w:lang w:eastAsia="en-ID"/>
              </w:rPr>
              <w:t>articles (with active DOI and high relevance)</w:t>
            </w:r>
          </w:p>
        </w:tc>
      </w:tr>
    </w:tbl>
    <w:p w14:paraId="1360CD0E" w14:textId="77777777" w:rsidR="00BF64DA" w:rsidRDefault="00BF64DA" w:rsidP="00BF64DA">
      <w:pPr>
        <w:spacing w:after="0" w:line="240" w:lineRule="auto"/>
        <w:jc w:val="both"/>
        <w:outlineLvl w:val="2"/>
        <w:rPr>
          <w:rFonts w:ascii="Cambria" w:eastAsia="Times New Roman" w:hAnsi="Cambria" w:cs="Times New Roman"/>
          <w:b/>
          <w:bCs/>
          <w:sz w:val="24"/>
          <w:szCs w:val="24"/>
          <w:lang w:eastAsia="en-ID"/>
        </w:rPr>
      </w:pPr>
    </w:p>
    <w:p w14:paraId="03A75560" w14:textId="77777777" w:rsidR="00376CE5" w:rsidRPr="00BF64DA" w:rsidRDefault="00376CE5" w:rsidP="00BF64DA">
      <w:pPr>
        <w:spacing w:after="0" w:line="240" w:lineRule="auto"/>
        <w:jc w:val="both"/>
        <w:outlineLvl w:val="2"/>
        <w:rPr>
          <w:rFonts w:ascii="Cambria" w:eastAsia="Times New Roman" w:hAnsi="Cambria" w:cs="Times New Roman"/>
          <w:b/>
          <w:bCs/>
          <w:sz w:val="24"/>
          <w:szCs w:val="24"/>
          <w:lang w:eastAsia="en-ID"/>
        </w:rPr>
      </w:pPr>
      <w:r w:rsidRPr="00BF64DA">
        <w:rPr>
          <w:rFonts w:ascii="Cambria" w:eastAsia="Times New Roman" w:hAnsi="Cambria" w:cs="Times New Roman"/>
          <w:b/>
          <w:bCs/>
          <w:sz w:val="24"/>
          <w:szCs w:val="24"/>
          <w:lang w:eastAsia="en-ID"/>
        </w:rPr>
        <w:lastRenderedPageBreak/>
        <w:t>Table 2. Inclusion and Exclusion Criteria</w:t>
      </w:r>
    </w:p>
    <w:tbl>
      <w:tblPr>
        <w:tblStyle w:val="TableGrid"/>
        <w:tblW w:w="0" w:type="auto"/>
        <w:tblLook w:val="04A0" w:firstRow="1" w:lastRow="0" w:firstColumn="1" w:lastColumn="0" w:noHBand="0" w:noVBand="1"/>
      </w:tblPr>
      <w:tblGrid>
        <w:gridCol w:w="1770"/>
        <w:gridCol w:w="3791"/>
        <w:gridCol w:w="3455"/>
      </w:tblGrid>
      <w:tr w:rsidR="00376CE5" w:rsidRPr="00BF64DA" w14:paraId="59728C1E" w14:textId="77777777" w:rsidTr="00376CE5">
        <w:tc>
          <w:tcPr>
            <w:tcW w:w="0" w:type="auto"/>
            <w:hideMark/>
          </w:tcPr>
          <w:p w14:paraId="4582FBB2" w14:textId="77777777" w:rsidR="00376CE5" w:rsidRPr="00BF64DA" w:rsidRDefault="00376CE5" w:rsidP="00BF64DA">
            <w:pPr>
              <w:jc w:val="both"/>
              <w:rPr>
                <w:rFonts w:ascii="Cambria" w:eastAsia="Times New Roman" w:hAnsi="Cambria" w:cs="Times New Roman"/>
                <w:b/>
                <w:bCs/>
                <w:sz w:val="24"/>
                <w:szCs w:val="24"/>
                <w:lang w:eastAsia="en-ID"/>
              </w:rPr>
            </w:pPr>
            <w:r w:rsidRPr="00BF64DA">
              <w:rPr>
                <w:rFonts w:ascii="Cambria" w:eastAsia="Times New Roman" w:hAnsi="Cambria" w:cs="Times New Roman"/>
                <w:b/>
                <w:bCs/>
                <w:sz w:val="24"/>
                <w:szCs w:val="24"/>
                <w:lang w:eastAsia="en-ID"/>
              </w:rPr>
              <w:t>Criteria</w:t>
            </w:r>
          </w:p>
        </w:tc>
        <w:tc>
          <w:tcPr>
            <w:tcW w:w="0" w:type="auto"/>
            <w:hideMark/>
          </w:tcPr>
          <w:p w14:paraId="4CFEC1DE" w14:textId="77777777" w:rsidR="00376CE5" w:rsidRPr="00BF64DA" w:rsidRDefault="00376CE5" w:rsidP="00BF64DA">
            <w:pPr>
              <w:jc w:val="both"/>
              <w:rPr>
                <w:rFonts w:ascii="Cambria" w:eastAsia="Times New Roman" w:hAnsi="Cambria" w:cs="Times New Roman"/>
                <w:b/>
                <w:bCs/>
                <w:sz w:val="24"/>
                <w:szCs w:val="24"/>
                <w:lang w:eastAsia="en-ID"/>
              </w:rPr>
            </w:pPr>
            <w:r w:rsidRPr="00BF64DA">
              <w:rPr>
                <w:rFonts w:ascii="Cambria" w:eastAsia="Times New Roman" w:hAnsi="Cambria" w:cs="Times New Roman"/>
                <w:b/>
                <w:bCs/>
                <w:sz w:val="24"/>
                <w:szCs w:val="24"/>
                <w:lang w:eastAsia="en-ID"/>
              </w:rPr>
              <w:t>Inclusion</w:t>
            </w:r>
            <w:r w:rsidR="00BF64DA">
              <w:rPr>
                <w:rFonts w:ascii="Segoe UI Emoji" w:eastAsia="Times New Roman" w:hAnsi="Segoe UI Emoji" w:cs="Segoe UI Emoji"/>
                <w:b/>
                <w:bCs/>
                <w:sz w:val="24"/>
                <w:szCs w:val="24"/>
                <w:lang w:eastAsia="en-ID"/>
              </w:rPr>
              <w:t xml:space="preserve"> </w:t>
            </w:r>
          </w:p>
        </w:tc>
        <w:tc>
          <w:tcPr>
            <w:tcW w:w="0" w:type="auto"/>
            <w:hideMark/>
          </w:tcPr>
          <w:p w14:paraId="64603232" w14:textId="77777777" w:rsidR="00376CE5" w:rsidRPr="00BF64DA" w:rsidRDefault="00376CE5" w:rsidP="00BF64DA">
            <w:pPr>
              <w:jc w:val="both"/>
              <w:rPr>
                <w:rFonts w:ascii="Cambria" w:eastAsia="Times New Roman" w:hAnsi="Cambria" w:cs="Times New Roman"/>
                <w:b/>
                <w:bCs/>
                <w:sz w:val="24"/>
                <w:szCs w:val="24"/>
                <w:lang w:eastAsia="en-ID"/>
              </w:rPr>
            </w:pPr>
            <w:r w:rsidRPr="00BF64DA">
              <w:rPr>
                <w:rFonts w:ascii="Cambria" w:eastAsia="Times New Roman" w:hAnsi="Cambria" w:cs="Times New Roman"/>
                <w:b/>
                <w:bCs/>
                <w:sz w:val="24"/>
                <w:szCs w:val="24"/>
                <w:lang w:eastAsia="en-ID"/>
              </w:rPr>
              <w:t>Exclusion</w:t>
            </w:r>
            <w:r w:rsidR="00BF64DA">
              <w:rPr>
                <w:rFonts w:ascii="Segoe UI Emoji" w:eastAsia="Times New Roman" w:hAnsi="Segoe UI Emoji" w:cs="Segoe UI Emoji"/>
                <w:b/>
                <w:bCs/>
                <w:sz w:val="24"/>
                <w:szCs w:val="24"/>
                <w:lang w:eastAsia="en-ID"/>
              </w:rPr>
              <w:t xml:space="preserve"> </w:t>
            </w:r>
          </w:p>
        </w:tc>
      </w:tr>
      <w:tr w:rsidR="00376CE5" w:rsidRPr="00BF64DA" w14:paraId="10906B55" w14:textId="77777777" w:rsidTr="00376CE5">
        <w:tc>
          <w:tcPr>
            <w:tcW w:w="0" w:type="auto"/>
            <w:hideMark/>
          </w:tcPr>
          <w:p w14:paraId="1A764094"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b/>
                <w:bCs/>
                <w:sz w:val="24"/>
                <w:szCs w:val="24"/>
                <w:lang w:eastAsia="en-ID"/>
              </w:rPr>
              <w:t>Topic</w:t>
            </w:r>
          </w:p>
        </w:tc>
        <w:tc>
          <w:tcPr>
            <w:tcW w:w="0" w:type="auto"/>
            <w:hideMark/>
          </w:tcPr>
          <w:p w14:paraId="459833E6"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sz w:val="24"/>
                <w:szCs w:val="24"/>
                <w:lang w:eastAsia="en-ID"/>
              </w:rPr>
              <w:t>Focus on digital leadership, public health policy, or public sector digital transformation</w:t>
            </w:r>
          </w:p>
        </w:tc>
        <w:tc>
          <w:tcPr>
            <w:tcW w:w="0" w:type="auto"/>
            <w:hideMark/>
          </w:tcPr>
          <w:p w14:paraId="7B0BD8FD"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sz w:val="24"/>
                <w:szCs w:val="24"/>
                <w:lang w:eastAsia="en-ID"/>
              </w:rPr>
              <w:t>Purely technical studies (e.g., AI, IoT) without policy or leadership relevance</w:t>
            </w:r>
          </w:p>
        </w:tc>
      </w:tr>
      <w:tr w:rsidR="00376CE5" w:rsidRPr="00BF64DA" w14:paraId="7DAE2E2A" w14:textId="77777777" w:rsidTr="00376CE5">
        <w:tc>
          <w:tcPr>
            <w:tcW w:w="0" w:type="auto"/>
            <w:hideMark/>
          </w:tcPr>
          <w:p w14:paraId="0F725474"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b/>
                <w:bCs/>
                <w:sz w:val="24"/>
                <w:szCs w:val="24"/>
                <w:lang w:eastAsia="en-ID"/>
              </w:rPr>
              <w:t>Context</w:t>
            </w:r>
          </w:p>
        </w:tc>
        <w:tc>
          <w:tcPr>
            <w:tcW w:w="0" w:type="auto"/>
            <w:hideMark/>
          </w:tcPr>
          <w:p w14:paraId="301E9EF0"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sz w:val="24"/>
                <w:szCs w:val="24"/>
                <w:lang w:eastAsia="en-ID"/>
              </w:rPr>
              <w:t>National, regional, local health systems; cases of developed and developing countries</w:t>
            </w:r>
          </w:p>
        </w:tc>
        <w:tc>
          <w:tcPr>
            <w:tcW w:w="0" w:type="auto"/>
            <w:hideMark/>
          </w:tcPr>
          <w:p w14:paraId="21C42AE4"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sz w:val="24"/>
                <w:szCs w:val="24"/>
                <w:lang w:eastAsia="en-ID"/>
              </w:rPr>
              <w:t>Private sector or manufacturing industry based studies</w:t>
            </w:r>
          </w:p>
        </w:tc>
      </w:tr>
      <w:tr w:rsidR="00376CE5" w:rsidRPr="00BF64DA" w14:paraId="03BE1D89" w14:textId="77777777" w:rsidTr="00376CE5">
        <w:tc>
          <w:tcPr>
            <w:tcW w:w="0" w:type="auto"/>
            <w:hideMark/>
          </w:tcPr>
          <w:p w14:paraId="1E2DEA16"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b/>
                <w:bCs/>
                <w:sz w:val="24"/>
                <w:szCs w:val="24"/>
                <w:lang w:eastAsia="en-ID"/>
              </w:rPr>
              <w:t>Document Type</w:t>
            </w:r>
          </w:p>
        </w:tc>
        <w:tc>
          <w:tcPr>
            <w:tcW w:w="0" w:type="auto"/>
            <w:hideMark/>
          </w:tcPr>
          <w:p w14:paraId="627A05F6"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sz w:val="24"/>
                <w:szCs w:val="24"/>
                <w:lang w:eastAsia="en-ID"/>
              </w:rPr>
              <w:t>Peer-reviewed scientific articles, systematic reviews, scoping, meta-synthesis</w:t>
            </w:r>
          </w:p>
        </w:tc>
        <w:tc>
          <w:tcPr>
            <w:tcW w:w="0" w:type="auto"/>
            <w:hideMark/>
          </w:tcPr>
          <w:p w14:paraId="7E43A281"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sz w:val="24"/>
                <w:szCs w:val="24"/>
                <w:lang w:eastAsia="en-ID"/>
              </w:rPr>
              <w:t>Editorials, opinion pieces, blogs, non-academic organization reports</w:t>
            </w:r>
          </w:p>
        </w:tc>
      </w:tr>
      <w:tr w:rsidR="00376CE5" w:rsidRPr="00BF64DA" w14:paraId="2A700670" w14:textId="77777777" w:rsidTr="00376CE5">
        <w:tc>
          <w:tcPr>
            <w:tcW w:w="0" w:type="auto"/>
            <w:hideMark/>
          </w:tcPr>
          <w:p w14:paraId="2F7FCF30"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b/>
                <w:bCs/>
                <w:sz w:val="24"/>
                <w:szCs w:val="24"/>
                <w:lang w:eastAsia="en-ID"/>
              </w:rPr>
              <w:t>Full Text Availability</w:t>
            </w:r>
          </w:p>
        </w:tc>
        <w:tc>
          <w:tcPr>
            <w:tcW w:w="0" w:type="auto"/>
            <w:hideMark/>
          </w:tcPr>
          <w:p w14:paraId="553C23AD"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sz w:val="24"/>
                <w:szCs w:val="24"/>
                <w:lang w:eastAsia="en-ID"/>
              </w:rPr>
              <w:t>Yes</w:t>
            </w:r>
          </w:p>
        </w:tc>
        <w:tc>
          <w:tcPr>
            <w:tcW w:w="0" w:type="auto"/>
            <w:hideMark/>
          </w:tcPr>
          <w:p w14:paraId="7F31895F" w14:textId="77777777" w:rsidR="00376CE5" w:rsidRPr="00BF64DA" w:rsidRDefault="00376CE5" w:rsidP="00BF64DA">
            <w:pPr>
              <w:jc w:val="both"/>
              <w:rPr>
                <w:rFonts w:ascii="Cambria" w:eastAsia="Times New Roman" w:hAnsi="Cambria" w:cs="Times New Roman"/>
                <w:sz w:val="24"/>
                <w:szCs w:val="24"/>
                <w:lang w:eastAsia="en-ID"/>
              </w:rPr>
            </w:pPr>
            <w:r w:rsidRPr="00BF64DA">
              <w:rPr>
                <w:rFonts w:ascii="Cambria" w:eastAsia="Times New Roman" w:hAnsi="Cambria" w:cs="Times New Roman"/>
                <w:sz w:val="24"/>
                <w:szCs w:val="24"/>
                <w:lang w:eastAsia="en-ID"/>
              </w:rPr>
              <w:t>Not available with full access or cannot be verified</w:t>
            </w:r>
          </w:p>
        </w:tc>
      </w:tr>
    </w:tbl>
    <w:p w14:paraId="26B3B328" w14:textId="77777777" w:rsidR="00376CE5" w:rsidRPr="00BF64DA" w:rsidRDefault="00376CE5" w:rsidP="00BF64DA">
      <w:pPr>
        <w:spacing w:after="0" w:line="240" w:lineRule="auto"/>
        <w:jc w:val="both"/>
        <w:rPr>
          <w:rFonts w:ascii="Cambria" w:hAnsi="Cambria"/>
          <w:b/>
          <w:bCs/>
          <w:sz w:val="24"/>
          <w:szCs w:val="24"/>
        </w:rPr>
      </w:pPr>
    </w:p>
    <w:p w14:paraId="56ECCF69" w14:textId="77777777" w:rsidR="00376CE5" w:rsidRPr="00BF64DA" w:rsidRDefault="00BF64DA" w:rsidP="00BF64DA">
      <w:pPr>
        <w:spacing w:after="0" w:line="240" w:lineRule="auto"/>
        <w:jc w:val="both"/>
        <w:rPr>
          <w:rFonts w:ascii="Cambria" w:hAnsi="Cambria"/>
          <w:sz w:val="24"/>
          <w:szCs w:val="24"/>
        </w:rPr>
      </w:pPr>
      <w:r>
        <w:rPr>
          <w:rFonts w:ascii="Cambria" w:hAnsi="Cambria"/>
          <w:b/>
          <w:bCs/>
          <w:sz w:val="24"/>
          <w:szCs w:val="24"/>
        </w:rPr>
        <w:t xml:space="preserve">  Analytical Sequence &amp; Framework</w:t>
      </w:r>
    </w:p>
    <w:p w14:paraId="55DDCCBB" w14:textId="77777777" w:rsidR="00376CE5" w:rsidRPr="00BF64DA" w:rsidRDefault="00376CE5" w:rsidP="00BF64DA">
      <w:pPr>
        <w:spacing w:after="0" w:line="240" w:lineRule="auto"/>
        <w:jc w:val="both"/>
        <w:rPr>
          <w:rFonts w:ascii="Cambria" w:hAnsi="Cambria"/>
          <w:sz w:val="24"/>
          <w:szCs w:val="24"/>
        </w:rPr>
      </w:pPr>
    </w:p>
    <w:p w14:paraId="3903F6C1" w14:textId="77777777" w:rsidR="00376CE5" w:rsidRPr="00BF64DA" w:rsidRDefault="00BF64DA" w:rsidP="00BF64DA">
      <w:pPr>
        <w:spacing w:after="0" w:line="240" w:lineRule="auto"/>
        <w:jc w:val="both"/>
        <w:rPr>
          <w:rFonts w:ascii="Cambria" w:hAnsi="Cambria"/>
          <w:b/>
          <w:bCs/>
          <w:sz w:val="24"/>
          <w:szCs w:val="24"/>
        </w:rPr>
      </w:pPr>
      <w:r>
        <w:rPr>
          <w:rFonts w:ascii="Segoe UI Emoji" w:hAnsi="Segoe UI Emoji" w:cs="Segoe UI Emoji"/>
          <w:b/>
          <w:bCs/>
          <w:sz w:val="24"/>
          <w:szCs w:val="24"/>
        </w:rPr>
        <w:t xml:space="preserve"> </w:t>
      </w:r>
      <w:r w:rsidR="00376CE5" w:rsidRPr="00BF64DA">
        <w:rPr>
          <w:rFonts w:ascii="Cambria" w:hAnsi="Cambria"/>
          <w:b/>
          <w:bCs/>
          <w:sz w:val="24"/>
          <w:szCs w:val="24"/>
        </w:rPr>
        <w:t>SLR Sequence and Analysis Framework</w:t>
      </w:r>
    </w:p>
    <w:p w14:paraId="681E1544" w14:textId="77777777" w:rsidR="00BF64DA" w:rsidRPr="00BF64DA" w:rsidRDefault="00376CE5" w:rsidP="00BF64DA">
      <w:pPr>
        <w:numPr>
          <w:ilvl w:val="0"/>
          <w:numId w:val="7"/>
        </w:numPr>
        <w:spacing w:after="0" w:line="240" w:lineRule="auto"/>
        <w:jc w:val="both"/>
        <w:rPr>
          <w:rFonts w:ascii="Cambria" w:hAnsi="Cambria"/>
          <w:sz w:val="24"/>
          <w:szCs w:val="24"/>
        </w:rPr>
      </w:pPr>
      <w:r w:rsidRPr="00BF64DA">
        <w:rPr>
          <w:rFonts w:ascii="Cambria" w:hAnsi="Cambria"/>
          <w:b/>
          <w:bCs/>
          <w:sz w:val="24"/>
          <w:szCs w:val="24"/>
        </w:rPr>
        <w:t>Research Question Formulation</w:t>
      </w:r>
    </w:p>
    <w:p w14:paraId="6522B2A9" w14:textId="77777777" w:rsidR="00376CE5" w:rsidRPr="00BF64DA" w:rsidRDefault="00376CE5" w:rsidP="00BF64DA">
      <w:pPr>
        <w:spacing w:after="0" w:line="240" w:lineRule="auto"/>
        <w:ind w:left="720"/>
        <w:jc w:val="both"/>
        <w:rPr>
          <w:rFonts w:ascii="Cambria" w:hAnsi="Cambria"/>
          <w:sz w:val="24"/>
          <w:szCs w:val="24"/>
        </w:rPr>
      </w:pPr>
      <w:r w:rsidRPr="00BF64DA">
        <w:rPr>
          <w:rFonts w:ascii="Cambria" w:hAnsi="Cambria"/>
          <w:sz w:val="24"/>
          <w:szCs w:val="24"/>
        </w:rPr>
        <w:t>Designed using the PICo (Population, Interest, Context) framework for a qualitative approach:</w:t>
      </w:r>
    </w:p>
    <w:p w14:paraId="7F2CD8E1" w14:textId="77777777" w:rsidR="00376CE5" w:rsidRPr="00BF64DA" w:rsidRDefault="00376CE5" w:rsidP="00BF64DA">
      <w:pPr>
        <w:numPr>
          <w:ilvl w:val="1"/>
          <w:numId w:val="7"/>
        </w:numPr>
        <w:spacing w:after="0" w:line="240" w:lineRule="auto"/>
        <w:jc w:val="both"/>
        <w:rPr>
          <w:rFonts w:ascii="Cambria" w:hAnsi="Cambria"/>
          <w:sz w:val="24"/>
          <w:szCs w:val="24"/>
        </w:rPr>
      </w:pPr>
      <w:r w:rsidRPr="00BF64DA">
        <w:rPr>
          <w:rFonts w:ascii="Cambria" w:hAnsi="Cambria"/>
          <w:i/>
          <w:iCs/>
          <w:sz w:val="24"/>
          <w:szCs w:val="24"/>
        </w:rPr>
        <w:t>Population</w:t>
      </w:r>
      <w:r w:rsidRPr="00BF64DA">
        <w:rPr>
          <w:rFonts w:ascii="Cambria" w:hAnsi="Cambria"/>
          <w:sz w:val="24"/>
          <w:szCs w:val="24"/>
        </w:rPr>
        <w:t>: Leaders and policy makers in the public health sector</w:t>
      </w:r>
    </w:p>
    <w:p w14:paraId="7689279F" w14:textId="77777777" w:rsidR="00376CE5" w:rsidRPr="00BF64DA" w:rsidRDefault="00376CE5" w:rsidP="00BF64DA">
      <w:pPr>
        <w:numPr>
          <w:ilvl w:val="1"/>
          <w:numId w:val="7"/>
        </w:numPr>
        <w:spacing w:after="0" w:line="240" w:lineRule="auto"/>
        <w:jc w:val="both"/>
        <w:rPr>
          <w:rFonts w:ascii="Cambria" w:hAnsi="Cambria"/>
          <w:sz w:val="24"/>
          <w:szCs w:val="24"/>
        </w:rPr>
      </w:pPr>
      <w:r w:rsidRPr="00BF64DA">
        <w:rPr>
          <w:rFonts w:ascii="Cambria" w:hAnsi="Cambria"/>
          <w:i/>
          <w:iCs/>
          <w:sz w:val="24"/>
          <w:szCs w:val="24"/>
        </w:rPr>
        <w:t>Interest</w:t>
      </w:r>
      <w:r w:rsidRPr="00BF64DA">
        <w:rPr>
          <w:rFonts w:ascii="Cambria" w:hAnsi="Cambria"/>
          <w:sz w:val="24"/>
          <w:szCs w:val="24"/>
        </w:rPr>
        <w:t>: Digital leadership strategy</w:t>
      </w:r>
    </w:p>
    <w:p w14:paraId="06C1F095" w14:textId="77777777" w:rsidR="00376CE5" w:rsidRPr="00BF64DA" w:rsidRDefault="00376CE5" w:rsidP="00BF64DA">
      <w:pPr>
        <w:numPr>
          <w:ilvl w:val="1"/>
          <w:numId w:val="7"/>
        </w:numPr>
        <w:spacing w:after="0" w:line="240" w:lineRule="auto"/>
        <w:jc w:val="both"/>
        <w:rPr>
          <w:rFonts w:ascii="Cambria" w:hAnsi="Cambria"/>
          <w:sz w:val="24"/>
          <w:szCs w:val="24"/>
        </w:rPr>
      </w:pPr>
      <w:r w:rsidRPr="00BF64DA">
        <w:rPr>
          <w:rFonts w:ascii="Cambria" w:hAnsi="Cambria"/>
          <w:i/>
          <w:iCs/>
          <w:sz w:val="24"/>
          <w:szCs w:val="24"/>
        </w:rPr>
        <w:t>Context</w:t>
      </w:r>
      <w:r w:rsidRPr="00BF64DA">
        <w:rPr>
          <w:rFonts w:ascii="Cambria" w:hAnsi="Cambria"/>
          <w:sz w:val="24"/>
          <w:szCs w:val="24"/>
        </w:rPr>
        <w:t>: Digital transformation within a multi-level governance framework</w:t>
      </w:r>
    </w:p>
    <w:p w14:paraId="5937344E" w14:textId="77777777" w:rsidR="00BF64DA" w:rsidRPr="00BF64DA" w:rsidRDefault="00376CE5" w:rsidP="00BF64DA">
      <w:pPr>
        <w:numPr>
          <w:ilvl w:val="0"/>
          <w:numId w:val="7"/>
        </w:numPr>
        <w:spacing w:after="0" w:line="240" w:lineRule="auto"/>
        <w:jc w:val="both"/>
        <w:rPr>
          <w:rFonts w:ascii="Cambria" w:hAnsi="Cambria"/>
          <w:sz w:val="24"/>
          <w:szCs w:val="24"/>
        </w:rPr>
      </w:pPr>
      <w:r w:rsidRPr="00BF64DA">
        <w:rPr>
          <w:rFonts w:ascii="Cambria" w:hAnsi="Cambria"/>
          <w:b/>
          <w:bCs/>
          <w:sz w:val="24"/>
          <w:szCs w:val="24"/>
        </w:rPr>
        <w:t>Literature Search Strategy</w:t>
      </w:r>
    </w:p>
    <w:p w14:paraId="35DE8CAC" w14:textId="77777777" w:rsidR="00376CE5" w:rsidRPr="00BF64DA" w:rsidRDefault="00376CE5" w:rsidP="00BF64DA">
      <w:pPr>
        <w:spacing w:after="0" w:line="240" w:lineRule="auto"/>
        <w:ind w:left="720"/>
        <w:jc w:val="both"/>
        <w:rPr>
          <w:rFonts w:ascii="Cambria" w:hAnsi="Cambria"/>
          <w:sz w:val="24"/>
          <w:szCs w:val="24"/>
        </w:rPr>
      </w:pPr>
      <w:r w:rsidRPr="00BF64DA">
        <w:rPr>
          <w:rFonts w:ascii="Cambria" w:hAnsi="Cambria"/>
          <w:sz w:val="24"/>
          <w:szCs w:val="24"/>
        </w:rPr>
        <w:t>Using Boolean logic and systematic searches in 7 databases (PubMed, ScienceDirect, SAGE, etc.) for the period 2019–2025.</w:t>
      </w:r>
    </w:p>
    <w:p w14:paraId="35C77163" w14:textId="77777777" w:rsidR="00BF64DA" w:rsidRPr="00BF64DA" w:rsidRDefault="00376CE5" w:rsidP="00BF64DA">
      <w:pPr>
        <w:numPr>
          <w:ilvl w:val="0"/>
          <w:numId w:val="7"/>
        </w:numPr>
        <w:spacing w:after="0" w:line="240" w:lineRule="auto"/>
        <w:jc w:val="both"/>
        <w:rPr>
          <w:rFonts w:ascii="Cambria" w:hAnsi="Cambria"/>
          <w:sz w:val="24"/>
          <w:szCs w:val="24"/>
        </w:rPr>
      </w:pPr>
      <w:r w:rsidRPr="00BF64DA">
        <w:rPr>
          <w:rFonts w:ascii="Cambria" w:hAnsi="Cambria"/>
          <w:b/>
          <w:bCs/>
          <w:sz w:val="24"/>
          <w:szCs w:val="24"/>
        </w:rPr>
        <w:t>Selection and Exclusion Stage</w:t>
      </w:r>
    </w:p>
    <w:p w14:paraId="3F55A0B5" w14:textId="77777777" w:rsidR="00376CE5" w:rsidRPr="00BF64DA" w:rsidRDefault="00376CE5" w:rsidP="00BF64DA">
      <w:pPr>
        <w:spacing w:after="0" w:line="240" w:lineRule="auto"/>
        <w:ind w:left="720"/>
        <w:jc w:val="both"/>
        <w:rPr>
          <w:rFonts w:ascii="Cambria" w:hAnsi="Cambria"/>
          <w:sz w:val="24"/>
          <w:szCs w:val="24"/>
        </w:rPr>
      </w:pPr>
      <w:r w:rsidRPr="00BF64DA">
        <w:rPr>
          <w:rFonts w:ascii="Cambria" w:hAnsi="Cambria"/>
          <w:sz w:val="24"/>
          <w:szCs w:val="24"/>
        </w:rPr>
        <w:t>Based on the M2 inclusion criteria: article type, time period, thematic focus, full-text access, and relevance to the topic of digital-public-leadership.</w:t>
      </w:r>
    </w:p>
    <w:p w14:paraId="53030D01" w14:textId="77777777" w:rsidR="00BF64DA" w:rsidRPr="00BF64DA" w:rsidRDefault="00376CE5" w:rsidP="00BF64DA">
      <w:pPr>
        <w:numPr>
          <w:ilvl w:val="0"/>
          <w:numId w:val="7"/>
        </w:numPr>
        <w:spacing w:after="0" w:line="240" w:lineRule="auto"/>
        <w:jc w:val="both"/>
        <w:rPr>
          <w:rFonts w:ascii="Cambria" w:hAnsi="Cambria"/>
          <w:sz w:val="24"/>
          <w:szCs w:val="24"/>
        </w:rPr>
      </w:pPr>
      <w:r w:rsidRPr="00BF64DA">
        <w:rPr>
          <w:rFonts w:ascii="Cambria" w:hAnsi="Cambria"/>
          <w:b/>
          <w:bCs/>
          <w:sz w:val="24"/>
          <w:szCs w:val="24"/>
        </w:rPr>
        <w:t>Thematic Data Extraction</w:t>
      </w:r>
    </w:p>
    <w:p w14:paraId="3716C39E" w14:textId="77777777" w:rsidR="00376CE5" w:rsidRPr="00BF64DA" w:rsidRDefault="00376CE5" w:rsidP="00BF64DA">
      <w:pPr>
        <w:spacing w:after="0" w:line="240" w:lineRule="auto"/>
        <w:ind w:left="720"/>
        <w:jc w:val="both"/>
        <w:rPr>
          <w:rFonts w:ascii="Cambria" w:hAnsi="Cambria"/>
          <w:sz w:val="24"/>
          <w:szCs w:val="24"/>
        </w:rPr>
      </w:pPr>
      <w:r w:rsidRPr="00BF64DA">
        <w:rPr>
          <w:rFonts w:ascii="Cambria" w:hAnsi="Cambria"/>
          <w:sz w:val="24"/>
          <w:szCs w:val="24"/>
        </w:rPr>
        <w:t>Using NVivo 14 software for the open coding, axial coding, and selective coding processes for 18 selected articles.</w:t>
      </w:r>
    </w:p>
    <w:p w14:paraId="7F5B5F95" w14:textId="77777777" w:rsidR="00BF64DA" w:rsidRPr="00BF64DA" w:rsidRDefault="00376CE5" w:rsidP="00BF64DA">
      <w:pPr>
        <w:numPr>
          <w:ilvl w:val="0"/>
          <w:numId w:val="7"/>
        </w:numPr>
        <w:spacing w:after="0" w:line="240" w:lineRule="auto"/>
        <w:jc w:val="both"/>
        <w:rPr>
          <w:rFonts w:ascii="Cambria" w:hAnsi="Cambria"/>
          <w:sz w:val="24"/>
          <w:szCs w:val="24"/>
        </w:rPr>
      </w:pPr>
      <w:r w:rsidRPr="00BF64DA">
        <w:rPr>
          <w:rFonts w:ascii="Cambria" w:hAnsi="Cambria"/>
          <w:b/>
          <w:bCs/>
          <w:sz w:val="24"/>
          <w:szCs w:val="24"/>
        </w:rPr>
        <w:t>Thematic and Relational Mapping</w:t>
      </w:r>
    </w:p>
    <w:p w14:paraId="6F6ED980" w14:textId="77777777" w:rsidR="00376CE5" w:rsidRPr="00BF64DA" w:rsidRDefault="00376CE5" w:rsidP="00BF64DA">
      <w:pPr>
        <w:spacing w:after="0" w:line="240" w:lineRule="auto"/>
        <w:ind w:left="720"/>
        <w:jc w:val="both"/>
        <w:rPr>
          <w:rFonts w:ascii="Cambria" w:hAnsi="Cambria"/>
          <w:sz w:val="24"/>
          <w:szCs w:val="24"/>
        </w:rPr>
      </w:pPr>
      <w:r w:rsidRPr="00BF64DA">
        <w:rPr>
          <w:rFonts w:ascii="Cambria" w:hAnsi="Cambria"/>
          <w:sz w:val="24"/>
          <w:szCs w:val="24"/>
        </w:rPr>
        <w:t>Produced in the form of a thematic matrix and co-occurrence chart between topics such as: “digital strategy”, “equity”, “multi-level governance”, and “public health leadership”.</w:t>
      </w:r>
    </w:p>
    <w:p w14:paraId="0A9B05CE" w14:textId="77777777" w:rsidR="00BF64DA" w:rsidRPr="00BF64DA" w:rsidRDefault="00376CE5" w:rsidP="00BF64DA">
      <w:pPr>
        <w:numPr>
          <w:ilvl w:val="0"/>
          <w:numId w:val="7"/>
        </w:numPr>
        <w:spacing w:after="0" w:line="240" w:lineRule="auto"/>
        <w:jc w:val="both"/>
        <w:rPr>
          <w:rFonts w:ascii="Cambria" w:hAnsi="Cambria"/>
          <w:sz w:val="24"/>
          <w:szCs w:val="24"/>
        </w:rPr>
      </w:pPr>
      <w:r w:rsidRPr="00BF64DA">
        <w:rPr>
          <w:rFonts w:ascii="Cambria" w:hAnsi="Cambria"/>
          <w:b/>
          <w:bCs/>
          <w:sz w:val="24"/>
          <w:szCs w:val="24"/>
        </w:rPr>
        <w:t>Narrative Synthesis Compilation</w:t>
      </w:r>
    </w:p>
    <w:p w14:paraId="783A5E83" w14:textId="77777777" w:rsidR="00376CE5" w:rsidRPr="00BF64DA" w:rsidRDefault="00376CE5" w:rsidP="00BF64DA">
      <w:pPr>
        <w:spacing w:after="0" w:line="240" w:lineRule="auto"/>
        <w:ind w:left="720"/>
        <w:jc w:val="both"/>
        <w:rPr>
          <w:rFonts w:ascii="Cambria" w:hAnsi="Cambria"/>
          <w:sz w:val="24"/>
          <w:szCs w:val="24"/>
        </w:rPr>
      </w:pPr>
      <w:r w:rsidRPr="00BF64DA">
        <w:rPr>
          <w:rFonts w:ascii="Cambria" w:hAnsi="Cambria"/>
          <w:sz w:val="24"/>
          <w:szCs w:val="24"/>
        </w:rPr>
        <w:t>The unification of three main axes of theory (digital leadership, multi-level governance, and public equity) into a conceptual model based on reflective synthesis.</w:t>
      </w:r>
    </w:p>
    <w:p w14:paraId="7248CE02" w14:textId="77777777" w:rsidR="00BF64DA" w:rsidRDefault="00BF64DA" w:rsidP="00BF64DA">
      <w:pPr>
        <w:spacing w:after="0" w:line="240" w:lineRule="auto"/>
        <w:jc w:val="both"/>
        <w:rPr>
          <w:rFonts w:ascii="Cambria" w:hAnsi="Cambria"/>
          <w:noProof/>
          <w:sz w:val="24"/>
          <w:szCs w:val="24"/>
        </w:rPr>
      </w:pPr>
    </w:p>
    <w:p w14:paraId="6E141DD5" w14:textId="77777777" w:rsidR="00F04545" w:rsidRDefault="00376CE5" w:rsidP="00BF64DA">
      <w:pPr>
        <w:spacing w:after="0" w:line="240" w:lineRule="auto"/>
        <w:jc w:val="center"/>
        <w:rPr>
          <w:rFonts w:ascii="Cambria" w:hAnsi="Cambria"/>
          <w:sz w:val="24"/>
          <w:szCs w:val="24"/>
        </w:rPr>
      </w:pPr>
      <w:r w:rsidRPr="00BF64DA">
        <w:rPr>
          <w:rFonts w:ascii="Cambria" w:hAnsi="Cambria"/>
          <w:noProof/>
          <w:sz w:val="24"/>
          <w:szCs w:val="24"/>
        </w:rPr>
        <w:lastRenderedPageBreak/>
        <w:drawing>
          <wp:inline distT="0" distB="0" distL="0" distR="0" wp14:anchorId="4F975980" wp14:editId="7C516B7F">
            <wp:extent cx="3413524" cy="557547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Oct 3, 2025, 06_53_58 PM.png"/>
                    <pic:cNvPicPr/>
                  </pic:nvPicPr>
                  <pic:blipFill rotWithShape="1">
                    <a:blip r:embed="rId9" cstate="print">
                      <a:extLst>
                        <a:ext uri="{28A0092B-C50C-407E-A947-70E740481C1C}">
                          <a14:useLocalDpi xmlns:a14="http://schemas.microsoft.com/office/drawing/2010/main" val="0"/>
                        </a:ext>
                      </a:extLst>
                    </a:blip>
                    <a:srcRect l="7976" t="3103" r="9583" b="7125"/>
                    <a:stretch/>
                  </pic:blipFill>
                  <pic:spPr bwMode="auto">
                    <a:xfrm>
                      <a:off x="0" y="0"/>
                      <a:ext cx="3429479" cy="5601534"/>
                    </a:xfrm>
                    <a:prstGeom prst="rect">
                      <a:avLst/>
                    </a:prstGeom>
                    <a:ln>
                      <a:noFill/>
                    </a:ln>
                    <a:extLst>
                      <a:ext uri="{53640926-AAD7-44D8-BBD7-CCE9431645EC}">
                        <a14:shadowObscured xmlns:a14="http://schemas.microsoft.com/office/drawing/2010/main"/>
                      </a:ext>
                    </a:extLst>
                  </pic:spPr>
                </pic:pic>
              </a:graphicData>
            </a:graphic>
          </wp:inline>
        </w:drawing>
      </w:r>
    </w:p>
    <w:p w14:paraId="14C95F01" w14:textId="77777777" w:rsidR="00BF64DA" w:rsidRPr="00BF64DA" w:rsidRDefault="00BF64DA" w:rsidP="00BF64DA">
      <w:pPr>
        <w:spacing w:after="0" w:line="240" w:lineRule="auto"/>
        <w:jc w:val="center"/>
        <w:rPr>
          <w:rFonts w:ascii="Cambria" w:hAnsi="Cambria"/>
          <w:sz w:val="24"/>
          <w:szCs w:val="24"/>
        </w:rPr>
      </w:pPr>
      <w:r>
        <w:rPr>
          <w:rFonts w:ascii="Cambria" w:hAnsi="Cambria"/>
          <w:sz w:val="24"/>
          <w:szCs w:val="24"/>
        </w:rPr>
        <w:t>Figure 2 analytical sequence &amp; framework</w:t>
      </w:r>
    </w:p>
    <w:p w14:paraId="0C4E6F20" w14:textId="77777777" w:rsidR="00BF64DA" w:rsidRDefault="00BF64DA" w:rsidP="00BF64DA">
      <w:pPr>
        <w:spacing w:after="0" w:line="240" w:lineRule="auto"/>
        <w:jc w:val="both"/>
        <w:rPr>
          <w:rFonts w:ascii="Cambria" w:hAnsi="Cambria"/>
          <w:noProof/>
          <w:sz w:val="24"/>
          <w:szCs w:val="24"/>
        </w:rPr>
      </w:pPr>
    </w:p>
    <w:p w14:paraId="3809D639" w14:textId="77777777" w:rsidR="00376CE5" w:rsidRDefault="00376CE5" w:rsidP="00BF64DA">
      <w:pPr>
        <w:spacing w:after="0" w:line="240" w:lineRule="auto"/>
        <w:jc w:val="center"/>
        <w:rPr>
          <w:rFonts w:ascii="Cambria" w:hAnsi="Cambria"/>
          <w:sz w:val="24"/>
          <w:szCs w:val="24"/>
        </w:rPr>
      </w:pPr>
      <w:r w:rsidRPr="00BF64DA">
        <w:rPr>
          <w:rFonts w:ascii="Cambria" w:hAnsi="Cambria"/>
          <w:noProof/>
          <w:sz w:val="24"/>
          <w:szCs w:val="24"/>
        </w:rPr>
        <w:lastRenderedPageBreak/>
        <w:drawing>
          <wp:inline distT="0" distB="0" distL="0" distR="0" wp14:anchorId="5A95EBD5" wp14:editId="44853E98">
            <wp:extent cx="2313382" cy="47672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GPT Image Oct 3, 2025, 06_54_22 PM.png"/>
                    <pic:cNvPicPr/>
                  </pic:nvPicPr>
                  <pic:blipFill rotWithShape="1">
                    <a:blip r:embed="rId10" cstate="print">
                      <a:extLst>
                        <a:ext uri="{28A0092B-C50C-407E-A947-70E740481C1C}">
                          <a14:useLocalDpi xmlns:a14="http://schemas.microsoft.com/office/drawing/2010/main" val="0"/>
                        </a:ext>
                      </a:extLst>
                    </a:blip>
                    <a:srcRect l="15290" t="2154" r="16906" b="4698"/>
                    <a:stretch/>
                  </pic:blipFill>
                  <pic:spPr bwMode="auto">
                    <a:xfrm>
                      <a:off x="0" y="0"/>
                      <a:ext cx="2327755" cy="4796822"/>
                    </a:xfrm>
                    <a:prstGeom prst="rect">
                      <a:avLst/>
                    </a:prstGeom>
                    <a:ln>
                      <a:noFill/>
                    </a:ln>
                    <a:extLst>
                      <a:ext uri="{53640926-AAD7-44D8-BBD7-CCE9431645EC}">
                        <a14:shadowObscured xmlns:a14="http://schemas.microsoft.com/office/drawing/2010/main"/>
                      </a:ext>
                    </a:extLst>
                  </pic:spPr>
                </pic:pic>
              </a:graphicData>
            </a:graphic>
          </wp:inline>
        </w:drawing>
      </w:r>
    </w:p>
    <w:p w14:paraId="6C6C1A00" w14:textId="77777777" w:rsidR="00BF64DA" w:rsidRDefault="00BF64DA" w:rsidP="00BF64DA">
      <w:pPr>
        <w:spacing w:after="0" w:line="240" w:lineRule="auto"/>
        <w:jc w:val="center"/>
        <w:rPr>
          <w:rFonts w:ascii="Cambria" w:hAnsi="Cambria"/>
          <w:sz w:val="24"/>
          <w:szCs w:val="24"/>
        </w:rPr>
      </w:pPr>
    </w:p>
    <w:p w14:paraId="0A2E7547" w14:textId="77777777" w:rsidR="00BF64DA" w:rsidRDefault="00BF64DA" w:rsidP="00BF64DA">
      <w:pPr>
        <w:spacing w:after="0" w:line="240" w:lineRule="auto"/>
        <w:jc w:val="center"/>
        <w:rPr>
          <w:rFonts w:ascii="Cambria" w:hAnsi="Cambria"/>
          <w:sz w:val="24"/>
          <w:szCs w:val="24"/>
        </w:rPr>
      </w:pPr>
      <w:r>
        <w:rPr>
          <w:rFonts w:ascii="Cambria" w:hAnsi="Cambria"/>
          <w:sz w:val="24"/>
          <w:szCs w:val="24"/>
        </w:rPr>
        <w:t>Figure 3 open coding</w:t>
      </w:r>
    </w:p>
    <w:p w14:paraId="3355E143" w14:textId="77777777" w:rsidR="00376CE5" w:rsidRDefault="00376CE5" w:rsidP="00BF64DA">
      <w:pPr>
        <w:spacing w:after="0" w:line="240" w:lineRule="auto"/>
        <w:jc w:val="center"/>
        <w:rPr>
          <w:rFonts w:ascii="Cambria" w:hAnsi="Cambria"/>
          <w:sz w:val="24"/>
          <w:szCs w:val="24"/>
        </w:rPr>
      </w:pPr>
      <w:r w:rsidRPr="00BF64DA">
        <w:rPr>
          <w:rFonts w:ascii="Cambria" w:hAnsi="Cambria"/>
          <w:noProof/>
          <w:sz w:val="24"/>
          <w:szCs w:val="24"/>
        </w:rPr>
        <w:drawing>
          <wp:inline distT="0" distB="0" distL="0" distR="0" wp14:anchorId="46BF1C7E" wp14:editId="2CB4EE5C">
            <wp:extent cx="3700780" cy="34943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tGPT Image Oct 3, 2025, 06_55_04 PM.png"/>
                    <pic:cNvPicPr/>
                  </pic:nvPicPr>
                  <pic:blipFill rotWithShape="1">
                    <a:blip r:embed="rId11" cstate="print">
                      <a:extLst>
                        <a:ext uri="{28A0092B-C50C-407E-A947-70E740481C1C}">
                          <a14:useLocalDpi xmlns:a14="http://schemas.microsoft.com/office/drawing/2010/main" val="0"/>
                        </a:ext>
                      </a:extLst>
                    </a:blip>
                    <a:srcRect b="5579"/>
                    <a:stretch/>
                  </pic:blipFill>
                  <pic:spPr bwMode="auto">
                    <a:xfrm>
                      <a:off x="0" y="0"/>
                      <a:ext cx="3706079" cy="3499317"/>
                    </a:xfrm>
                    <a:prstGeom prst="rect">
                      <a:avLst/>
                    </a:prstGeom>
                    <a:ln>
                      <a:noFill/>
                    </a:ln>
                    <a:extLst>
                      <a:ext uri="{53640926-AAD7-44D8-BBD7-CCE9431645EC}">
                        <a14:shadowObscured xmlns:a14="http://schemas.microsoft.com/office/drawing/2010/main"/>
                      </a:ext>
                    </a:extLst>
                  </pic:spPr>
                </pic:pic>
              </a:graphicData>
            </a:graphic>
          </wp:inline>
        </w:drawing>
      </w:r>
    </w:p>
    <w:p w14:paraId="00AF9139" w14:textId="77777777" w:rsidR="00BF64DA" w:rsidRPr="00BF64DA" w:rsidRDefault="00BF64DA" w:rsidP="00BF64DA">
      <w:pPr>
        <w:spacing w:after="0" w:line="240" w:lineRule="auto"/>
        <w:jc w:val="center"/>
        <w:rPr>
          <w:rFonts w:ascii="Cambria" w:hAnsi="Cambria"/>
          <w:sz w:val="24"/>
          <w:szCs w:val="24"/>
        </w:rPr>
      </w:pPr>
      <w:r>
        <w:rPr>
          <w:rFonts w:ascii="Cambria" w:hAnsi="Cambria"/>
          <w:sz w:val="24"/>
          <w:szCs w:val="24"/>
        </w:rPr>
        <w:t>Figure 4 prism</w:t>
      </w:r>
    </w:p>
    <w:p w14:paraId="6A62EEED" w14:textId="77777777" w:rsidR="00376CE5" w:rsidRPr="00BF64DA" w:rsidRDefault="00376CE5" w:rsidP="00BF64DA">
      <w:pPr>
        <w:spacing w:after="0" w:line="240" w:lineRule="auto"/>
        <w:jc w:val="both"/>
        <w:rPr>
          <w:rFonts w:ascii="Cambria" w:hAnsi="Cambria"/>
          <w:b/>
          <w:bCs/>
          <w:sz w:val="24"/>
          <w:szCs w:val="24"/>
        </w:rPr>
      </w:pPr>
      <w:r w:rsidRPr="00BF64DA">
        <w:rPr>
          <w:rFonts w:ascii="Cambria" w:hAnsi="Cambria"/>
          <w:b/>
          <w:bCs/>
          <w:sz w:val="24"/>
          <w:szCs w:val="24"/>
        </w:rPr>
        <w:lastRenderedPageBreak/>
        <w:t>Thematic Results &amp; Synthesis Analysis</w:t>
      </w:r>
    </w:p>
    <w:p w14:paraId="7074F547" w14:textId="77777777" w:rsidR="00376CE5" w:rsidRPr="00BF64DA" w:rsidRDefault="00376CE5" w:rsidP="00BF64DA">
      <w:pPr>
        <w:spacing w:after="0" w:line="240" w:lineRule="auto"/>
        <w:jc w:val="both"/>
        <w:rPr>
          <w:rFonts w:ascii="Cambria" w:hAnsi="Cambria"/>
          <w:sz w:val="24"/>
          <w:szCs w:val="24"/>
        </w:rPr>
      </w:pPr>
      <w:r w:rsidRPr="00BF64DA">
        <w:rPr>
          <w:rFonts w:ascii="Cambria" w:hAnsi="Cambria"/>
          <w:sz w:val="24"/>
          <w:szCs w:val="24"/>
        </w:rPr>
        <w:t>Based on 18 systematically selected articles, an open coding process was carried out to selective coding which resulted in three major themes and five subthemes that frame the dynamics of digital leadership in public health transformation.</w:t>
      </w:r>
    </w:p>
    <w:p w14:paraId="51F2A1C6" w14:textId="77777777" w:rsidR="00376CE5" w:rsidRPr="00BF64DA" w:rsidRDefault="00376CE5" w:rsidP="00BF64DA">
      <w:pPr>
        <w:spacing w:after="0" w:line="240" w:lineRule="auto"/>
        <w:jc w:val="both"/>
        <w:rPr>
          <w:rFonts w:ascii="Cambria" w:hAnsi="Cambria"/>
          <w:b/>
          <w:bCs/>
          <w:sz w:val="24"/>
          <w:szCs w:val="24"/>
        </w:rPr>
      </w:pPr>
      <w:r w:rsidRPr="00BF64DA">
        <w:rPr>
          <w:rFonts w:ascii="Cambria" w:hAnsi="Cambria"/>
          <w:b/>
          <w:bCs/>
          <w:sz w:val="24"/>
          <w:szCs w:val="24"/>
        </w:rPr>
        <w:t>Theme 1: Digital Leadership Strategies in the Public Health Sector</w:t>
      </w:r>
    </w:p>
    <w:p w14:paraId="643501DE" w14:textId="77777777" w:rsidR="00376CE5" w:rsidRPr="00BF64DA" w:rsidRDefault="00376CE5" w:rsidP="00BF64DA">
      <w:pPr>
        <w:spacing w:after="0" w:line="240" w:lineRule="auto"/>
        <w:jc w:val="both"/>
        <w:rPr>
          <w:rFonts w:ascii="Cambria" w:hAnsi="Cambria"/>
          <w:sz w:val="24"/>
          <w:szCs w:val="24"/>
        </w:rPr>
      </w:pPr>
      <w:r w:rsidRPr="00BF64DA">
        <w:rPr>
          <w:rFonts w:ascii="Cambria" w:hAnsi="Cambria"/>
          <w:sz w:val="24"/>
          <w:szCs w:val="24"/>
        </w:rPr>
        <w:t>Digital leadership in the public sector is characterized by the adoption of a transformational style that combines strategic vision, cross-actor collaboration, and digital literacy as the foundation for change (Kludacz-Alessandri et al., 2025; López-Figueroa et al., 2023). However, most studies show that leadership still focuses on internal effectiveness without considering adaptive capabilities to institutional inequalities and resistance (Wosny et al., 2023; Spanos et al., 2024).</w:t>
      </w:r>
    </w:p>
    <w:p w14:paraId="609592CA" w14:textId="77777777" w:rsidR="00376CE5" w:rsidRPr="00BF64DA" w:rsidRDefault="00376CE5" w:rsidP="00BF64DA">
      <w:pPr>
        <w:spacing w:after="0" w:line="240" w:lineRule="auto"/>
        <w:jc w:val="both"/>
        <w:rPr>
          <w:rFonts w:ascii="Cambria" w:hAnsi="Cambria"/>
          <w:sz w:val="24"/>
          <w:szCs w:val="24"/>
        </w:rPr>
      </w:pPr>
      <w:r w:rsidRPr="00BF64DA">
        <w:rPr>
          <w:rFonts w:ascii="Cambria" w:hAnsi="Cambria"/>
          <w:i/>
          <w:iCs/>
          <w:sz w:val="24"/>
          <w:szCs w:val="24"/>
        </w:rPr>
        <w:t>Subtheme</w:t>
      </w:r>
      <w:r w:rsidRPr="00BF64DA">
        <w:rPr>
          <w:rFonts w:ascii="Cambria" w:hAnsi="Cambria"/>
          <w:sz w:val="24"/>
          <w:szCs w:val="24"/>
        </w:rPr>
        <w:t>: Digital-readiness of organizations, the role of technology in facilitating vision, adaptive vs technocratic leadership styles.</w:t>
      </w:r>
    </w:p>
    <w:p w14:paraId="652D33DC" w14:textId="77777777" w:rsidR="00376CE5" w:rsidRPr="00BF64DA" w:rsidRDefault="00376CE5" w:rsidP="00BF64DA">
      <w:pPr>
        <w:spacing w:after="0" w:line="240" w:lineRule="auto"/>
        <w:jc w:val="both"/>
        <w:rPr>
          <w:rFonts w:ascii="Cambria" w:hAnsi="Cambria"/>
          <w:b/>
          <w:bCs/>
          <w:sz w:val="24"/>
          <w:szCs w:val="24"/>
        </w:rPr>
      </w:pPr>
      <w:r w:rsidRPr="00BF64DA">
        <w:rPr>
          <w:rFonts w:ascii="Cambria" w:hAnsi="Cambria"/>
          <w:b/>
          <w:bCs/>
          <w:sz w:val="24"/>
          <w:szCs w:val="24"/>
        </w:rPr>
        <w:t>Theme 2: Digital Inequality as a Burden for Ethical Leadership</w:t>
      </w:r>
    </w:p>
    <w:p w14:paraId="122B6F05" w14:textId="77777777" w:rsidR="00376CE5" w:rsidRPr="00BF64DA" w:rsidRDefault="00376CE5" w:rsidP="00BF64DA">
      <w:pPr>
        <w:spacing w:after="0" w:line="240" w:lineRule="auto"/>
        <w:jc w:val="both"/>
        <w:rPr>
          <w:rFonts w:ascii="Cambria" w:hAnsi="Cambria"/>
          <w:sz w:val="24"/>
          <w:szCs w:val="24"/>
        </w:rPr>
      </w:pPr>
      <w:r w:rsidRPr="00BF64DA">
        <w:rPr>
          <w:rFonts w:ascii="Cambria" w:hAnsi="Cambria"/>
          <w:sz w:val="24"/>
          <w:szCs w:val="24"/>
        </w:rPr>
        <w:t>Several studies, such as those by Petretto et al. (2023) and Badr et al. (2024), highlight the dimension of justice as an often-overlooked aspect in digital leadership discourse. Inequality of access, low digital literacy, and the exclusion of vulnerable groups emerge as ethical challenges that public leaders have not yet strategically addressed.</w:t>
      </w:r>
    </w:p>
    <w:p w14:paraId="274EBC1B" w14:textId="77777777" w:rsidR="00376CE5" w:rsidRPr="00BF64DA" w:rsidRDefault="00376CE5" w:rsidP="00BF64DA">
      <w:pPr>
        <w:spacing w:after="0" w:line="240" w:lineRule="auto"/>
        <w:jc w:val="both"/>
        <w:rPr>
          <w:rFonts w:ascii="Cambria" w:hAnsi="Cambria"/>
          <w:sz w:val="24"/>
          <w:szCs w:val="24"/>
        </w:rPr>
      </w:pPr>
      <w:r w:rsidRPr="00BF64DA">
        <w:rPr>
          <w:rFonts w:ascii="Cambria" w:hAnsi="Cambria"/>
          <w:i/>
          <w:iCs/>
          <w:sz w:val="24"/>
          <w:szCs w:val="24"/>
        </w:rPr>
        <w:t>Subtheme</w:t>
      </w:r>
      <w:r w:rsidRPr="00BF64DA">
        <w:rPr>
          <w:rFonts w:ascii="Cambria" w:hAnsi="Cambria"/>
          <w:sz w:val="24"/>
          <w:szCs w:val="24"/>
        </w:rPr>
        <w:t>: Digital divide, fair access to services, marginalization of communities without digital infrastructure.</w:t>
      </w:r>
    </w:p>
    <w:p w14:paraId="12930E82" w14:textId="77777777" w:rsidR="00376CE5" w:rsidRPr="00BF64DA" w:rsidRDefault="00376CE5" w:rsidP="00BF64DA">
      <w:pPr>
        <w:spacing w:after="0" w:line="240" w:lineRule="auto"/>
        <w:jc w:val="both"/>
        <w:rPr>
          <w:rFonts w:ascii="Cambria" w:hAnsi="Cambria"/>
          <w:b/>
          <w:bCs/>
          <w:sz w:val="24"/>
          <w:szCs w:val="24"/>
        </w:rPr>
      </w:pPr>
      <w:r w:rsidRPr="00BF64DA">
        <w:rPr>
          <w:rFonts w:ascii="Cambria" w:hAnsi="Cambria"/>
          <w:b/>
          <w:bCs/>
          <w:sz w:val="24"/>
          <w:szCs w:val="24"/>
        </w:rPr>
        <w:t>Theme 3: Governance Asymmetry and Policy Paradoxes</w:t>
      </w:r>
    </w:p>
    <w:p w14:paraId="2EA05BA2" w14:textId="77777777" w:rsidR="00376CE5" w:rsidRPr="00BF64DA" w:rsidRDefault="00376CE5" w:rsidP="00BF64DA">
      <w:pPr>
        <w:spacing w:after="0" w:line="240" w:lineRule="auto"/>
        <w:jc w:val="both"/>
        <w:rPr>
          <w:rFonts w:ascii="Cambria" w:hAnsi="Cambria"/>
          <w:sz w:val="24"/>
          <w:szCs w:val="24"/>
        </w:rPr>
      </w:pPr>
      <w:r w:rsidRPr="00BF64DA">
        <w:rPr>
          <w:rFonts w:ascii="Cambria" w:hAnsi="Cambria"/>
          <w:sz w:val="24"/>
          <w:szCs w:val="24"/>
        </w:rPr>
        <w:t>The literature shows a gap between central policies aggressively promoting digital transformation and the bureaucratic realities at the implementation level (Wik et al., 2025; Van Kessel et al., 2022). This presents a paradox: the stronger the macro policy push, the greater the potential for resistance at the local level due to limited resources and organizational culture.</w:t>
      </w:r>
    </w:p>
    <w:p w14:paraId="58E8177D" w14:textId="77777777" w:rsidR="00376CE5" w:rsidRPr="00BF64DA" w:rsidRDefault="00376CE5" w:rsidP="00BF64DA">
      <w:pPr>
        <w:spacing w:after="0" w:line="240" w:lineRule="auto"/>
        <w:jc w:val="both"/>
        <w:rPr>
          <w:rFonts w:ascii="Cambria" w:hAnsi="Cambria"/>
          <w:sz w:val="24"/>
          <w:szCs w:val="24"/>
        </w:rPr>
      </w:pPr>
      <w:r w:rsidRPr="00BF64DA">
        <w:rPr>
          <w:rFonts w:ascii="Cambria" w:hAnsi="Cambria"/>
          <w:i/>
          <w:iCs/>
          <w:sz w:val="24"/>
          <w:szCs w:val="24"/>
        </w:rPr>
        <w:t>Subtheme</w:t>
      </w:r>
      <w:r w:rsidRPr="00BF64DA">
        <w:rPr>
          <w:rFonts w:ascii="Cambria" w:hAnsi="Cambria"/>
          <w:sz w:val="24"/>
          <w:szCs w:val="24"/>
        </w:rPr>
        <w:t>: Policy-practice divide, decentralization vs. centralization of digitalization, asynchrony between levels of governance.</w:t>
      </w:r>
    </w:p>
    <w:p w14:paraId="5AD9F4BE" w14:textId="77777777" w:rsidR="00376CE5" w:rsidRPr="00BF64DA" w:rsidRDefault="00376CE5" w:rsidP="00BF64DA">
      <w:pPr>
        <w:spacing w:after="0" w:line="240" w:lineRule="auto"/>
        <w:jc w:val="both"/>
        <w:rPr>
          <w:rFonts w:ascii="Cambria" w:hAnsi="Cambria"/>
          <w:b/>
          <w:bCs/>
          <w:sz w:val="24"/>
          <w:szCs w:val="24"/>
        </w:rPr>
      </w:pPr>
      <w:r w:rsidRPr="00BF64DA">
        <w:rPr>
          <w:rFonts w:ascii="Cambria" w:hAnsi="Cambria"/>
          <w:b/>
          <w:bCs/>
          <w:sz w:val="24"/>
          <w:szCs w:val="24"/>
        </w:rPr>
        <w:t>Thematic Relationship Visualization (Optional)</w:t>
      </w:r>
    </w:p>
    <w:p w14:paraId="768F1129" w14:textId="77777777" w:rsidR="00376CE5" w:rsidRPr="00BF64DA" w:rsidRDefault="00376CE5" w:rsidP="00BF64DA">
      <w:pPr>
        <w:spacing w:after="0" w:line="240" w:lineRule="auto"/>
        <w:jc w:val="both"/>
        <w:rPr>
          <w:rFonts w:ascii="Cambria" w:hAnsi="Cambria"/>
          <w:sz w:val="24"/>
          <w:szCs w:val="24"/>
        </w:rPr>
      </w:pPr>
      <w:r w:rsidRPr="00BF64DA">
        <w:rPr>
          <w:rFonts w:ascii="Cambria" w:hAnsi="Cambria"/>
          <w:sz w:val="24"/>
          <w:szCs w:val="24"/>
        </w:rPr>
        <w:t>If required, these results can be displayed in the form:</w:t>
      </w:r>
    </w:p>
    <w:p w14:paraId="69924090" w14:textId="77777777" w:rsidR="00376CE5" w:rsidRPr="00BF64DA" w:rsidRDefault="00376CE5" w:rsidP="00BF64DA">
      <w:pPr>
        <w:numPr>
          <w:ilvl w:val="0"/>
          <w:numId w:val="8"/>
        </w:numPr>
        <w:spacing w:after="0" w:line="240" w:lineRule="auto"/>
        <w:jc w:val="both"/>
        <w:rPr>
          <w:rFonts w:ascii="Cambria" w:hAnsi="Cambria"/>
          <w:sz w:val="24"/>
          <w:szCs w:val="24"/>
        </w:rPr>
      </w:pPr>
      <w:r w:rsidRPr="00BF64DA">
        <w:rPr>
          <w:rFonts w:ascii="Cambria" w:hAnsi="Cambria"/>
          <w:b/>
          <w:bCs/>
          <w:sz w:val="24"/>
          <w:szCs w:val="24"/>
        </w:rPr>
        <w:t>Thematic Matrix Table</w:t>
      </w:r>
      <w:r w:rsidRPr="00BF64DA">
        <w:rPr>
          <w:rFonts w:ascii="Cambria" w:hAnsi="Cambria"/>
          <w:sz w:val="24"/>
          <w:szCs w:val="24"/>
        </w:rPr>
        <w:t>: Linking articles with themes and subthemes.</w:t>
      </w:r>
    </w:p>
    <w:p w14:paraId="2AC3B918" w14:textId="77777777" w:rsidR="00376CE5" w:rsidRPr="00BF64DA" w:rsidRDefault="00376CE5" w:rsidP="00BF64DA">
      <w:pPr>
        <w:numPr>
          <w:ilvl w:val="0"/>
          <w:numId w:val="8"/>
        </w:numPr>
        <w:spacing w:after="0" w:line="240" w:lineRule="auto"/>
        <w:jc w:val="both"/>
        <w:rPr>
          <w:rFonts w:ascii="Cambria" w:hAnsi="Cambria"/>
          <w:sz w:val="24"/>
          <w:szCs w:val="24"/>
        </w:rPr>
      </w:pPr>
      <w:r w:rsidRPr="00BF64DA">
        <w:rPr>
          <w:rFonts w:ascii="Cambria" w:hAnsi="Cambria"/>
          <w:b/>
          <w:bCs/>
          <w:sz w:val="24"/>
          <w:szCs w:val="24"/>
        </w:rPr>
        <w:t>Relationship Diagram</w:t>
      </w:r>
      <w:r w:rsidRPr="00BF64DA">
        <w:rPr>
          <w:rFonts w:ascii="Cambria" w:hAnsi="Cambria"/>
          <w:sz w:val="24"/>
          <w:szCs w:val="24"/>
        </w:rPr>
        <w:t>: Connecting "Digital Leadership → Governance Asymmetry → Ethical Dilemma → Digital Equity Outcomes"</w:t>
      </w:r>
    </w:p>
    <w:p w14:paraId="31A08CF6" w14:textId="77777777" w:rsidR="00376CE5" w:rsidRPr="00BF64DA" w:rsidRDefault="00376CE5" w:rsidP="00BF64DA">
      <w:pPr>
        <w:spacing w:after="0" w:line="240" w:lineRule="auto"/>
        <w:jc w:val="both"/>
        <w:rPr>
          <w:rFonts w:ascii="Cambria" w:hAnsi="Cambria"/>
          <w:b/>
          <w:bCs/>
          <w:sz w:val="24"/>
          <w:szCs w:val="24"/>
        </w:rPr>
      </w:pPr>
      <w:r w:rsidRPr="00BF64DA">
        <w:rPr>
          <w:rFonts w:ascii="Cambria" w:hAnsi="Cambria"/>
          <w:b/>
          <w:bCs/>
          <w:sz w:val="24"/>
          <w:szCs w:val="24"/>
        </w:rPr>
        <w:t>Initial Interpretation</w:t>
      </w:r>
    </w:p>
    <w:p w14:paraId="774C7887" w14:textId="77777777" w:rsidR="00376CE5" w:rsidRPr="00BF64DA" w:rsidRDefault="00376CE5" w:rsidP="00BF64DA">
      <w:pPr>
        <w:spacing w:after="0" w:line="240" w:lineRule="auto"/>
        <w:jc w:val="both"/>
        <w:rPr>
          <w:rFonts w:ascii="Cambria" w:hAnsi="Cambria"/>
          <w:sz w:val="24"/>
          <w:szCs w:val="24"/>
        </w:rPr>
      </w:pPr>
      <w:r w:rsidRPr="00BF64DA">
        <w:rPr>
          <w:rFonts w:ascii="Cambria" w:hAnsi="Cambria"/>
          <w:sz w:val="24"/>
          <w:szCs w:val="24"/>
        </w:rPr>
        <w:t>These findings suggest that digital leadership is insufficiently approached technocratically. It requires the integration of values ​​of justice, cross-level adaptability, and strengthening institutional capacity to avoid the reproduction of structural inequalities through technology, which should be inclusive.</w:t>
      </w:r>
    </w:p>
    <w:p w14:paraId="4BB8D7F7" w14:textId="77777777" w:rsidR="00376CE5" w:rsidRPr="00BF64DA" w:rsidRDefault="00376CE5" w:rsidP="00BF64DA">
      <w:pPr>
        <w:spacing w:after="0" w:line="240" w:lineRule="auto"/>
        <w:jc w:val="both"/>
        <w:rPr>
          <w:rFonts w:ascii="Cambria" w:hAnsi="Cambria"/>
          <w:b/>
          <w:bCs/>
          <w:sz w:val="24"/>
          <w:szCs w:val="24"/>
        </w:rPr>
      </w:pPr>
      <w:r w:rsidRPr="00BF64DA">
        <w:rPr>
          <w:rFonts w:ascii="Cambria" w:hAnsi="Cambria"/>
          <w:b/>
          <w:bCs/>
          <w:sz w:val="24"/>
          <w:szCs w:val="24"/>
        </w:rPr>
        <w:t>Literature Comparison Matrix</w:t>
      </w:r>
    </w:p>
    <w:p w14:paraId="0D420190" w14:textId="77777777" w:rsidR="00376CE5" w:rsidRPr="00BF64DA" w:rsidRDefault="00376CE5" w:rsidP="00BF64DA">
      <w:pPr>
        <w:spacing w:after="0" w:line="240" w:lineRule="auto"/>
        <w:jc w:val="both"/>
        <w:rPr>
          <w:rFonts w:ascii="Cambria" w:hAnsi="Cambria"/>
          <w:sz w:val="24"/>
          <w:szCs w:val="24"/>
        </w:rPr>
      </w:pPr>
      <w:r w:rsidRPr="00BF64DA">
        <w:rPr>
          <w:rFonts w:ascii="Cambria" w:hAnsi="Cambria"/>
          <w:sz w:val="24"/>
          <w:szCs w:val="24"/>
        </w:rPr>
        <w:t>This table presents a comparison between the articles analyzed in this study, viewed from three main aspects: leadership focus, digital justice issues, and governance dimensions. This matrix helps identify patterns, divergences, and conceptual gaps in previous research.</w:t>
      </w:r>
    </w:p>
    <w:p w14:paraId="3842BB31" w14:textId="77777777" w:rsidR="00376CE5" w:rsidRPr="00BF64DA" w:rsidRDefault="00376CE5" w:rsidP="00BF64DA">
      <w:pPr>
        <w:spacing w:after="0" w:line="240" w:lineRule="auto"/>
        <w:jc w:val="both"/>
        <w:rPr>
          <w:rFonts w:ascii="Cambria" w:hAnsi="Cambria"/>
          <w:b/>
          <w:bCs/>
          <w:sz w:val="24"/>
          <w:szCs w:val="24"/>
        </w:rPr>
      </w:pPr>
      <w:r w:rsidRPr="00BF64DA">
        <w:rPr>
          <w:rFonts w:ascii="Cambria" w:hAnsi="Cambria"/>
          <w:b/>
          <w:bCs/>
          <w:sz w:val="24"/>
          <w:szCs w:val="24"/>
        </w:rPr>
        <w:t>Table 3. Thematic Comparison Matrix between Studies</w:t>
      </w:r>
    </w:p>
    <w:tbl>
      <w:tblPr>
        <w:tblStyle w:val="TableGrid"/>
        <w:tblW w:w="0" w:type="auto"/>
        <w:tblLook w:val="04A0" w:firstRow="1" w:lastRow="0" w:firstColumn="1" w:lastColumn="0" w:noHBand="0" w:noVBand="1"/>
      </w:tblPr>
      <w:tblGrid>
        <w:gridCol w:w="1977"/>
        <w:gridCol w:w="2587"/>
        <w:gridCol w:w="2185"/>
        <w:gridCol w:w="2267"/>
      </w:tblGrid>
      <w:tr w:rsidR="00376CE5" w:rsidRPr="00BF64DA" w14:paraId="3ECF010A" w14:textId="77777777" w:rsidTr="00376CE5">
        <w:tc>
          <w:tcPr>
            <w:tcW w:w="0" w:type="auto"/>
            <w:hideMark/>
          </w:tcPr>
          <w:p w14:paraId="73142462" w14:textId="77777777" w:rsidR="00376CE5" w:rsidRPr="00BF64DA" w:rsidRDefault="00376CE5" w:rsidP="00BF64DA">
            <w:pPr>
              <w:jc w:val="both"/>
              <w:rPr>
                <w:rFonts w:ascii="Cambria" w:hAnsi="Cambria"/>
                <w:b/>
                <w:bCs/>
                <w:sz w:val="24"/>
                <w:szCs w:val="24"/>
              </w:rPr>
            </w:pPr>
            <w:r w:rsidRPr="00BF64DA">
              <w:rPr>
                <w:rFonts w:ascii="Cambria" w:hAnsi="Cambria"/>
                <w:b/>
                <w:bCs/>
                <w:sz w:val="24"/>
                <w:szCs w:val="24"/>
              </w:rPr>
              <w:t>Author (Year)</w:t>
            </w:r>
          </w:p>
        </w:tc>
        <w:tc>
          <w:tcPr>
            <w:tcW w:w="0" w:type="auto"/>
            <w:hideMark/>
          </w:tcPr>
          <w:p w14:paraId="66C4BEC8" w14:textId="77777777" w:rsidR="00376CE5" w:rsidRPr="00BF64DA" w:rsidRDefault="00376CE5" w:rsidP="00BF64DA">
            <w:pPr>
              <w:jc w:val="both"/>
              <w:rPr>
                <w:rFonts w:ascii="Cambria" w:hAnsi="Cambria"/>
                <w:b/>
                <w:bCs/>
                <w:sz w:val="24"/>
                <w:szCs w:val="24"/>
              </w:rPr>
            </w:pPr>
            <w:r w:rsidRPr="00BF64DA">
              <w:rPr>
                <w:rFonts w:ascii="Cambria" w:hAnsi="Cambria"/>
                <w:b/>
                <w:bCs/>
                <w:sz w:val="24"/>
                <w:szCs w:val="24"/>
              </w:rPr>
              <w:t>Digital Leadership Focus</w:t>
            </w:r>
          </w:p>
        </w:tc>
        <w:tc>
          <w:tcPr>
            <w:tcW w:w="0" w:type="auto"/>
            <w:hideMark/>
          </w:tcPr>
          <w:p w14:paraId="24D7F02D" w14:textId="77777777" w:rsidR="00376CE5" w:rsidRPr="00BF64DA" w:rsidRDefault="00376CE5" w:rsidP="00BF64DA">
            <w:pPr>
              <w:jc w:val="both"/>
              <w:rPr>
                <w:rFonts w:ascii="Cambria" w:hAnsi="Cambria"/>
                <w:b/>
                <w:bCs/>
                <w:sz w:val="24"/>
                <w:szCs w:val="24"/>
              </w:rPr>
            </w:pPr>
            <w:r w:rsidRPr="00BF64DA">
              <w:rPr>
                <w:rFonts w:ascii="Cambria" w:hAnsi="Cambria"/>
                <w:b/>
                <w:bCs/>
                <w:sz w:val="24"/>
                <w:szCs w:val="24"/>
              </w:rPr>
              <w:t>Digital Inequality / Equity</w:t>
            </w:r>
          </w:p>
        </w:tc>
        <w:tc>
          <w:tcPr>
            <w:tcW w:w="0" w:type="auto"/>
            <w:hideMark/>
          </w:tcPr>
          <w:p w14:paraId="0B25A8F2" w14:textId="77777777" w:rsidR="00376CE5" w:rsidRPr="00BF64DA" w:rsidRDefault="00376CE5" w:rsidP="00BF64DA">
            <w:pPr>
              <w:jc w:val="both"/>
              <w:rPr>
                <w:rFonts w:ascii="Cambria" w:hAnsi="Cambria"/>
                <w:b/>
                <w:bCs/>
                <w:sz w:val="24"/>
                <w:szCs w:val="24"/>
              </w:rPr>
            </w:pPr>
            <w:r w:rsidRPr="00BF64DA">
              <w:rPr>
                <w:rFonts w:ascii="Cambria" w:hAnsi="Cambria"/>
                <w:b/>
                <w:bCs/>
                <w:sz w:val="24"/>
                <w:szCs w:val="24"/>
              </w:rPr>
              <w:t>Governance Dimensions</w:t>
            </w:r>
          </w:p>
        </w:tc>
      </w:tr>
      <w:tr w:rsidR="00376CE5" w:rsidRPr="00BF64DA" w14:paraId="39535444" w14:textId="77777777" w:rsidTr="00376CE5">
        <w:tc>
          <w:tcPr>
            <w:tcW w:w="0" w:type="auto"/>
            <w:hideMark/>
          </w:tcPr>
          <w:p w14:paraId="2667AE28" w14:textId="77777777" w:rsidR="00376CE5" w:rsidRPr="00BF64DA" w:rsidRDefault="00376CE5" w:rsidP="00BF64DA">
            <w:pPr>
              <w:jc w:val="both"/>
              <w:rPr>
                <w:rFonts w:ascii="Cambria" w:hAnsi="Cambria"/>
                <w:sz w:val="24"/>
                <w:szCs w:val="24"/>
              </w:rPr>
            </w:pPr>
            <w:r w:rsidRPr="00BF64DA">
              <w:rPr>
                <w:rFonts w:ascii="Cambria" w:hAnsi="Cambria"/>
                <w:sz w:val="24"/>
                <w:szCs w:val="24"/>
              </w:rPr>
              <w:t>Van Kessel et al. (2022)</w:t>
            </w:r>
          </w:p>
        </w:tc>
        <w:tc>
          <w:tcPr>
            <w:tcW w:w="0" w:type="auto"/>
            <w:hideMark/>
          </w:tcPr>
          <w:p w14:paraId="7290FFFB" w14:textId="77777777" w:rsidR="00376CE5" w:rsidRPr="00BF64DA" w:rsidRDefault="00376CE5" w:rsidP="00BF64DA">
            <w:pPr>
              <w:jc w:val="both"/>
              <w:rPr>
                <w:rFonts w:ascii="Cambria" w:hAnsi="Cambria"/>
                <w:sz w:val="24"/>
                <w:szCs w:val="24"/>
              </w:rPr>
            </w:pPr>
            <w:r w:rsidRPr="00BF64DA">
              <w:rPr>
                <w:rFonts w:ascii="Cambria" w:hAnsi="Cambria"/>
                <w:sz w:val="24"/>
                <w:szCs w:val="24"/>
              </w:rPr>
              <w:t>Global policy, normative dilemmas</w:t>
            </w:r>
          </w:p>
        </w:tc>
        <w:tc>
          <w:tcPr>
            <w:tcW w:w="0" w:type="auto"/>
            <w:hideMark/>
          </w:tcPr>
          <w:p w14:paraId="3FB93D04" w14:textId="77777777" w:rsidR="00376CE5" w:rsidRPr="00BF64DA" w:rsidRDefault="00376CE5" w:rsidP="00BF64DA">
            <w:pPr>
              <w:jc w:val="both"/>
              <w:rPr>
                <w:rFonts w:ascii="Cambria" w:hAnsi="Cambria"/>
                <w:sz w:val="24"/>
                <w:szCs w:val="24"/>
              </w:rPr>
            </w:pPr>
            <w:r w:rsidRPr="00BF64DA">
              <w:rPr>
                <w:rFonts w:ascii="Cambria" w:hAnsi="Cambria"/>
                <w:sz w:val="24"/>
                <w:szCs w:val="24"/>
              </w:rPr>
              <w:t>High – focus of policy paradox</w:t>
            </w:r>
          </w:p>
        </w:tc>
        <w:tc>
          <w:tcPr>
            <w:tcW w:w="0" w:type="auto"/>
            <w:hideMark/>
          </w:tcPr>
          <w:p w14:paraId="40668D9B" w14:textId="77777777" w:rsidR="00376CE5" w:rsidRPr="00BF64DA" w:rsidRDefault="00376CE5" w:rsidP="00BF64DA">
            <w:pPr>
              <w:jc w:val="both"/>
              <w:rPr>
                <w:rFonts w:ascii="Cambria" w:hAnsi="Cambria"/>
                <w:sz w:val="24"/>
                <w:szCs w:val="24"/>
              </w:rPr>
            </w:pPr>
            <w:r w:rsidRPr="00BF64DA">
              <w:rPr>
                <w:rFonts w:ascii="Cambria" w:hAnsi="Cambria"/>
                <w:sz w:val="24"/>
                <w:szCs w:val="24"/>
              </w:rPr>
              <w:t>Multi-level, cross-national</w:t>
            </w:r>
          </w:p>
        </w:tc>
      </w:tr>
      <w:tr w:rsidR="00376CE5" w:rsidRPr="00BF64DA" w14:paraId="0FE91D4D" w14:textId="77777777" w:rsidTr="00376CE5">
        <w:tc>
          <w:tcPr>
            <w:tcW w:w="0" w:type="auto"/>
            <w:hideMark/>
          </w:tcPr>
          <w:p w14:paraId="4CD49031" w14:textId="77777777" w:rsidR="00376CE5" w:rsidRPr="00BF64DA" w:rsidRDefault="00376CE5" w:rsidP="00BF64DA">
            <w:pPr>
              <w:jc w:val="both"/>
              <w:rPr>
                <w:rFonts w:ascii="Cambria" w:hAnsi="Cambria"/>
                <w:sz w:val="24"/>
                <w:szCs w:val="24"/>
              </w:rPr>
            </w:pPr>
            <w:r w:rsidRPr="00BF64DA">
              <w:rPr>
                <w:rFonts w:ascii="Cambria" w:hAnsi="Cambria"/>
                <w:sz w:val="24"/>
                <w:szCs w:val="24"/>
              </w:rPr>
              <w:lastRenderedPageBreak/>
              <w:t>Kludacz-Alessandri et al. (2025)</w:t>
            </w:r>
          </w:p>
        </w:tc>
        <w:tc>
          <w:tcPr>
            <w:tcW w:w="0" w:type="auto"/>
            <w:hideMark/>
          </w:tcPr>
          <w:p w14:paraId="11AC7953" w14:textId="77777777" w:rsidR="00376CE5" w:rsidRPr="00BF64DA" w:rsidRDefault="00376CE5" w:rsidP="00BF64DA">
            <w:pPr>
              <w:jc w:val="both"/>
              <w:rPr>
                <w:rFonts w:ascii="Cambria" w:hAnsi="Cambria"/>
                <w:sz w:val="24"/>
                <w:szCs w:val="24"/>
              </w:rPr>
            </w:pPr>
            <w:r w:rsidRPr="00BF64DA">
              <w:rPr>
                <w:rFonts w:ascii="Cambria" w:hAnsi="Cambria"/>
                <w:sz w:val="24"/>
                <w:szCs w:val="24"/>
              </w:rPr>
              <w:t>Transformational, strategic</w:t>
            </w:r>
          </w:p>
        </w:tc>
        <w:tc>
          <w:tcPr>
            <w:tcW w:w="0" w:type="auto"/>
            <w:hideMark/>
          </w:tcPr>
          <w:p w14:paraId="20B7309B" w14:textId="77777777" w:rsidR="00376CE5" w:rsidRPr="00BF64DA" w:rsidRDefault="00376CE5" w:rsidP="00BF64DA">
            <w:pPr>
              <w:jc w:val="both"/>
              <w:rPr>
                <w:rFonts w:ascii="Cambria" w:hAnsi="Cambria"/>
                <w:sz w:val="24"/>
                <w:szCs w:val="24"/>
              </w:rPr>
            </w:pPr>
            <w:r w:rsidRPr="00BF64DA">
              <w:rPr>
                <w:rFonts w:ascii="Cambria" w:hAnsi="Cambria"/>
                <w:sz w:val="24"/>
                <w:szCs w:val="24"/>
              </w:rPr>
              <w:t>Low – not explicit</w:t>
            </w:r>
          </w:p>
        </w:tc>
        <w:tc>
          <w:tcPr>
            <w:tcW w:w="0" w:type="auto"/>
            <w:hideMark/>
          </w:tcPr>
          <w:p w14:paraId="2ED080C7" w14:textId="77777777" w:rsidR="00376CE5" w:rsidRPr="00BF64DA" w:rsidRDefault="00376CE5" w:rsidP="00BF64DA">
            <w:pPr>
              <w:jc w:val="both"/>
              <w:rPr>
                <w:rFonts w:ascii="Cambria" w:hAnsi="Cambria"/>
                <w:sz w:val="24"/>
                <w:szCs w:val="24"/>
              </w:rPr>
            </w:pPr>
            <w:r w:rsidRPr="00BF64DA">
              <w:rPr>
                <w:rFonts w:ascii="Cambria" w:hAnsi="Cambria"/>
                <w:sz w:val="24"/>
                <w:szCs w:val="24"/>
              </w:rPr>
              <w:t>Public health organizations</w:t>
            </w:r>
          </w:p>
        </w:tc>
      </w:tr>
      <w:tr w:rsidR="00376CE5" w:rsidRPr="00BF64DA" w14:paraId="64ED72E5" w14:textId="77777777" w:rsidTr="00376CE5">
        <w:tc>
          <w:tcPr>
            <w:tcW w:w="0" w:type="auto"/>
            <w:hideMark/>
          </w:tcPr>
          <w:p w14:paraId="7D15BFA0" w14:textId="77777777" w:rsidR="00376CE5" w:rsidRPr="00BF64DA" w:rsidRDefault="00376CE5" w:rsidP="00BF64DA">
            <w:pPr>
              <w:jc w:val="both"/>
              <w:rPr>
                <w:rFonts w:ascii="Cambria" w:hAnsi="Cambria"/>
                <w:sz w:val="24"/>
                <w:szCs w:val="24"/>
              </w:rPr>
            </w:pPr>
            <w:r w:rsidRPr="00BF64DA">
              <w:rPr>
                <w:rFonts w:ascii="Cambria" w:hAnsi="Cambria"/>
                <w:sz w:val="24"/>
                <w:szCs w:val="24"/>
              </w:rPr>
              <w:t>López-Figueroa et al. (2023)</w:t>
            </w:r>
          </w:p>
        </w:tc>
        <w:tc>
          <w:tcPr>
            <w:tcW w:w="0" w:type="auto"/>
            <w:hideMark/>
          </w:tcPr>
          <w:p w14:paraId="46656738" w14:textId="77777777" w:rsidR="00376CE5" w:rsidRPr="00BF64DA" w:rsidRDefault="00376CE5" w:rsidP="00BF64DA">
            <w:pPr>
              <w:jc w:val="both"/>
              <w:rPr>
                <w:rFonts w:ascii="Cambria" w:hAnsi="Cambria"/>
                <w:sz w:val="24"/>
                <w:szCs w:val="24"/>
              </w:rPr>
            </w:pPr>
            <w:r w:rsidRPr="00BF64DA">
              <w:rPr>
                <w:rFonts w:ascii="Cambria" w:hAnsi="Cambria"/>
                <w:sz w:val="24"/>
                <w:szCs w:val="24"/>
              </w:rPr>
              <w:t>Review of digital leadership styles</w:t>
            </w:r>
          </w:p>
        </w:tc>
        <w:tc>
          <w:tcPr>
            <w:tcW w:w="0" w:type="auto"/>
            <w:hideMark/>
          </w:tcPr>
          <w:p w14:paraId="3B35A031" w14:textId="77777777" w:rsidR="00376CE5" w:rsidRPr="00BF64DA" w:rsidRDefault="00376CE5" w:rsidP="00BF64DA">
            <w:pPr>
              <w:jc w:val="both"/>
              <w:rPr>
                <w:rFonts w:ascii="Cambria" w:hAnsi="Cambria"/>
                <w:sz w:val="24"/>
                <w:szCs w:val="24"/>
              </w:rPr>
            </w:pPr>
            <w:r w:rsidRPr="00BF64DA">
              <w:rPr>
                <w:rFonts w:ascii="Cambria" w:hAnsi="Cambria"/>
                <w:sz w:val="24"/>
                <w:szCs w:val="24"/>
              </w:rPr>
              <w:t>In progress – appears as context</w:t>
            </w:r>
          </w:p>
        </w:tc>
        <w:tc>
          <w:tcPr>
            <w:tcW w:w="0" w:type="auto"/>
            <w:hideMark/>
          </w:tcPr>
          <w:p w14:paraId="134F5145" w14:textId="77777777" w:rsidR="00376CE5" w:rsidRPr="00BF64DA" w:rsidRDefault="00376CE5" w:rsidP="00BF64DA">
            <w:pPr>
              <w:jc w:val="both"/>
              <w:rPr>
                <w:rFonts w:ascii="Cambria" w:hAnsi="Cambria"/>
                <w:sz w:val="24"/>
                <w:szCs w:val="24"/>
              </w:rPr>
            </w:pPr>
            <w:r w:rsidRPr="00BF64DA">
              <w:rPr>
                <w:rFonts w:ascii="Cambria" w:hAnsi="Cambria"/>
                <w:sz w:val="24"/>
                <w:szCs w:val="24"/>
              </w:rPr>
              <w:t>Not explicit</w:t>
            </w:r>
          </w:p>
        </w:tc>
      </w:tr>
      <w:tr w:rsidR="00376CE5" w:rsidRPr="00BF64DA" w14:paraId="33B3807D" w14:textId="77777777" w:rsidTr="00376CE5">
        <w:tc>
          <w:tcPr>
            <w:tcW w:w="0" w:type="auto"/>
            <w:hideMark/>
          </w:tcPr>
          <w:p w14:paraId="045DA931" w14:textId="77777777" w:rsidR="00376CE5" w:rsidRPr="00BF64DA" w:rsidRDefault="00376CE5" w:rsidP="00BF64DA">
            <w:pPr>
              <w:jc w:val="both"/>
              <w:rPr>
                <w:rFonts w:ascii="Cambria" w:hAnsi="Cambria"/>
                <w:sz w:val="24"/>
                <w:szCs w:val="24"/>
              </w:rPr>
            </w:pPr>
            <w:r w:rsidRPr="00BF64DA">
              <w:rPr>
                <w:rFonts w:ascii="Cambria" w:hAnsi="Cambria"/>
                <w:sz w:val="24"/>
                <w:szCs w:val="24"/>
              </w:rPr>
              <w:t>Petretto et al. (2023)</w:t>
            </w:r>
          </w:p>
        </w:tc>
        <w:tc>
          <w:tcPr>
            <w:tcW w:w="0" w:type="auto"/>
            <w:hideMark/>
          </w:tcPr>
          <w:p w14:paraId="183062CB" w14:textId="77777777" w:rsidR="00376CE5" w:rsidRPr="00BF64DA" w:rsidRDefault="00376CE5" w:rsidP="00BF64DA">
            <w:pPr>
              <w:jc w:val="both"/>
              <w:rPr>
                <w:rFonts w:ascii="Cambria" w:hAnsi="Cambria"/>
                <w:sz w:val="24"/>
                <w:szCs w:val="24"/>
              </w:rPr>
            </w:pPr>
            <w:r w:rsidRPr="00BF64DA">
              <w:rPr>
                <w:rFonts w:ascii="Cambria" w:hAnsi="Cambria"/>
                <w:sz w:val="24"/>
                <w:szCs w:val="24"/>
              </w:rPr>
              <w:t>Not yet focused on leadership</w:t>
            </w:r>
          </w:p>
        </w:tc>
        <w:tc>
          <w:tcPr>
            <w:tcW w:w="0" w:type="auto"/>
            <w:hideMark/>
          </w:tcPr>
          <w:p w14:paraId="134ABCBF" w14:textId="77777777" w:rsidR="00376CE5" w:rsidRPr="00BF64DA" w:rsidRDefault="00376CE5" w:rsidP="00BF64DA">
            <w:pPr>
              <w:jc w:val="both"/>
              <w:rPr>
                <w:rFonts w:ascii="Cambria" w:hAnsi="Cambria"/>
                <w:sz w:val="24"/>
                <w:szCs w:val="24"/>
              </w:rPr>
            </w:pPr>
            <w:r w:rsidRPr="00BF64DA">
              <w:rPr>
                <w:rFonts w:ascii="Cambria" w:hAnsi="Cambria"/>
                <w:sz w:val="24"/>
                <w:szCs w:val="24"/>
              </w:rPr>
              <w:t>High – fairness of digital services</w:t>
            </w:r>
          </w:p>
        </w:tc>
        <w:tc>
          <w:tcPr>
            <w:tcW w:w="0" w:type="auto"/>
            <w:hideMark/>
          </w:tcPr>
          <w:p w14:paraId="3537AB4D" w14:textId="77777777" w:rsidR="00376CE5" w:rsidRPr="00BF64DA" w:rsidRDefault="00376CE5" w:rsidP="00BF64DA">
            <w:pPr>
              <w:jc w:val="both"/>
              <w:rPr>
                <w:rFonts w:ascii="Cambria" w:hAnsi="Cambria"/>
                <w:sz w:val="24"/>
                <w:szCs w:val="24"/>
              </w:rPr>
            </w:pPr>
            <w:r w:rsidRPr="00BF64DA">
              <w:rPr>
                <w:rFonts w:ascii="Cambria" w:hAnsi="Cambria"/>
                <w:sz w:val="24"/>
                <w:szCs w:val="24"/>
              </w:rPr>
              <w:t>European health system</w:t>
            </w:r>
          </w:p>
        </w:tc>
      </w:tr>
      <w:tr w:rsidR="00376CE5" w:rsidRPr="00BF64DA" w14:paraId="039AB579" w14:textId="77777777" w:rsidTr="00376CE5">
        <w:tc>
          <w:tcPr>
            <w:tcW w:w="0" w:type="auto"/>
            <w:hideMark/>
          </w:tcPr>
          <w:p w14:paraId="08551B3F" w14:textId="77777777" w:rsidR="00376CE5" w:rsidRPr="00BF64DA" w:rsidRDefault="00376CE5" w:rsidP="00BF64DA">
            <w:pPr>
              <w:jc w:val="both"/>
              <w:rPr>
                <w:rFonts w:ascii="Cambria" w:hAnsi="Cambria"/>
                <w:sz w:val="24"/>
                <w:szCs w:val="24"/>
              </w:rPr>
            </w:pPr>
            <w:r w:rsidRPr="00BF64DA">
              <w:rPr>
                <w:rFonts w:ascii="Cambria" w:hAnsi="Cambria"/>
                <w:sz w:val="24"/>
                <w:szCs w:val="24"/>
              </w:rPr>
              <w:t>Spanos et al. (2024)</w:t>
            </w:r>
          </w:p>
        </w:tc>
        <w:tc>
          <w:tcPr>
            <w:tcW w:w="0" w:type="auto"/>
            <w:hideMark/>
          </w:tcPr>
          <w:p w14:paraId="4402FF93" w14:textId="77777777" w:rsidR="00376CE5" w:rsidRPr="00BF64DA" w:rsidRDefault="00376CE5" w:rsidP="00BF64DA">
            <w:pPr>
              <w:jc w:val="both"/>
              <w:rPr>
                <w:rFonts w:ascii="Cambria" w:hAnsi="Cambria"/>
                <w:sz w:val="24"/>
                <w:szCs w:val="24"/>
              </w:rPr>
            </w:pPr>
            <w:r w:rsidRPr="00BF64DA">
              <w:rPr>
                <w:rFonts w:ascii="Cambria" w:hAnsi="Cambria"/>
                <w:sz w:val="24"/>
                <w:szCs w:val="24"/>
              </w:rPr>
              <w:t>Navigating system complexity</w:t>
            </w:r>
          </w:p>
        </w:tc>
        <w:tc>
          <w:tcPr>
            <w:tcW w:w="0" w:type="auto"/>
            <w:hideMark/>
          </w:tcPr>
          <w:p w14:paraId="42139361" w14:textId="77777777" w:rsidR="00376CE5" w:rsidRPr="00BF64DA" w:rsidRDefault="00376CE5" w:rsidP="00BF64DA">
            <w:pPr>
              <w:jc w:val="both"/>
              <w:rPr>
                <w:rFonts w:ascii="Cambria" w:hAnsi="Cambria"/>
                <w:sz w:val="24"/>
                <w:szCs w:val="24"/>
              </w:rPr>
            </w:pPr>
            <w:r w:rsidRPr="00BF64DA">
              <w:rPr>
                <w:rFonts w:ascii="Cambria" w:hAnsi="Cambria"/>
                <w:sz w:val="24"/>
                <w:szCs w:val="24"/>
              </w:rPr>
              <w:t>Currently</w:t>
            </w:r>
          </w:p>
        </w:tc>
        <w:tc>
          <w:tcPr>
            <w:tcW w:w="0" w:type="auto"/>
            <w:hideMark/>
          </w:tcPr>
          <w:p w14:paraId="0409B613" w14:textId="77777777" w:rsidR="00376CE5" w:rsidRPr="00BF64DA" w:rsidRDefault="00376CE5" w:rsidP="00BF64DA">
            <w:pPr>
              <w:jc w:val="both"/>
              <w:rPr>
                <w:rFonts w:ascii="Cambria" w:hAnsi="Cambria"/>
                <w:sz w:val="24"/>
                <w:szCs w:val="24"/>
              </w:rPr>
            </w:pPr>
            <w:r w:rsidRPr="00BF64DA">
              <w:rPr>
                <w:rFonts w:ascii="Cambria" w:hAnsi="Cambria"/>
                <w:sz w:val="24"/>
                <w:szCs w:val="24"/>
              </w:rPr>
              <w:t>Across organizational levels</w:t>
            </w:r>
          </w:p>
        </w:tc>
      </w:tr>
      <w:tr w:rsidR="00376CE5" w:rsidRPr="00BF64DA" w14:paraId="12B79AF6" w14:textId="77777777" w:rsidTr="00376CE5">
        <w:tc>
          <w:tcPr>
            <w:tcW w:w="0" w:type="auto"/>
            <w:hideMark/>
          </w:tcPr>
          <w:p w14:paraId="613089C5" w14:textId="77777777" w:rsidR="00376CE5" w:rsidRPr="00BF64DA" w:rsidRDefault="00376CE5" w:rsidP="00BF64DA">
            <w:pPr>
              <w:jc w:val="both"/>
              <w:rPr>
                <w:rFonts w:ascii="Cambria" w:hAnsi="Cambria"/>
                <w:sz w:val="24"/>
                <w:szCs w:val="24"/>
              </w:rPr>
            </w:pPr>
            <w:r w:rsidRPr="00BF64DA">
              <w:rPr>
                <w:rFonts w:ascii="Cambria" w:hAnsi="Cambria"/>
                <w:sz w:val="24"/>
                <w:szCs w:val="24"/>
              </w:rPr>
              <w:t>Wik et al. (2025)</w:t>
            </w:r>
          </w:p>
        </w:tc>
        <w:tc>
          <w:tcPr>
            <w:tcW w:w="0" w:type="auto"/>
            <w:hideMark/>
          </w:tcPr>
          <w:p w14:paraId="1E2227DB" w14:textId="77777777" w:rsidR="00376CE5" w:rsidRPr="00BF64DA" w:rsidRDefault="00376CE5" w:rsidP="00BF64DA">
            <w:pPr>
              <w:jc w:val="both"/>
              <w:rPr>
                <w:rFonts w:ascii="Cambria" w:hAnsi="Cambria"/>
                <w:sz w:val="24"/>
                <w:szCs w:val="24"/>
              </w:rPr>
            </w:pPr>
            <w:r w:rsidRPr="00BF64DA">
              <w:rPr>
                <w:rFonts w:ascii="Cambria" w:hAnsi="Cambria"/>
                <w:sz w:val="24"/>
                <w:szCs w:val="24"/>
              </w:rPr>
              <w:t>Policy-practice divide</w:t>
            </w:r>
          </w:p>
        </w:tc>
        <w:tc>
          <w:tcPr>
            <w:tcW w:w="0" w:type="auto"/>
            <w:hideMark/>
          </w:tcPr>
          <w:p w14:paraId="1F5FB582" w14:textId="77777777" w:rsidR="00376CE5" w:rsidRPr="00BF64DA" w:rsidRDefault="00376CE5" w:rsidP="00BF64DA">
            <w:pPr>
              <w:jc w:val="both"/>
              <w:rPr>
                <w:rFonts w:ascii="Cambria" w:hAnsi="Cambria"/>
                <w:sz w:val="24"/>
                <w:szCs w:val="24"/>
              </w:rPr>
            </w:pPr>
            <w:r w:rsidRPr="00BF64DA">
              <w:rPr>
                <w:rFonts w:ascii="Cambria" w:hAnsi="Cambria"/>
                <w:sz w:val="24"/>
                <w:szCs w:val="24"/>
              </w:rPr>
              <w:t>Medium – related to system exclusion</w:t>
            </w:r>
          </w:p>
        </w:tc>
        <w:tc>
          <w:tcPr>
            <w:tcW w:w="0" w:type="auto"/>
            <w:hideMark/>
          </w:tcPr>
          <w:p w14:paraId="35C2F180" w14:textId="77777777" w:rsidR="00376CE5" w:rsidRPr="00BF64DA" w:rsidRDefault="00376CE5" w:rsidP="00BF64DA">
            <w:pPr>
              <w:jc w:val="both"/>
              <w:rPr>
                <w:rFonts w:ascii="Cambria" w:hAnsi="Cambria"/>
                <w:sz w:val="24"/>
                <w:szCs w:val="24"/>
              </w:rPr>
            </w:pPr>
            <w:r w:rsidRPr="00BF64DA">
              <w:rPr>
                <w:rFonts w:ascii="Cambria" w:hAnsi="Cambria"/>
                <w:sz w:val="24"/>
                <w:szCs w:val="24"/>
              </w:rPr>
              <w:t>Vertical-hierarchical governance</w:t>
            </w:r>
          </w:p>
        </w:tc>
      </w:tr>
      <w:tr w:rsidR="00376CE5" w:rsidRPr="00BF64DA" w14:paraId="51179467" w14:textId="77777777" w:rsidTr="00376CE5">
        <w:tc>
          <w:tcPr>
            <w:tcW w:w="0" w:type="auto"/>
            <w:hideMark/>
          </w:tcPr>
          <w:p w14:paraId="28C09294" w14:textId="77777777" w:rsidR="00376CE5" w:rsidRPr="00BF64DA" w:rsidRDefault="00376CE5" w:rsidP="00BF64DA">
            <w:pPr>
              <w:jc w:val="both"/>
              <w:rPr>
                <w:rFonts w:ascii="Cambria" w:hAnsi="Cambria"/>
                <w:sz w:val="24"/>
                <w:szCs w:val="24"/>
              </w:rPr>
            </w:pPr>
            <w:r w:rsidRPr="00BF64DA">
              <w:rPr>
                <w:rFonts w:ascii="Cambria" w:hAnsi="Cambria"/>
                <w:sz w:val="24"/>
                <w:szCs w:val="24"/>
              </w:rPr>
              <w:t>Badr et al. (2024)</w:t>
            </w:r>
          </w:p>
        </w:tc>
        <w:tc>
          <w:tcPr>
            <w:tcW w:w="0" w:type="auto"/>
            <w:hideMark/>
          </w:tcPr>
          <w:p w14:paraId="7EC40EFB" w14:textId="77777777" w:rsidR="00376CE5" w:rsidRPr="00BF64DA" w:rsidRDefault="00376CE5" w:rsidP="00BF64DA">
            <w:pPr>
              <w:jc w:val="both"/>
              <w:rPr>
                <w:rFonts w:ascii="Cambria" w:hAnsi="Cambria"/>
                <w:sz w:val="24"/>
                <w:szCs w:val="24"/>
              </w:rPr>
            </w:pPr>
            <w:r w:rsidRPr="00BF64DA">
              <w:rPr>
                <w:rFonts w:ascii="Cambria" w:hAnsi="Cambria"/>
                <w:sz w:val="24"/>
                <w:szCs w:val="24"/>
              </w:rPr>
              <w:t>Not explicit</w:t>
            </w:r>
          </w:p>
        </w:tc>
        <w:tc>
          <w:tcPr>
            <w:tcW w:w="0" w:type="auto"/>
            <w:hideMark/>
          </w:tcPr>
          <w:p w14:paraId="427F9D82" w14:textId="77777777" w:rsidR="00376CE5" w:rsidRPr="00BF64DA" w:rsidRDefault="00376CE5" w:rsidP="00BF64DA">
            <w:pPr>
              <w:jc w:val="both"/>
              <w:rPr>
                <w:rFonts w:ascii="Cambria" w:hAnsi="Cambria"/>
                <w:sz w:val="24"/>
                <w:szCs w:val="24"/>
              </w:rPr>
            </w:pPr>
            <w:r w:rsidRPr="00BF64DA">
              <w:rPr>
                <w:rFonts w:ascii="Cambria" w:hAnsi="Cambria"/>
                <w:sz w:val="24"/>
                <w:szCs w:val="24"/>
              </w:rPr>
              <w:t>High – scoping inequities</w:t>
            </w:r>
          </w:p>
        </w:tc>
        <w:tc>
          <w:tcPr>
            <w:tcW w:w="0" w:type="auto"/>
            <w:hideMark/>
          </w:tcPr>
          <w:p w14:paraId="34CA547A" w14:textId="77777777" w:rsidR="00376CE5" w:rsidRPr="00BF64DA" w:rsidRDefault="00376CE5" w:rsidP="00BF64DA">
            <w:pPr>
              <w:jc w:val="both"/>
              <w:rPr>
                <w:rFonts w:ascii="Cambria" w:hAnsi="Cambria"/>
                <w:sz w:val="24"/>
                <w:szCs w:val="24"/>
              </w:rPr>
            </w:pPr>
            <w:r w:rsidRPr="00BF64DA">
              <w:rPr>
                <w:rFonts w:ascii="Cambria" w:hAnsi="Cambria"/>
                <w:sz w:val="24"/>
                <w:szCs w:val="24"/>
              </w:rPr>
              <w:t>Technology &amp; social policy</w:t>
            </w:r>
          </w:p>
        </w:tc>
      </w:tr>
      <w:tr w:rsidR="00376CE5" w:rsidRPr="00BF64DA" w14:paraId="2078F423" w14:textId="77777777" w:rsidTr="00376CE5">
        <w:tc>
          <w:tcPr>
            <w:tcW w:w="0" w:type="auto"/>
            <w:hideMark/>
          </w:tcPr>
          <w:p w14:paraId="10A50338" w14:textId="77777777" w:rsidR="00376CE5" w:rsidRPr="00BF64DA" w:rsidRDefault="00376CE5" w:rsidP="00BF64DA">
            <w:pPr>
              <w:jc w:val="both"/>
              <w:rPr>
                <w:rFonts w:ascii="Cambria" w:hAnsi="Cambria"/>
                <w:sz w:val="24"/>
                <w:szCs w:val="24"/>
              </w:rPr>
            </w:pPr>
            <w:r w:rsidRPr="00BF64DA">
              <w:rPr>
                <w:rFonts w:ascii="Cambria" w:hAnsi="Cambria"/>
                <w:sz w:val="24"/>
                <w:szCs w:val="24"/>
              </w:rPr>
              <w:t>Wosny et al. (2023)</w:t>
            </w:r>
          </w:p>
        </w:tc>
        <w:tc>
          <w:tcPr>
            <w:tcW w:w="0" w:type="auto"/>
            <w:hideMark/>
          </w:tcPr>
          <w:p w14:paraId="25793FFB" w14:textId="77777777" w:rsidR="00376CE5" w:rsidRPr="00BF64DA" w:rsidRDefault="00376CE5" w:rsidP="00BF64DA">
            <w:pPr>
              <w:jc w:val="both"/>
              <w:rPr>
                <w:rFonts w:ascii="Cambria" w:hAnsi="Cambria"/>
                <w:sz w:val="24"/>
                <w:szCs w:val="24"/>
              </w:rPr>
            </w:pPr>
            <w:r w:rsidRPr="00BF64DA">
              <w:rPr>
                <w:rFonts w:ascii="Cambria" w:hAnsi="Cambria"/>
                <w:sz w:val="24"/>
                <w:szCs w:val="24"/>
              </w:rPr>
              <w:t>Technical-operational</w:t>
            </w:r>
          </w:p>
        </w:tc>
        <w:tc>
          <w:tcPr>
            <w:tcW w:w="0" w:type="auto"/>
            <w:hideMark/>
          </w:tcPr>
          <w:p w14:paraId="37984259" w14:textId="77777777" w:rsidR="00376CE5" w:rsidRPr="00BF64DA" w:rsidRDefault="00376CE5" w:rsidP="00BF64DA">
            <w:pPr>
              <w:jc w:val="both"/>
              <w:rPr>
                <w:rFonts w:ascii="Cambria" w:hAnsi="Cambria"/>
                <w:sz w:val="24"/>
                <w:szCs w:val="24"/>
              </w:rPr>
            </w:pPr>
            <w:r w:rsidRPr="00BF64DA">
              <w:rPr>
                <w:rFonts w:ascii="Cambria" w:hAnsi="Cambria"/>
                <w:sz w:val="24"/>
                <w:szCs w:val="24"/>
              </w:rPr>
              <w:t>Not explicit</w:t>
            </w:r>
          </w:p>
        </w:tc>
        <w:tc>
          <w:tcPr>
            <w:tcW w:w="0" w:type="auto"/>
            <w:hideMark/>
          </w:tcPr>
          <w:p w14:paraId="673612B7" w14:textId="77777777" w:rsidR="00376CE5" w:rsidRPr="00BF64DA" w:rsidRDefault="00376CE5" w:rsidP="00BF64DA">
            <w:pPr>
              <w:jc w:val="both"/>
              <w:rPr>
                <w:rFonts w:ascii="Cambria" w:hAnsi="Cambria"/>
                <w:sz w:val="24"/>
                <w:szCs w:val="24"/>
              </w:rPr>
            </w:pPr>
            <w:r w:rsidRPr="00BF64DA">
              <w:rPr>
                <w:rFonts w:ascii="Cambria" w:hAnsi="Cambria"/>
                <w:sz w:val="24"/>
                <w:szCs w:val="24"/>
              </w:rPr>
              <w:t>Local hospital focus</w:t>
            </w:r>
          </w:p>
        </w:tc>
      </w:tr>
    </w:tbl>
    <w:p w14:paraId="5B3AADA4" w14:textId="77777777" w:rsidR="00376CE5" w:rsidRPr="00BF64DA" w:rsidRDefault="00376CE5" w:rsidP="00BF64DA">
      <w:pPr>
        <w:spacing w:after="0" w:line="240" w:lineRule="auto"/>
        <w:jc w:val="both"/>
        <w:rPr>
          <w:rFonts w:ascii="Cambria" w:hAnsi="Cambria"/>
          <w:b/>
          <w:bCs/>
          <w:sz w:val="24"/>
          <w:szCs w:val="24"/>
        </w:rPr>
      </w:pPr>
      <w:r w:rsidRPr="00BF64DA">
        <w:rPr>
          <w:rFonts w:ascii="Cambria" w:hAnsi="Cambria"/>
          <w:b/>
          <w:bCs/>
          <w:sz w:val="24"/>
          <w:szCs w:val="24"/>
        </w:rPr>
        <w:t>Key Findings from the Comparison</w:t>
      </w:r>
    </w:p>
    <w:p w14:paraId="75245EFE" w14:textId="77777777" w:rsidR="00376CE5" w:rsidRPr="00BF64DA" w:rsidRDefault="00376CE5" w:rsidP="00BF64DA">
      <w:pPr>
        <w:numPr>
          <w:ilvl w:val="0"/>
          <w:numId w:val="9"/>
        </w:numPr>
        <w:spacing w:after="0" w:line="240" w:lineRule="auto"/>
        <w:jc w:val="both"/>
        <w:rPr>
          <w:rFonts w:ascii="Cambria" w:hAnsi="Cambria"/>
          <w:sz w:val="24"/>
          <w:szCs w:val="24"/>
        </w:rPr>
      </w:pPr>
      <w:r w:rsidRPr="00BF64DA">
        <w:rPr>
          <w:rFonts w:ascii="Cambria" w:hAnsi="Cambria"/>
          <w:b/>
          <w:bCs/>
          <w:sz w:val="24"/>
          <w:szCs w:val="24"/>
        </w:rPr>
        <w:t>Consistency Gap:</w:t>
      </w:r>
      <w:r w:rsidRPr="00BF64DA">
        <w:rPr>
          <w:rFonts w:ascii="Cambria" w:hAnsi="Cambria"/>
          <w:sz w:val="24"/>
          <w:szCs w:val="24"/>
        </w:rPr>
        <w:t>There is little literature that combines aspects of leadership, justice, and governance in an integrated manner.</w:t>
      </w:r>
    </w:p>
    <w:p w14:paraId="0F5D1E21" w14:textId="77777777" w:rsidR="00376CE5" w:rsidRPr="00BF64DA" w:rsidRDefault="00376CE5" w:rsidP="00BF64DA">
      <w:pPr>
        <w:numPr>
          <w:ilvl w:val="0"/>
          <w:numId w:val="9"/>
        </w:numPr>
        <w:spacing w:after="0" w:line="240" w:lineRule="auto"/>
        <w:jc w:val="both"/>
        <w:rPr>
          <w:rFonts w:ascii="Cambria" w:hAnsi="Cambria"/>
          <w:sz w:val="24"/>
          <w:szCs w:val="24"/>
        </w:rPr>
      </w:pPr>
      <w:r w:rsidRPr="00BF64DA">
        <w:rPr>
          <w:rFonts w:ascii="Cambria" w:hAnsi="Cambria"/>
          <w:b/>
          <w:bCs/>
          <w:sz w:val="24"/>
          <w:szCs w:val="24"/>
        </w:rPr>
        <w:t>Reducing Ethics to the Technical Side:</w:t>
      </w:r>
      <w:r w:rsidRPr="00BF64DA">
        <w:rPr>
          <w:rFonts w:ascii="Cambria" w:hAnsi="Cambria"/>
          <w:sz w:val="24"/>
          <w:szCs w:val="24"/>
        </w:rPr>
        <w:t>Digital inequality tends to be discussed as an operational risk, not a responsibility of public leadership.</w:t>
      </w:r>
    </w:p>
    <w:p w14:paraId="0259822D" w14:textId="77777777" w:rsidR="00376CE5" w:rsidRPr="00BF64DA" w:rsidRDefault="00376CE5" w:rsidP="00BF64DA">
      <w:pPr>
        <w:numPr>
          <w:ilvl w:val="0"/>
          <w:numId w:val="9"/>
        </w:numPr>
        <w:spacing w:after="0" w:line="240" w:lineRule="auto"/>
        <w:jc w:val="both"/>
        <w:rPr>
          <w:rFonts w:ascii="Cambria" w:hAnsi="Cambria"/>
          <w:sz w:val="24"/>
          <w:szCs w:val="24"/>
        </w:rPr>
      </w:pPr>
      <w:r w:rsidRPr="00BF64DA">
        <w:rPr>
          <w:rFonts w:ascii="Cambria" w:hAnsi="Cambria"/>
          <w:b/>
          <w:bCs/>
          <w:sz w:val="24"/>
          <w:szCs w:val="24"/>
        </w:rPr>
        <w:t>Dominant Policy Paradox:</w:t>
      </w:r>
      <w:r w:rsidRPr="00BF64DA">
        <w:rPr>
          <w:rFonts w:ascii="Cambria" w:hAnsi="Cambria"/>
          <w:sz w:val="24"/>
          <w:szCs w:val="24"/>
        </w:rPr>
        <w:t>The strongest narrative emerges from studies that highlight the paradox between central policy and local capacity.</w:t>
      </w:r>
    </w:p>
    <w:p w14:paraId="3EE3B5F0" w14:textId="77777777" w:rsidR="00376CE5" w:rsidRPr="00BF64DA" w:rsidRDefault="00376CE5" w:rsidP="00BF64DA">
      <w:pPr>
        <w:spacing w:after="0" w:line="240" w:lineRule="auto"/>
        <w:jc w:val="both"/>
        <w:rPr>
          <w:rFonts w:ascii="Cambria" w:hAnsi="Cambria"/>
          <w:b/>
          <w:bCs/>
          <w:sz w:val="24"/>
          <w:szCs w:val="24"/>
        </w:rPr>
      </w:pPr>
      <w:r w:rsidRPr="00BF64DA">
        <w:rPr>
          <w:rFonts w:ascii="Cambria" w:hAnsi="Cambria"/>
          <w:b/>
          <w:bCs/>
          <w:sz w:val="24"/>
          <w:szCs w:val="24"/>
        </w:rPr>
        <w:t>Interpretation</w:t>
      </w:r>
    </w:p>
    <w:p w14:paraId="40C79DDE" w14:textId="77777777" w:rsidR="00376CE5" w:rsidRPr="00BF64DA" w:rsidRDefault="00376CE5" w:rsidP="00BF64DA">
      <w:pPr>
        <w:spacing w:after="0" w:line="240" w:lineRule="auto"/>
        <w:jc w:val="both"/>
        <w:rPr>
          <w:rFonts w:ascii="Cambria" w:hAnsi="Cambria"/>
          <w:sz w:val="24"/>
          <w:szCs w:val="24"/>
        </w:rPr>
      </w:pPr>
      <w:r w:rsidRPr="00BF64DA">
        <w:rPr>
          <w:rFonts w:ascii="Cambria" w:hAnsi="Cambria"/>
          <w:sz w:val="24"/>
          <w:szCs w:val="24"/>
        </w:rPr>
        <w:t>This matrix confirms that digital leadership is often understood within technocratic boundaries. Studies linking digital transformation to social justice and governance structures are still very limited, reinforcing the urgency of this research to create a more reflective and responsive theoretical and practical synthesis.</w:t>
      </w:r>
    </w:p>
    <w:p w14:paraId="45002AC9" w14:textId="77777777" w:rsidR="00376CE5" w:rsidRPr="00BF64DA" w:rsidRDefault="00376CE5" w:rsidP="00BF64DA">
      <w:pPr>
        <w:spacing w:after="0" w:line="240" w:lineRule="auto"/>
        <w:jc w:val="both"/>
        <w:rPr>
          <w:rFonts w:ascii="Cambria" w:hAnsi="Cambria"/>
          <w:sz w:val="24"/>
          <w:szCs w:val="24"/>
        </w:rPr>
      </w:pPr>
      <w:r w:rsidRPr="00BF64DA">
        <w:rPr>
          <w:rFonts w:ascii="Cambria" w:hAnsi="Cambria"/>
          <w:sz w:val="24"/>
          <w:szCs w:val="24"/>
        </w:rPr>
        <w:t>The following is Block RD3.3 – Theoretical Reflection &amp; Practical Implications, which strengthens the research contribution through conceptual and applicable elaboration of the main findings of the SLR:</w:t>
      </w:r>
    </w:p>
    <w:p w14:paraId="32763265" w14:textId="77777777" w:rsidR="00376CE5" w:rsidRPr="00BF64DA" w:rsidRDefault="00376CE5" w:rsidP="00BF64DA">
      <w:pPr>
        <w:spacing w:after="0" w:line="240" w:lineRule="auto"/>
        <w:jc w:val="both"/>
        <w:rPr>
          <w:rFonts w:ascii="Cambria" w:hAnsi="Cambria"/>
          <w:b/>
          <w:bCs/>
          <w:sz w:val="24"/>
          <w:szCs w:val="24"/>
        </w:rPr>
      </w:pPr>
      <w:r w:rsidRPr="00BF64DA">
        <w:rPr>
          <w:rFonts w:ascii="Cambria" w:hAnsi="Cambria"/>
          <w:b/>
          <w:bCs/>
          <w:sz w:val="24"/>
          <w:szCs w:val="24"/>
        </w:rPr>
        <w:t>Theoretical Reflections &amp; Practical Implications</w:t>
      </w:r>
    </w:p>
    <w:p w14:paraId="7B780A34" w14:textId="77777777" w:rsidR="00376CE5" w:rsidRPr="00BF64DA" w:rsidRDefault="00376CE5" w:rsidP="00BF64DA">
      <w:pPr>
        <w:spacing w:after="0" w:line="240" w:lineRule="auto"/>
        <w:jc w:val="both"/>
        <w:rPr>
          <w:rFonts w:ascii="Cambria" w:hAnsi="Cambria"/>
          <w:b/>
          <w:bCs/>
          <w:sz w:val="24"/>
          <w:szCs w:val="24"/>
        </w:rPr>
      </w:pPr>
      <w:r w:rsidRPr="00BF64DA">
        <w:rPr>
          <w:rFonts w:ascii="Cambria" w:hAnsi="Cambria"/>
          <w:b/>
          <w:bCs/>
          <w:sz w:val="24"/>
          <w:szCs w:val="24"/>
        </w:rPr>
        <w:t>A. Theoretical Reflection</w:t>
      </w:r>
    </w:p>
    <w:p w14:paraId="472C71F7" w14:textId="77777777" w:rsidR="00376CE5" w:rsidRPr="00BF64DA" w:rsidRDefault="00376CE5" w:rsidP="00BF64DA">
      <w:pPr>
        <w:spacing w:after="0" w:line="240" w:lineRule="auto"/>
        <w:jc w:val="both"/>
        <w:rPr>
          <w:rFonts w:ascii="Cambria" w:hAnsi="Cambria"/>
          <w:sz w:val="24"/>
          <w:szCs w:val="24"/>
        </w:rPr>
      </w:pPr>
      <w:r w:rsidRPr="00BF64DA">
        <w:rPr>
          <w:rFonts w:ascii="Cambria" w:hAnsi="Cambria"/>
          <w:sz w:val="24"/>
          <w:szCs w:val="24"/>
        </w:rPr>
        <w:t>The findings in this study offer three main contributions to the development of digital-based public sector leadership theory:</w:t>
      </w:r>
    </w:p>
    <w:p w14:paraId="0F1CDAFD" w14:textId="77777777" w:rsidR="00BF64DA" w:rsidRPr="00BF64DA" w:rsidRDefault="00376CE5" w:rsidP="00BF64DA">
      <w:pPr>
        <w:numPr>
          <w:ilvl w:val="0"/>
          <w:numId w:val="10"/>
        </w:numPr>
        <w:spacing w:after="0" w:line="240" w:lineRule="auto"/>
        <w:jc w:val="both"/>
        <w:rPr>
          <w:rFonts w:ascii="Cambria" w:hAnsi="Cambria"/>
          <w:sz w:val="24"/>
          <w:szCs w:val="24"/>
        </w:rPr>
      </w:pPr>
      <w:r w:rsidRPr="00BF64DA">
        <w:rPr>
          <w:rFonts w:ascii="Cambria" w:hAnsi="Cambria"/>
          <w:b/>
          <w:bCs/>
          <w:sz w:val="24"/>
          <w:szCs w:val="24"/>
        </w:rPr>
        <w:t>Expansion of the Digital Leadership Framework</w:t>
      </w:r>
    </w:p>
    <w:p w14:paraId="6109CF9C" w14:textId="77777777" w:rsidR="00376CE5" w:rsidRPr="00BF64DA" w:rsidRDefault="00376CE5" w:rsidP="00BF64DA">
      <w:pPr>
        <w:spacing w:after="0" w:line="240" w:lineRule="auto"/>
        <w:ind w:left="720"/>
        <w:jc w:val="both"/>
        <w:rPr>
          <w:rFonts w:ascii="Cambria" w:hAnsi="Cambria"/>
          <w:sz w:val="24"/>
          <w:szCs w:val="24"/>
        </w:rPr>
      </w:pPr>
      <w:r w:rsidRPr="00BF64DA">
        <w:rPr>
          <w:rFonts w:ascii="Cambria" w:hAnsi="Cambria"/>
          <w:sz w:val="24"/>
          <w:szCs w:val="24"/>
        </w:rPr>
        <w:t>The synthesis suggests that digital leadership theory needs to be integrated with a social justice perspective, rather than solely focused on efficiency and technology. This reinforces the need for ethical digital leadership models that not only manage technology but also mediate social inequalities and vulnerabilities (Petretto et al., 2023; Badr et al., 2024).</w:t>
      </w:r>
    </w:p>
    <w:p w14:paraId="506E7A3F" w14:textId="77777777" w:rsidR="00BF64DA" w:rsidRPr="00BF64DA" w:rsidRDefault="00376CE5" w:rsidP="00BF64DA">
      <w:pPr>
        <w:numPr>
          <w:ilvl w:val="0"/>
          <w:numId w:val="10"/>
        </w:numPr>
        <w:spacing w:after="0" w:line="240" w:lineRule="auto"/>
        <w:jc w:val="both"/>
        <w:rPr>
          <w:rFonts w:ascii="Cambria" w:hAnsi="Cambria"/>
          <w:sz w:val="24"/>
          <w:szCs w:val="24"/>
        </w:rPr>
      </w:pPr>
      <w:r w:rsidRPr="00BF64DA">
        <w:rPr>
          <w:rFonts w:ascii="Cambria" w:hAnsi="Cambria"/>
          <w:b/>
          <w:bCs/>
          <w:sz w:val="24"/>
          <w:szCs w:val="24"/>
        </w:rPr>
        <w:t>Interconnection Between Governance Levels</w:t>
      </w:r>
    </w:p>
    <w:p w14:paraId="3954B647" w14:textId="77777777" w:rsidR="00376CE5" w:rsidRPr="00BF64DA" w:rsidRDefault="00376CE5" w:rsidP="00BF64DA">
      <w:pPr>
        <w:spacing w:after="0" w:line="240" w:lineRule="auto"/>
        <w:ind w:left="720"/>
        <w:jc w:val="both"/>
        <w:rPr>
          <w:rFonts w:ascii="Cambria" w:hAnsi="Cambria"/>
          <w:sz w:val="24"/>
          <w:szCs w:val="24"/>
        </w:rPr>
      </w:pPr>
      <w:r w:rsidRPr="00BF64DA">
        <w:rPr>
          <w:rFonts w:ascii="Cambria" w:hAnsi="Cambria"/>
          <w:sz w:val="24"/>
          <w:szCs w:val="24"/>
        </w:rPr>
        <w:t>This research demonstrates a conceptual gap between central policy design and local organizational practices. The theoretical implication is the need for a cross-level leadership model that is both coordinative and flexible (Wik et al., 2025; Spanos et al., 2024).</w:t>
      </w:r>
    </w:p>
    <w:p w14:paraId="01E19125" w14:textId="77777777" w:rsidR="00BF64DA" w:rsidRPr="00BF64DA" w:rsidRDefault="00376CE5" w:rsidP="00BF64DA">
      <w:pPr>
        <w:numPr>
          <w:ilvl w:val="0"/>
          <w:numId w:val="10"/>
        </w:numPr>
        <w:spacing w:after="0" w:line="240" w:lineRule="auto"/>
        <w:jc w:val="both"/>
        <w:rPr>
          <w:rFonts w:ascii="Cambria" w:hAnsi="Cambria"/>
          <w:sz w:val="24"/>
          <w:szCs w:val="24"/>
        </w:rPr>
      </w:pPr>
      <w:r w:rsidRPr="00BF64DA">
        <w:rPr>
          <w:rFonts w:ascii="Cambria" w:hAnsi="Cambria"/>
          <w:b/>
          <w:bCs/>
          <w:sz w:val="24"/>
          <w:szCs w:val="24"/>
        </w:rPr>
        <w:t>The Paradox of Technological Leadership</w:t>
      </w:r>
    </w:p>
    <w:p w14:paraId="4589F9A1" w14:textId="77777777" w:rsidR="00376CE5" w:rsidRPr="00BF64DA" w:rsidRDefault="00376CE5" w:rsidP="00BF64DA">
      <w:pPr>
        <w:spacing w:after="0" w:line="240" w:lineRule="auto"/>
        <w:ind w:left="720"/>
        <w:jc w:val="both"/>
        <w:rPr>
          <w:rFonts w:ascii="Cambria" w:hAnsi="Cambria"/>
          <w:sz w:val="24"/>
          <w:szCs w:val="24"/>
        </w:rPr>
      </w:pPr>
      <w:r w:rsidRPr="00BF64DA">
        <w:rPr>
          <w:rFonts w:ascii="Cambria" w:hAnsi="Cambria"/>
          <w:sz w:val="24"/>
          <w:szCs w:val="24"/>
        </w:rPr>
        <w:lastRenderedPageBreak/>
        <w:t>A paradox inherent in technocratic leadership styles has been identified: the greater the focus on digital transformation, the greater the vulnerability to exclusion and resistance in organizational culture. This underscores the urgency of developing leadership models that incorporate moral, adaptive, and reflective dimensions (Van Kessel et al., 2022; Jonassen et al., 2024).</w:t>
      </w:r>
    </w:p>
    <w:p w14:paraId="593A7061" w14:textId="77777777" w:rsidR="00376CE5" w:rsidRPr="00BF64DA" w:rsidRDefault="00376CE5" w:rsidP="00BF64DA">
      <w:pPr>
        <w:spacing w:after="0" w:line="240" w:lineRule="auto"/>
        <w:jc w:val="both"/>
        <w:rPr>
          <w:rFonts w:ascii="Cambria" w:hAnsi="Cambria"/>
          <w:b/>
          <w:bCs/>
          <w:sz w:val="24"/>
          <w:szCs w:val="24"/>
        </w:rPr>
      </w:pPr>
      <w:r w:rsidRPr="00BF64DA">
        <w:rPr>
          <w:rFonts w:ascii="Cambria" w:hAnsi="Cambria"/>
          <w:b/>
          <w:bCs/>
          <w:sz w:val="24"/>
          <w:szCs w:val="24"/>
        </w:rPr>
        <w:t>B. Practical Implications</w:t>
      </w:r>
    </w:p>
    <w:p w14:paraId="31F61062" w14:textId="77777777" w:rsidR="00BF64DA" w:rsidRPr="00BF64DA" w:rsidRDefault="00376CE5" w:rsidP="00BF64DA">
      <w:pPr>
        <w:numPr>
          <w:ilvl w:val="0"/>
          <w:numId w:val="11"/>
        </w:numPr>
        <w:spacing w:after="0" w:line="240" w:lineRule="auto"/>
        <w:jc w:val="both"/>
        <w:rPr>
          <w:rFonts w:ascii="Cambria" w:hAnsi="Cambria"/>
          <w:sz w:val="24"/>
          <w:szCs w:val="24"/>
        </w:rPr>
      </w:pPr>
      <w:r w:rsidRPr="00BF64DA">
        <w:rPr>
          <w:rFonts w:ascii="Cambria" w:hAnsi="Cambria"/>
          <w:b/>
          <w:bCs/>
          <w:sz w:val="24"/>
          <w:szCs w:val="24"/>
        </w:rPr>
        <w:t>Inclusive Digital Leadership Training Design</w:t>
      </w:r>
    </w:p>
    <w:p w14:paraId="47DF3C98" w14:textId="77777777" w:rsidR="00376CE5" w:rsidRPr="00BF64DA" w:rsidRDefault="00376CE5" w:rsidP="00BF64DA">
      <w:pPr>
        <w:spacing w:after="0" w:line="240" w:lineRule="auto"/>
        <w:ind w:left="720"/>
        <w:jc w:val="both"/>
        <w:rPr>
          <w:rFonts w:ascii="Cambria" w:hAnsi="Cambria"/>
          <w:sz w:val="24"/>
          <w:szCs w:val="24"/>
        </w:rPr>
      </w:pPr>
      <w:r w:rsidRPr="00BF64DA">
        <w:rPr>
          <w:rFonts w:ascii="Cambria" w:hAnsi="Cambria"/>
          <w:sz w:val="24"/>
          <w:szCs w:val="24"/>
        </w:rPr>
        <w:t>Public sector institutions need to develop training modules that focus not only on digital literacy, but also on strengthening ethical awareness and adaptive capacity to social disparities.</w:t>
      </w:r>
    </w:p>
    <w:p w14:paraId="5A246783" w14:textId="77777777" w:rsidR="00BF64DA" w:rsidRPr="00BF64DA" w:rsidRDefault="00376CE5" w:rsidP="00BF64DA">
      <w:pPr>
        <w:numPr>
          <w:ilvl w:val="0"/>
          <w:numId w:val="11"/>
        </w:numPr>
        <w:spacing w:after="0" w:line="240" w:lineRule="auto"/>
        <w:jc w:val="both"/>
        <w:rPr>
          <w:rFonts w:ascii="Cambria" w:hAnsi="Cambria"/>
          <w:sz w:val="24"/>
          <w:szCs w:val="24"/>
        </w:rPr>
      </w:pPr>
      <w:r w:rsidRPr="00BF64DA">
        <w:rPr>
          <w:rFonts w:ascii="Cambria" w:hAnsi="Cambria"/>
          <w:b/>
          <w:bCs/>
          <w:sz w:val="24"/>
          <w:szCs w:val="24"/>
        </w:rPr>
        <w:t>Cross-Level Policy Alignment</w:t>
      </w:r>
    </w:p>
    <w:p w14:paraId="41A3F3B1" w14:textId="77777777" w:rsidR="00376CE5" w:rsidRPr="00BF64DA" w:rsidRDefault="00376CE5" w:rsidP="00BF64DA">
      <w:pPr>
        <w:spacing w:after="0" w:line="240" w:lineRule="auto"/>
        <w:ind w:left="720"/>
        <w:jc w:val="both"/>
        <w:rPr>
          <w:rFonts w:ascii="Cambria" w:hAnsi="Cambria"/>
          <w:sz w:val="24"/>
          <w:szCs w:val="24"/>
        </w:rPr>
      </w:pPr>
      <w:r w:rsidRPr="00BF64DA">
        <w:rPr>
          <w:rFonts w:ascii="Cambria" w:hAnsi="Cambria"/>
          <w:sz w:val="24"/>
          <w:szCs w:val="24"/>
        </w:rPr>
        <w:t>To reduce the policy-practice divide, the central government needs to involve local actors in digital policy design and provide multi-level collaborative spaces.</w:t>
      </w:r>
    </w:p>
    <w:p w14:paraId="49C8A4BE" w14:textId="77777777" w:rsidR="00BF64DA" w:rsidRPr="00BF64DA" w:rsidRDefault="00376CE5" w:rsidP="00BF64DA">
      <w:pPr>
        <w:numPr>
          <w:ilvl w:val="0"/>
          <w:numId w:val="11"/>
        </w:numPr>
        <w:spacing w:after="0" w:line="240" w:lineRule="auto"/>
        <w:jc w:val="both"/>
        <w:rPr>
          <w:rFonts w:ascii="Cambria" w:hAnsi="Cambria"/>
          <w:sz w:val="24"/>
          <w:szCs w:val="24"/>
        </w:rPr>
      </w:pPr>
      <w:r w:rsidRPr="00BF64DA">
        <w:rPr>
          <w:rFonts w:ascii="Cambria" w:hAnsi="Cambria"/>
          <w:b/>
          <w:bCs/>
          <w:sz w:val="24"/>
          <w:szCs w:val="24"/>
        </w:rPr>
        <w:t>Development of the Digital Leadership Readiness Index</w:t>
      </w:r>
    </w:p>
    <w:p w14:paraId="3164E5E4" w14:textId="77777777" w:rsidR="00376CE5" w:rsidRPr="00BF64DA" w:rsidRDefault="00376CE5" w:rsidP="00BF64DA">
      <w:pPr>
        <w:spacing w:after="0" w:line="240" w:lineRule="auto"/>
        <w:ind w:left="720"/>
        <w:jc w:val="both"/>
        <w:rPr>
          <w:rFonts w:ascii="Cambria" w:hAnsi="Cambria"/>
          <w:sz w:val="24"/>
          <w:szCs w:val="24"/>
        </w:rPr>
      </w:pPr>
      <w:r w:rsidRPr="00BF64DA">
        <w:rPr>
          <w:rFonts w:ascii="Cambria" w:hAnsi="Cambria"/>
          <w:sz w:val="24"/>
          <w:szCs w:val="24"/>
        </w:rPr>
        <w:t>Governments and international institutions can develop digital equity-based indicators to assess institutional leadership capabilities, not just infrastructure readiness.</w:t>
      </w:r>
    </w:p>
    <w:p w14:paraId="06D41FA4" w14:textId="77777777" w:rsidR="00376CE5" w:rsidRDefault="00376CE5" w:rsidP="00BF64DA">
      <w:pPr>
        <w:spacing w:after="0" w:line="240" w:lineRule="auto"/>
        <w:jc w:val="both"/>
        <w:rPr>
          <w:rFonts w:ascii="Cambria" w:hAnsi="Cambria"/>
          <w:sz w:val="24"/>
          <w:szCs w:val="24"/>
        </w:rPr>
      </w:pPr>
      <w:r w:rsidRPr="00BF64DA">
        <w:rPr>
          <w:rFonts w:ascii="Cambria" w:hAnsi="Cambria"/>
          <w:noProof/>
          <w:sz w:val="24"/>
          <w:szCs w:val="24"/>
        </w:rPr>
        <w:drawing>
          <wp:inline distT="0" distB="0" distL="0" distR="0" wp14:anchorId="3428F812" wp14:editId="22C18A4E">
            <wp:extent cx="5175638" cy="4831715"/>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atGPT Image Oct 3, 2025, 06_57_38 PM.png"/>
                    <pic:cNvPicPr/>
                  </pic:nvPicPr>
                  <pic:blipFill rotWithShape="1">
                    <a:blip r:embed="rId12">
                      <a:extLst>
                        <a:ext uri="{28A0092B-C50C-407E-A947-70E740481C1C}">
                          <a14:useLocalDpi xmlns:a14="http://schemas.microsoft.com/office/drawing/2010/main" val="0"/>
                        </a:ext>
                      </a:extLst>
                    </a:blip>
                    <a:srcRect l="4357" t="1235" r="5587" b="14437"/>
                    <a:stretch/>
                  </pic:blipFill>
                  <pic:spPr bwMode="auto">
                    <a:xfrm>
                      <a:off x="0" y="0"/>
                      <a:ext cx="5177281" cy="4833249"/>
                    </a:xfrm>
                    <a:prstGeom prst="rect">
                      <a:avLst/>
                    </a:prstGeom>
                    <a:ln>
                      <a:noFill/>
                    </a:ln>
                    <a:extLst>
                      <a:ext uri="{53640926-AAD7-44D8-BBD7-CCE9431645EC}">
                        <a14:shadowObscured xmlns:a14="http://schemas.microsoft.com/office/drawing/2010/main"/>
                      </a:ext>
                    </a:extLst>
                  </pic:spPr>
                </pic:pic>
              </a:graphicData>
            </a:graphic>
          </wp:inline>
        </w:drawing>
      </w:r>
    </w:p>
    <w:p w14:paraId="12CE98D1" w14:textId="77777777" w:rsidR="004812C3" w:rsidRPr="00BF64DA" w:rsidRDefault="004812C3" w:rsidP="00BF64DA">
      <w:pPr>
        <w:spacing w:after="0" w:line="240" w:lineRule="auto"/>
        <w:jc w:val="both"/>
        <w:rPr>
          <w:rFonts w:ascii="Cambria" w:hAnsi="Cambria"/>
          <w:sz w:val="24"/>
          <w:szCs w:val="24"/>
        </w:rPr>
      </w:pPr>
      <w:r>
        <w:rPr>
          <w:rFonts w:ascii="Cambria" w:hAnsi="Cambria"/>
          <w:sz w:val="24"/>
          <w:szCs w:val="24"/>
        </w:rPr>
        <w:t>Figure 5 adaptive and reflective</w:t>
      </w:r>
    </w:p>
    <w:p w14:paraId="1AC95348" w14:textId="77777777" w:rsidR="004812C3" w:rsidRDefault="004812C3" w:rsidP="00BF64DA">
      <w:pPr>
        <w:spacing w:after="0" w:line="240" w:lineRule="auto"/>
        <w:jc w:val="both"/>
        <w:rPr>
          <w:rFonts w:ascii="Cambria" w:hAnsi="Cambria"/>
          <w:sz w:val="24"/>
          <w:szCs w:val="24"/>
        </w:rPr>
      </w:pPr>
    </w:p>
    <w:p w14:paraId="388CC454" w14:textId="77777777" w:rsidR="002A4D8E" w:rsidRDefault="00376CE5" w:rsidP="00BF64DA">
      <w:pPr>
        <w:spacing w:after="0" w:line="240" w:lineRule="auto"/>
        <w:jc w:val="both"/>
        <w:rPr>
          <w:rFonts w:ascii="Cambria" w:hAnsi="Cambria"/>
          <w:sz w:val="24"/>
          <w:szCs w:val="24"/>
        </w:rPr>
      </w:pPr>
      <w:r w:rsidRPr="00BF64DA">
        <w:rPr>
          <w:rFonts w:ascii="Cambria" w:hAnsi="Cambria"/>
          <w:b/>
          <w:bCs/>
          <w:sz w:val="24"/>
          <w:szCs w:val="24"/>
        </w:rPr>
        <w:t>Conclusions and Implications</w:t>
      </w:r>
      <w:r w:rsidRPr="00BF64DA">
        <w:rPr>
          <w:rFonts w:ascii="Cambria" w:hAnsi="Cambria"/>
          <w:sz w:val="24"/>
          <w:szCs w:val="24"/>
        </w:rPr>
        <w:t xml:space="preserve"> </w:t>
      </w:r>
    </w:p>
    <w:p w14:paraId="0B5495D2" w14:textId="77777777" w:rsidR="00376CE5" w:rsidRPr="00BF64DA" w:rsidRDefault="002A4D8E" w:rsidP="00BF64DA">
      <w:pPr>
        <w:spacing w:after="0" w:line="240" w:lineRule="auto"/>
        <w:jc w:val="both"/>
        <w:rPr>
          <w:rFonts w:ascii="Cambria" w:hAnsi="Cambria"/>
          <w:sz w:val="24"/>
          <w:szCs w:val="24"/>
        </w:rPr>
      </w:pPr>
      <w:bookmarkStart w:id="1" w:name="_Hlk210453498"/>
      <w:r w:rsidRPr="00BF64DA">
        <w:rPr>
          <w:rFonts w:ascii="Cambria" w:hAnsi="Cambria"/>
          <w:sz w:val="24"/>
          <w:szCs w:val="24"/>
        </w:rPr>
        <w:t>From this Systematic Literature Review (SLR) study:</w:t>
      </w:r>
    </w:p>
    <w:p w14:paraId="470461D2" w14:textId="77777777" w:rsidR="00376CE5" w:rsidRPr="00BF64DA" w:rsidRDefault="00376CE5" w:rsidP="00BF64DA">
      <w:pPr>
        <w:spacing w:after="0" w:line="240" w:lineRule="auto"/>
        <w:jc w:val="both"/>
        <w:rPr>
          <w:rFonts w:ascii="Cambria" w:hAnsi="Cambria"/>
          <w:sz w:val="24"/>
          <w:szCs w:val="24"/>
        </w:rPr>
      </w:pPr>
      <w:r w:rsidRPr="00BF64DA">
        <w:rPr>
          <w:rFonts w:ascii="Cambria" w:hAnsi="Cambria"/>
          <w:sz w:val="24"/>
          <w:szCs w:val="24"/>
        </w:rPr>
        <w:lastRenderedPageBreak/>
        <w:t>This study confirms that digital leadership strategies in the public health sector cannot be understood solely in a linear or technocratic manner. Through a synthesis of 18 selected literatures, it was found that the success of digital transformation is largely determined by the leadership's ability to navigate three key issues: the complexity of multi-level governance, the ever-widening digital divide, and the ethical dilemmas of technology use in public services (Van Kessel et al., 2022; Badr et al., 2024; Spanos et al., 2024).</w:t>
      </w:r>
    </w:p>
    <w:p w14:paraId="0E29888A" w14:textId="77777777" w:rsidR="00376CE5" w:rsidRPr="00BF64DA" w:rsidRDefault="00376CE5" w:rsidP="00BF64DA">
      <w:pPr>
        <w:spacing w:after="0" w:line="240" w:lineRule="auto"/>
        <w:jc w:val="both"/>
        <w:rPr>
          <w:rFonts w:ascii="Cambria" w:hAnsi="Cambria"/>
          <w:sz w:val="24"/>
          <w:szCs w:val="24"/>
        </w:rPr>
      </w:pPr>
      <w:r w:rsidRPr="00BF64DA">
        <w:rPr>
          <w:rFonts w:ascii="Cambria" w:hAnsi="Cambria"/>
          <w:sz w:val="24"/>
          <w:szCs w:val="24"/>
        </w:rPr>
        <w:t>This study proposes that future public leadership must be grounded in the integration of three perspectives: digital competence, social sensitivity, and intergovernance capacity. This results in a justice-based digital leadership model that is reflective, flexible, and collaborative across levels.</w:t>
      </w:r>
    </w:p>
    <w:p w14:paraId="6A67C20A" w14:textId="77777777" w:rsidR="00376CE5" w:rsidRPr="00BF64DA" w:rsidRDefault="00376CE5" w:rsidP="00BF64DA">
      <w:pPr>
        <w:spacing w:after="0" w:line="240" w:lineRule="auto"/>
        <w:jc w:val="both"/>
        <w:rPr>
          <w:rFonts w:ascii="Cambria" w:hAnsi="Cambria"/>
          <w:b/>
          <w:bCs/>
          <w:sz w:val="24"/>
          <w:szCs w:val="24"/>
        </w:rPr>
      </w:pPr>
      <w:r w:rsidRPr="00BF64DA">
        <w:rPr>
          <w:rFonts w:ascii="Cambria" w:hAnsi="Cambria"/>
          <w:b/>
          <w:bCs/>
          <w:sz w:val="24"/>
          <w:szCs w:val="24"/>
        </w:rPr>
        <w:t>Practical and Policy Implications</w:t>
      </w:r>
    </w:p>
    <w:p w14:paraId="298BE468" w14:textId="77777777" w:rsidR="004812C3" w:rsidRPr="004812C3" w:rsidRDefault="00376CE5" w:rsidP="00BF64DA">
      <w:pPr>
        <w:numPr>
          <w:ilvl w:val="0"/>
          <w:numId w:val="13"/>
        </w:numPr>
        <w:spacing w:after="0" w:line="240" w:lineRule="auto"/>
        <w:jc w:val="both"/>
        <w:rPr>
          <w:rFonts w:ascii="Cambria" w:hAnsi="Cambria"/>
          <w:sz w:val="24"/>
          <w:szCs w:val="24"/>
        </w:rPr>
      </w:pPr>
      <w:r w:rsidRPr="00BF64DA">
        <w:rPr>
          <w:rFonts w:ascii="Cambria" w:hAnsi="Cambria"/>
          <w:b/>
          <w:bCs/>
          <w:sz w:val="24"/>
          <w:szCs w:val="24"/>
        </w:rPr>
        <w:t>Multilevel Digital Leadership Training Policy</w:t>
      </w:r>
    </w:p>
    <w:p w14:paraId="76C63D66" w14:textId="77777777" w:rsidR="00376CE5" w:rsidRPr="00BF64DA" w:rsidRDefault="00376CE5" w:rsidP="004812C3">
      <w:pPr>
        <w:spacing w:after="0" w:line="240" w:lineRule="auto"/>
        <w:ind w:left="720"/>
        <w:jc w:val="both"/>
        <w:rPr>
          <w:rFonts w:ascii="Cambria" w:hAnsi="Cambria"/>
          <w:sz w:val="24"/>
          <w:szCs w:val="24"/>
        </w:rPr>
      </w:pPr>
      <w:r w:rsidRPr="00BF64DA">
        <w:rPr>
          <w:rFonts w:ascii="Cambria" w:hAnsi="Cambria"/>
          <w:sz w:val="24"/>
          <w:szCs w:val="24"/>
        </w:rPr>
        <w:t>The government needs to design training with a cross-level orientation (national-local), integrating digital ethics and inequality management.</w:t>
      </w:r>
    </w:p>
    <w:p w14:paraId="2E2E672B" w14:textId="77777777" w:rsidR="004812C3" w:rsidRPr="004812C3" w:rsidRDefault="00376CE5" w:rsidP="00BF64DA">
      <w:pPr>
        <w:numPr>
          <w:ilvl w:val="0"/>
          <w:numId w:val="13"/>
        </w:numPr>
        <w:spacing w:after="0" w:line="240" w:lineRule="auto"/>
        <w:jc w:val="both"/>
        <w:rPr>
          <w:rFonts w:ascii="Cambria" w:hAnsi="Cambria"/>
          <w:sz w:val="24"/>
          <w:szCs w:val="24"/>
        </w:rPr>
      </w:pPr>
      <w:r w:rsidRPr="00BF64DA">
        <w:rPr>
          <w:rFonts w:ascii="Cambria" w:hAnsi="Cambria"/>
          <w:b/>
          <w:bCs/>
          <w:sz w:val="24"/>
          <w:szCs w:val="24"/>
        </w:rPr>
        <w:t>Evaluation of Digital Justice as a Performance Indicator</w:t>
      </w:r>
    </w:p>
    <w:p w14:paraId="4538B2DD" w14:textId="77777777" w:rsidR="00376CE5" w:rsidRPr="00BF64DA" w:rsidRDefault="00376CE5" w:rsidP="004812C3">
      <w:pPr>
        <w:spacing w:after="0" w:line="240" w:lineRule="auto"/>
        <w:ind w:left="720"/>
        <w:jc w:val="both"/>
        <w:rPr>
          <w:rFonts w:ascii="Cambria" w:hAnsi="Cambria"/>
          <w:sz w:val="24"/>
          <w:szCs w:val="24"/>
        </w:rPr>
      </w:pPr>
      <w:r w:rsidRPr="00BF64DA">
        <w:rPr>
          <w:rFonts w:ascii="Cambria" w:hAnsi="Cambria"/>
          <w:sz w:val="24"/>
          <w:szCs w:val="24"/>
        </w:rPr>
        <w:t>New indicators are needed to evaluate the effectiveness of digital transformation that measure the extent to which leaders narrow the digital divide.</w:t>
      </w:r>
    </w:p>
    <w:p w14:paraId="2B32A4C0" w14:textId="77777777" w:rsidR="004812C3" w:rsidRPr="004812C3" w:rsidRDefault="00376CE5" w:rsidP="00BF64DA">
      <w:pPr>
        <w:numPr>
          <w:ilvl w:val="0"/>
          <w:numId w:val="13"/>
        </w:numPr>
        <w:spacing w:after="0" w:line="240" w:lineRule="auto"/>
        <w:jc w:val="both"/>
        <w:rPr>
          <w:rFonts w:ascii="Cambria" w:hAnsi="Cambria"/>
          <w:sz w:val="24"/>
          <w:szCs w:val="24"/>
        </w:rPr>
      </w:pPr>
      <w:r w:rsidRPr="00BF64DA">
        <w:rPr>
          <w:rFonts w:ascii="Cambria" w:hAnsi="Cambria"/>
          <w:b/>
          <w:bCs/>
          <w:sz w:val="24"/>
          <w:szCs w:val="24"/>
        </w:rPr>
        <w:t>Reformulation of Collaborative Governance</w:t>
      </w:r>
    </w:p>
    <w:p w14:paraId="50E712C5" w14:textId="77777777" w:rsidR="00376CE5" w:rsidRPr="00BF64DA" w:rsidRDefault="00376CE5" w:rsidP="004812C3">
      <w:pPr>
        <w:spacing w:after="0" w:line="240" w:lineRule="auto"/>
        <w:ind w:left="720"/>
        <w:jc w:val="both"/>
        <w:rPr>
          <w:rFonts w:ascii="Cambria" w:hAnsi="Cambria"/>
          <w:sz w:val="24"/>
          <w:szCs w:val="24"/>
        </w:rPr>
      </w:pPr>
      <w:r w:rsidRPr="00BF64DA">
        <w:rPr>
          <w:rFonts w:ascii="Cambria" w:hAnsi="Cambria"/>
          <w:sz w:val="24"/>
          <w:szCs w:val="24"/>
        </w:rPr>
        <w:t>The key to success lies in the ability to unite central policy vision and local practices within a single inclusive digital transformation framework.</w:t>
      </w:r>
    </w:p>
    <w:p w14:paraId="4BC7F22C" w14:textId="77777777" w:rsidR="00376CE5" w:rsidRPr="00BF64DA" w:rsidRDefault="00376CE5" w:rsidP="00BF64DA">
      <w:pPr>
        <w:spacing w:after="0" w:line="240" w:lineRule="auto"/>
        <w:jc w:val="both"/>
        <w:rPr>
          <w:rFonts w:ascii="Cambria" w:hAnsi="Cambria"/>
          <w:b/>
          <w:bCs/>
          <w:sz w:val="24"/>
          <w:szCs w:val="24"/>
        </w:rPr>
      </w:pPr>
      <w:r w:rsidRPr="00BF64DA">
        <w:rPr>
          <w:rFonts w:ascii="Cambria" w:hAnsi="Cambria"/>
          <w:b/>
          <w:bCs/>
          <w:sz w:val="24"/>
          <w:szCs w:val="24"/>
        </w:rPr>
        <w:t>Scientific Contribution</w:t>
      </w:r>
    </w:p>
    <w:p w14:paraId="50A25D52" w14:textId="77777777" w:rsidR="00376CE5" w:rsidRPr="00BF64DA" w:rsidRDefault="00376CE5" w:rsidP="00BF64DA">
      <w:pPr>
        <w:numPr>
          <w:ilvl w:val="0"/>
          <w:numId w:val="14"/>
        </w:numPr>
        <w:spacing w:after="0" w:line="240" w:lineRule="auto"/>
        <w:jc w:val="both"/>
        <w:rPr>
          <w:rFonts w:ascii="Cambria" w:hAnsi="Cambria"/>
          <w:sz w:val="24"/>
          <w:szCs w:val="24"/>
        </w:rPr>
      </w:pPr>
      <w:r w:rsidRPr="00BF64DA">
        <w:rPr>
          <w:rFonts w:ascii="Cambria" w:hAnsi="Cambria"/>
          <w:sz w:val="24"/>
          <w:szCs w:val="24"/>
        </w:rPr>
        <w:t>Offers a conceptual model based on the intersection of digital leadership theory, governance, and public justice.</w:t>
      </w:r>
    </w:p>
    <w:p w14:paraId="7FE2FCBC" w14:textId="77777777" w:rsidR="00376CE5" w:rsidRPr="00BF64DA" w:rsidRDefault="00376CE5" w:rsidP="00BF64DA">
      <w:pPr>
        <w:numPr>
          <w:ilvl w:val="0"/>
          <w:numId w:val="14"/>
        </w:numPr>
        <w:spacing w:after="0" w:line="240" w:lineRule="auto"/>
        <w:jc w:val="both"/>
        <w:rPr>
          <w:rFonts w:ascii="Cambria" w:hAnsi="Cambria"/>
          <w:sz w:val="24"/>
          <w:szCs w:val="24"/>
        </w:rPr>
      </w:pPr>
      <w:r w:rsidRPr="00BF64DA">
        <w:rPr>
          <w:rFonts w:ascii="Cambria" w:hAnsi="Cambria"/>
          <w:sz w:val="24"/>
          <w:szCs w:val="24"/>
        </w:rPr>
        <w:t>Encourage the strengthening of reflective and cross-disciplinary SLR-based research in digital health governance.</w:t>
      </w:r>
    </w:p>
    <w:p w14:paraId="4206B25B" w14:textId="77777777" w:rsidR="00376CE5" w:rsidRPr="00BF64DA" w:rsidRDefault="00376CE5" w:rsidP="00BF64DA">
      <w:pPr>
        <w:spacing w:after="0" w:line="240" w:lineRule="auto"/>
        <w:jc w:val="both"/>
        <w:rPr>
          <w:rFonts w:ascii="Cambria" w:hAnsi="Cambria"/>
          <w:b/>
          <w:bCs/>
          <w:sz w:val="24"/>
          <w:szCs w:val="24"/>
        </w:rPr>
      </w:pPr>
      <w:r w:rsidRPr="00BF64DA">
        <w:rPr>
          <w:rFonts w:ascii="Cambria" w:hAnsi="Cambria"/>
          <w:b/>
          <w:bCs/>
          <w:sz w:val="24"/>
          <w:szCs w:val="24"/>
        </w:rPr>
        <w:t>Limitations and Directions for Further Research</w:t>
      </w:r>
    </w:p>
    <w:p w14:paraId="15F522DB" w14:textId="77777777" w:rsidR="00376CE5" w:rsidRPr="00BF64DA" w:rsidRDefault="00376CE5" w:rsidP="00BF64DA">
      <w:pPr>
        <w:numPr>
          <w:ilvl w:val="0"/>
          <w:numId w:val="15"/>
        </w:numPr>
        <w:spacing w:after="0" w:line="240" w:lineRule="auto"/>
        <w:jc w:val="both"/>
        <w:rPr>
          <w:rFonts w:ascii="Cambria" w:hAnsi="Cambria"/>
          <w:sz w:val="24"/>
          <w:szCs w:val="24"/>
        </w:rPr>
      </w:pPr>
      <w:r w:rsidRPr="00BF64DA">
        <w:rPr>
          <w:rFonts w:ascii="Cambria" w:hAnsi="Cambria"/>
          <w:sz w:val="24"/>
          <w:szCs w:val="24"/>
        </w:rPr>
        <w:t>This study is limited by the academic literature framework without field observations.</w:t>
      </w:r>
    </w:p>
    <w:p w14:paraId="7846DE35" w14:textId="77777777" w:rsidR="00376CE5" w:rsidRPr="00BF64DA" w:rsidRDefault="00376CE5" w:rsidP="00BF64DA">
      <w:pPr>
        <w:numPr>
          <w:ilvl w:val="0"/>
          <w:numId w:val="15"/>
        </w:numPr>
        <w:spacing w:after="0" w:line="240" w:lineRule="auto"/>
        <w:jc w:val="both"/>
        <w:rPr>
          <w:rFonts w:ascii="Cambria" w:hAnsi="Cambria"/>
          <w:sz w:val="24"/>
          <w:szCs w:val="24"/>
        </w:rPr>
      </w:pPr>
      <w:r w:rsidRPr="00BF64DA">
        <w:rPr>
          <w:rFonts w:ascii="Cambria" w:hAnsi="Cambria"/>
          <w:sz w:val="24"/>
          <w:szCs w:val="24"/>
        </w:rPr>
        <w:t>Future research needs to test this model in empirical studies based on case studies or comparative policy research between countries.</w:t>
      </w:r>
    </w:p>
    <w:bookmarkEnd w:id="1"/>
    <w:p w14:paraId="51C78F5D" w14:textId="77777777" w:rsidR="004812C3" w:rsidRDefault="004812C3" w:rsidP="00BF64DA">
      <w:pPr>
        <w:spacing w:after="0" w:line="240" w:lineRule="auto"/>
        <w:jc w:val="both"/>
        <w:rPr>
          <w:rFonts w:ascii="Cambria" w:hAnsi="Cambria"/>
          <w:sz w:val="24"/>
          <w:szCs w:val="24"/>
        </w:rPr>
      </w:pPr>
    </w:p>
    <w:p w14:paraId="6FD3C337" w14:textId="77777777" w:rsidR="00376CE5" w:rsidRPr="004812C3" w:rsidRDefault="00376CE5" w:rsidP="00BF64DA">
      <w:pPr>
        <w:spacing w:after="0" w:line="240" w:lineRule="auto"/>
        <w:jc w:val="both"/>
        <w:rPr>
          <w:rFonts w:ascii="Cambria" w:hAnsi="Cambria"/>
          <w:b/>
          <w:bCs/>
          <w:sz w:val="24"/>
          <w:szCs w:val="24"/>
        </w:rPr>
      </w:pPr>
      <w:r w:rsidRPr="004812C3">
        <w:rPr>
          <w:rFonts w:ascii="Cambria" w:hAnsi="Cambria"/>
          <w:b/>
          <w:bCs/>
          <w:sz w:val="24"/>
          <w:szCs w:val="24"/>
        </w:rPr>
        <w:t>REFERENCES</w:t>
      </w:r>
    </w:p>
    <w:p w14:paraId="29F50C6B" w14:textId="77777777" w:rsidR="00376CE5" w:rsidRPr="00BF64DA" w:rsidRDefault="00376CE5" w:rsidP="004812C3">
      <w:pPr>
        <w:spacing w:after="0" w:line="240" w:lineRule="auto"/>
        <w:ind w:left="360" w:hanging="360"/>
        <w:jc w:val="both"/>
        <w:rPr>
          <w:rFonts w:ascii="Cambria" w:hAnsi="Cambria"/>
          <w:sz w:val="24"/>
          <w:szCs w:val="24"/>
        </w:rPr>
      </w:pPr>
      <w:bookmarkStart w:id="2" w:name="_Hlk210453617"/>
      <w:r w:rsidRPr="00BF64DA">
        <w:rPr>
          <w:rFonts w:ascii="Cambria" w:hAnsi="Cambria"/>
          <w:sz w:val="24"/>
          <w:szCs w:val="24"/>
        </w:rPr>
        <w:t xml:space="preserve">Van Kessel R, et al. Digital Health Paradox: International Policy Perspectives DOI:10.2196/33819  </w:t>
      </w:r>
      <w:hyperlink r:id="rId13" w:tgtFrame="_blank" w:history="1"/>
    </w:p>
    <w:p w14:paraId="38EA2D07" w14:textId="77777777" w:rsidR="00376CE5" w:rsidRPr="00BF64DA" w:rsidRDefault="00376CE5" w:rsidP="004812C3">
      <w:pPr>
        <w:spacing w:after="0" w:line="240" w:lineRule="auto"/>
        <w:ind w:left="360" w:hanging="360"/>
        <w:jc w:val="both"/>
        <w:rPr>
          <w:rFonts w:ascii="Cambria" w:hAnsi="Cambria"/>
          <w:sz w:val="24"/>
          <w:szCs w:val="24"/>
        </w:rPr>
      </w:pPr>
      <w:r w:rsidRPr="00BF64DA">
        <w:rPr>
          <w:rFonts w:ascii="Cambria" w:hAnsi="Cambria"/>
          <w:sz w:val="24"/>
          <w:szCs w:val="24"/>
        </w:rPr>
        <w:t>Kludacz-Alessandri M, et al. The impact of digital transformational leadership on digital intensity (2025)</w:t>
      </w:r>
    </w:p>
    <w:p w14:paraId="0ACE3C50" w14:textId="77777777" w:rsidR="00376CE5" w:rsidRPr="00BF64DA" w:rsidRDefault="00376CE5" w:rsidP="004812C3">
      <w:pPr>
        <w:spacing w:after="0" w:line="240" w:lineRule="auto"/>
        <w:ind w:left="360" w:hanging="360"/>
        <w:jc w:val="both"/>
        <w:rPr>
          <w:rFonts w:ascii="Cambria" w:hAnsi="Cambria"/>
          <w:sz w:val="24"/>
          <w:szCs w:val="24"/>
        </w:rPr>
      </w:pPr>
      <w:r w:rsidRPr="00BF64DA">
        <w:rPr>
          <w:rFonts w:ascii="Cambria" w:hAnsi="Cambria"/>
          <w:sz w:val="24"/>
          <w:szCs w:val="24"/>
        </w:rPr>
        <w:t xml:space="preserve">Brommeyer M, et al. Organizational Factors Driving the Realization of Digital    </w:t>
      </w:r>
    </w:p>
    <w:p w14:paraId="24EC8994" w14:textId="77777777" w:rsidR="00376CE5" w:rsidRPr="00BF64DA" w:rsidRDefault="00376CE5" w:rsidP="004812C3">
      <w:pPr>
        <w:spacing w:after="0" w:line="240" w:lineRule="auto"/>
        <w:ind w:left="360" w:hanging="360"/>
        <w:jc w:val="both"/>
        <w:rPr>
          <w:rFonts w:ascii="Cambria" w:hAnsi="Cambria"/>
          <w:sz w:val="24"/>
          <w:szCs w:val="24"/>
        </w:rPr>
      </w:pPr>
      <w:r w:rsidRPr="00BF64DA">
        <w:rPr>
          <w:rFonts w:ascii="Cambria" w:hAnsi="Cambria"/>
          <w:sz w:val="24"/>
          <w:szCs w:val="24"/>
        </w:rPr>
        <w:t>Wosny M, et al. The Paradoxes of Digital Tools in Hospitals</w:t>
      </w:r>
    </w:p>
    <w:p w14:paraId="2166B54E" w14:textId="77777777" w:rsidR="00376CE5" w:rsidRPr="00BF64DA" w:rsidRDefault="00376CE5" w:rsidP="004812C3">
      <w:pPr>
        <w:spacing w:after="0" w:line="240" w:lineRule="auto"/>
        <w:ind w:left="360" w:hanging="360"/>
        <w:jc w:val="both"/>
        <w:rPr>
          <w:rFonts w:ascii="Cambria" w:hAnsi="Cambria"/>
          <w:sz w:val="24"/>
          <w:szCs w:val="24"/>
        </w:rPr>
      </w:pPr>
      <w:r w:rsidRPr="00BF64DA">
        <w:rPr>
          <w:rFonts w:ascii="Cambria" w:hAnsi="Cambria"/>
          <w:sz w:val="24"/>
          <w:szCs w:val="24"/>
        </w:rPr>
        <w:t xml:space="preserve">López-Figueroa JC, et al. Digital Leadership: A Systematic Literature Review.  </w:t>
      </w:r>
    </w:p>
    <w:p w14:paraId="7C463033" w14:textId="77777777" w:rsidR="00376CE5" w:rsidRPr="00BF64DA" w:rsidRDefault="00376CE5" w:rsidP="004812C3">
      <w:pPr>
        <w:spacing w:after="0" w:line="240" w:lineRule="auto"/>
        <w:ind w:left="360" w:hanging="360"/>
        <w:jc w:val="both"/>
        <w:rPr>
          <w:rFonts w:ascii="Cambria" w:hAnsi="Cambria"/>
          <w:sz w:val="24"/>
          <w:szCs w:val="24"/>
        </w:rPr>
      </w:pPr>
      <w:r w:rsidRPr="00BF64DA">
        <w:rPr>
          <w:rFonts w:ascii="Cambria" w:hAnsi="Cambria"/>
          <w:sz w:val="24"/>
          <w:szCs w:val="24"/>
        </w:rPr>
        <w:t xml:space="preserve">Petretto DR, et al. Telemedicine, e-Health, and Digital Health Equity.  </w:t>
      </w:r>
    </w:p>
    <w:p w14:paraId="2BB3FD94" w14:textId="77777777" w:rsidR="00376CE5" w:rsidRPr="00BF64DA" w:rsidRDefault="00376CE5" w:rsidP="004812C3">
      <w:pPr>
        <w:spacing w:after="0" w:line="240" w:lineRule="auto"/>
        <w:ind w:left="360" w:hanging="360"/>
        <w:jc w:val="both"/>
        <w:rPr>
          <w:rFonts w:ascii="Cambria" w:hAnsi="Cambria"/>
          <w:sz w:val="24"/>
          <w:szCs w:val="24"/>
        </w:rPr>
      </w:pPr>
      <w:r w:rsidRPr="00BF64DA">
        <w:rPr>
          <w:rFonts w:ascii="Cambria" w:hAnsi="Cambria"/>
          <w:sz w:val="24"/>
          <w:szCs w:val="24"/>
        </w:rPr>
        <w:t>Petretto DR, et al. Digital determinants of health DOI:10.1177/22799036231220352</w:t>
      </w:r>
      <w:hyperlink r:id="rId14" w:tgtFrame="_blank" w:history="1"/>
    </w:p>
    <w:p w14:paraId="3313E3B8" w14:textId="77777777" w:rsidR="00376CE5" w:rsidRPr="00BF64DA" w:rsidRDefault="00376CE5" w:rsidP="004812C3">
      <w:pPr>
        <w:spacing w:after="0" w:line="240" w:lineRule="auto"/>
        <w:ind w:left="360" w:hanging="360"/>
        <w:jc w:val="both"/>
        <w:rPr>
          <w:rFonts w:ascii="Cambria" w:hAnsi="Cambria"/>
          <w:sz w:val="24"/>
          <w:szCs w:val="24"/>
        </w:rPr>
      </w:pPr>
      <w:r w:rsidRPr="00BF64DA">
        <w:rPr>
          <w:rFonts w:ascii="Cambria" w:hAnsi="Cambria"/>
          <w:sz w:val="24"/>
          <w:szCs w:val="24"/>
        </w:rPr>
        <w:t xml:space="preserve">Badr J, et al. Digital health technologies and inequalities: A scoping  </w:t>
      </w:r>
    </w:p>
    <w:p w14:paraId="1D13D23A" w14:textId="77777777" w:rsidR="00376CE5" w:rsidRPr="00BF64DA" w:rsidRDefault="00376CE5" w:rsidP="004812C3">
      <w:pPr>
        <w:spacing w:after="0" w:line="240" w:lineRule="auto"/>
        <w:ind w:left="360" w:hanging="360"/>
        <w:jc w:val="both"/>
        <w:rPr>
          <w:rFonts w:ascii="Cambria" w:hAnsi="Cambria"/>
          <w:sz w:val="24"/>
          <w:szCs w:val="24"/>
        </w:rPr>
      </w:pPr>
      <w:r w:rsidRPr="00BF64DA">
        <w:rPr>
          <w:rFonts w:ascii="Cambria" w:hAnsi="Cambria"/>
          <w:sz w:val="24"/>
          <w:szCs w:val="24"/>
        </w:rPr>
        <w:t>Wik M, et al. The policy-practice divide: How assumptions undermine (2025)</w:t>
      </w:r>
      <w:hyperlink r:id="rId15" w:tgtFrame="_blank" w:history="1"/>
    </w:p>
    <w:p w14:paraId="1C74C062" w14:textId="77777777" w:rsidR="00376CE5" w:rsidRPr="00BF64DA" w:rsidRDefault="00376CE5" w:rsidP="004812C3">
      <w:pPr>
        <w:spacing w:after="0" w:line="240" w:lineRule="auto"/>
        <w:ind w:left="360" w:hanging="360"/>
        <w:jc w:val="both"/>
        <w:rPr>
          <w:rFonts w:ascii="Cambria" w:hAnsi="Cambria"/>
          <w:sz w:val="24"/>
          <w:szCs w:val="24"/>
        </w:rPr>
      </w:pPr>
      <w:r w:rsidRPr="00BF64DA">
        <w:rPr>
          <w:rFonts w:ascii="Cambria" w:hAnsi="Cambria"/>
          <w:sz w:val="24"/>
          <w:szCs w:val="24"/>
        </w:rPr>
        <w:t>Spanos S, et al. Healthcare leaders navigating complexity DOI:10.1186/s12909-024-05689-4</w:t>
      </w:r>
      <w:hyperlink r:id="rId16" w:tgtFrame="_blank" w:history="1"/>
    </w:p>
    <w:p w14:paraId="460523C0" w14:textId="77777777" w:rsidR="00376CE5" w:rsidRPr="00BF64DA" w:rsidRDefault="00376CE5" w:rsidP="004812C3">
      <w:pPr>
        <w:spacing w:after="0" w:line="240" w:lineRule="auto"/>
        <w:ind w:left="360" w:hanging="360"/>
        <w:jc w:val="both"/>
        <w:rPr>
          <w:rFonts w:ascii="Cambria" w:hAnsi="Cambria"/>
          <w:sz w:val="24"/>
          <w:szCs w:val="24"/>
        </w:rPr>
      </w:pPr>
      <w:r w:rsidRPr="00BF64DA">
        <w:rPr>
          <w:rFonts w:ascii="Cambria" w:hAnsi="Cambria"/>
          <w:sz w:val="24"/>
          <w:szCs w:val="24"/>
        </w:rPr>
        <w:t xml:space="preserve">Denicolai S, et al. Innovation strategy and digital transformation execution   </w:t>
      </w:r>
    </w:p>
    <w:p w14:paraId="4E3966C6" w14:textId="77777777" w:rsidR="00376CE5" w:rsidRPr="00BF64DA" w:rsidRDefault="00376CE5" w:rsidP="004812C3">
      <w:pPr>
        <w:spacing w:after="0" w:line="240" w:lineRule="auto"/>
        <w:ind w:left="360" w:hanging="360"/>
        <w:jc w:val="both"/>
        <w:rPr>
          <w:rFonts w:ascii="Cambria" w:hAnsi="Cambria"/>
          <w:sz w:val="24"/>
          <w:szCs w:val="24"/>
        </w:rPr>
      </w:pPr>
      <w:r w:rsidRPr="00BF64DA">
        <w:rPr>
          <w:rFonts w:ascii="Cambria" w:hAnsi="Cambria"/>
          <w:sz w:val="24"/>
          <w:szCs w:val="24"/>
        </w:rPr>
        <w:t xml:space="preserve">Tsekouropoulos G, et al. Leadership 4.0: Navigating the Challenges of the Digital Transformation in Healthcare   </w:t>
      </w:r>
    </w:p>
    <w:p w14:paraId="0B289499" w14:textId="77777777" w:rsidR="00376CE5" w:rsidRPr="00BF64DA" w:rsidRDefault="00376CE5" w:rsidP="004812C3">
      <w:pPr>
        <w:spacing w:after="0" w:line="240" w:lineRule="auto"/>
        <w:ind w:left="360" w:hanging="360"/>
        <w:jc w:val="both"/>
        <w:rPr>
          <w:rFonts w:ascii="Cambria" w:hAnsi="Cambria"/>
          <w:sz w:val="24"/>
          <w:szCs w:val="24"/>
        </w:rPr>
      </w:pPr>
      <w:r w:rsidRPr="00BF64DA">
        <w:rPr>
          <w:rFonts w:ascii="Cambria" w:hAnsi="Cambria"/>
          <w:sz w:val="24"/>
          <w:szCs w:val="24"/>
        </w:rPr>
        <w:lastRenderedPageBreak/>
        <w:t xml:space="preserve">Jonassen Z, et al. A qualitative analysis of remote patient monitoring: how a paradox mindset can support balancing emotional tensions  </w:t>
      </w:r>
    </w:p>
    <w:p w14:paraId="2ED95CD1" w14:textId="77777777" w:rsidR="00376CE5" w:rsidRPr="00BF64DA" w:rsidRDefault="00376CE5" w:rsidP="004812C3">
      <w:pPr>
        <w:spacing w:after="0" w:line="240" w:lineRule="auto"/>
        <w:ind w:left="360" w:hanging="360"/>
        <w:jc w:val="both"/>
        <w:rPr>
          <w:rFonts w:ascii="Cambria" w:hAnsi="Cambria"/>
          <w:sz w:val="24"/>
          <w:szCs w:val="24"/>
        </w:rPr>
      </w:pPr>
      <w:r w:rsidRPr="00BF64DA">
        <w:rPr>
          <w:rFonts w:ascii="Cambria" w:hAnsi="Cambria"/>
          <w:sz w:val="24"/>
          <w:szCs w:val="24"/>
        </w:rPr>
        <w:t>Ahsan M, Siddique Z. Industry 4.0 in Health care: A systematic review. (preprint</w:t>
      </w:r>
    </w:p>
    <w:bookmarkEnd w:id="2"/>
    <w:p w14:paraId="63CA9058" w14:textId="77777777" w:rsidR="00376CE5" w:rsidRPr="00BF64DA" w:rsidRDefault="00376CE5" w:rsidP="004812C3">
      <w:pPr>
        <w:spacing w:after="0" w:line="240" w:lineRule="auto"/>
        <w:ind w:hanging="360"/>
        <w:jc w:val="both"/>
        <w:rPr>
          <w:rFonts w:ascii="Cambria" w:hAnsi="Cambria"/>
          <w:sz w:val="24"/>
          <w:szCs w:val="24"/>
        </w:rPr>
      </w:pPr>
    </w:p>
    <w:sectPr w:rsidR="00376CE5" w:rsidRPr="00BF64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06054"/>
    <w:multiLevelType w:val="multilevel"/>
    <w:tmpl w:val="6982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17F6C"/>
    <w:multiLevelType w:val="multilevel"/>
    <w:tmpl w:val="3A846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9A1470"/>
    <w:multiLevelType w:val="multilevel"/>
    <w:tmpl w:val="9DD8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A3125"/>
    <w:multiLevelType w:val="multilevel"/>
    <w:tmpl w:val="3594F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D24D2B"/>
    <w:multiLevelType w:val="multilevel"/>
    <w:tmpl w:val="2E803DEC"/>
    <w:lvl w:ilvl="0">
      <w:start w:val="1"/>
      <w:numFmt w:val="bullet"/>
      <w:lvlText w:val=""/>
      <w:lvlJc w:val="left"/>
      <w:pPr>
        <w:tabs>
          <w:tab w:val="num" w:pos="720"/>
        </w:tabs>
        <w:ind w:left="720" w:hanging="360"/>
      </w:pPr>
      <w:rPr>
        <w:rFonts w:ascii="Symbol" w:hAnsi="Symbol" w:hint="default"/>
        <w:sz w:val="20"/>
      </w:rPr>
    </w:lvl>
    <w:lvl w:ilvl="1">
      <w:start w:val="1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254C4"/>
    <w:multiLevelType w:val="multilevel"/>
    <w:tmpl w:val="3260F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69009E"/>
    <w:multiLevelType w:val="multilevel"/>
    <w:tmpl w:val="D5BC21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1F2B4C"/>
    <w:multiLevelType w:val="multilevel"/>
    <w:tmpl w:val="6AFA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642C9F"/>
    <w:multiLevelType w:val="multilevel"/>
    <w:tmpl w:val="F5AC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3E4E65"/>
    <w:multiLevelType w:val="multilevel"/>
    <w:tmpl w:val="5E58B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E52F5F"/>
    <w:multiLevelType w:val="multilevel"/>
    <w:tmpl w:val="1FBEF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8D6490"/>
    <w:multiLevelType w:val="multilevel"/>
    <w:tmpl w:val="56BA8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5C3F1B"/>
    <w:multiLevelType w:val="multilevel"/>
    <w:tmpl w:val="631CA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5134E72"/>
    <w:multiLevelType w:val="multilevel"/>
    <w:tmpl w:val="6B3C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6503E3"/>
    <w:multiLevelType w:val="multilevel"/>
    <w:tmpl w:val="7B3C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62436C"/>
    <w:multiLevelType w:val="multilevel"/>
    <w:tmpl w:val="AE3A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8"/>
  </w:num>
  <w:num w:numId="4">
    <w:abstractNumId w:val="14"/>
  </w:num>
  <w:num w:numId="5">
    <w:abstractNumId w:val="4"/>
  </w:num>
  <w:num w:numId="6">
    <w:abstractNumId w:val="2"/>
  </w:num>
  <w:num w:numId="7">
    <w:abstractNumId w:val="6"/>
  </w:num>
  <w:num w:numId="8">
    <w:abstractNumId w:val="15"/>
  </w:num>
  <w:num w:numId="9">
    <w:abstractNumId w:val="3"/>
  </w:num>
  <w:num w:numId="10">
    <w:abstractNumId w:val="12"/>
  </w:num>
  <w:num w:numId="11">
    <w:abstractNumId w:val="9"/>
  </w:num>
  <w:num w:numId="12">
    <w:abstractNumId w:val="13"/>
  </w:num>
  <w:num w:numId="13">
    <w:abstractNumId w:val="10"/>
  </w:num>
  <w:num w:numId="14">
    <w:abstractNumId w:val="7"/>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545"/>
    <w:rsid w:val="000F176E"/>
    <w:rsid w:val="002A4D8E"/>
    <w:rsid w:val="00376CE5"/>
    <w:rsid w:val="004812C3"/>
    <w:rsid w:val="00534A15"/>
    <w:rsid w:val="00635091"/>
    <w:rsid w:val="007C331B"/>
    <w:rsid w:val="00826ECD"/>
    <w:rsid w:val="00B927A7"/>
    <w:rsid w:val="00BF64DA"/>
    <w:rsid w:val="00D85C88"/>
    <w:rsid w:val="00E73356"/>
    <w:rsid w:val="00F034AD"/>
    <w:rsid w:val="00F037D3"/>
    <w:rsid w:val="00F04545"/>
    <w:rsid w:val="00FE050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E5E7E"/>
  <w15:chartTrackingRefBased/>
  <w15:docId w15:val="{52953542-601D-4E41-B5D3-0BA48BC55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76CE5"/>
    <w:pPr>
      <w:spacing w:before="100" w:beforeAutospacing="1" w:after="100" w:afterAutospacing="1" w:line="240" w:lineRule="auto"/>
      <w:outlineLvl w:val="1"/>
    </w:pPr>
    <w:rPr>
      <w:rFonts w:ascii="Times New Roman" w:eastAsia="Times New Roman" w:hAnsi="Times New Roman" w:cs="Times New Roman"/>
      <w:b/>
      <w:bCs/>
      <w:sz w:val="36"/>
      <w:szCs w:val="36"/>
      <w:lang w:eastAsia="en-ID"/>
    </w:rPr>
  </w:style>
  <w:style w:type="paragraph" w:styleId="Heading3">
    <w:name w:val="heading 3"/>
    <w:basedOn w:val="Normal"/>
    <w:link w:val="Heading3Char"/>
    <w:uiPriority w:val="9"/>
    <w:qFormat/>
    <w:rsid w:val="00376CE5"/>
    <w:pPr>
      <w:spacing w:before="100" w:beforeAutospacing="1" w:after="100" w:afterAutospacing="1" w:line="240" w:lineRule="auto"/>
      <w:outlineLvl w:val="2"/>
    </w:pPr>
    <w:rPr>
      <w:rFonts w:ascii="Times New Roman" w:eastAsia="Times New Roman" w:hAnsi="Times New Roman" w:cs="Times New Roman"/>
      <w:b/>
      <w:bCs/>
      <w:sz w:val="27"/>
      <w:szCs w:val="27"/>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6CE5"/>
    <w:rPr>
      <w:rFonts w:ascii="Times New Roman" w:eastAsia="Times New Roman" w:hAnsi="Times New Roman" w:cs="Times New Roman"/>
      <w:b/>
      <w:bCs/>
      <w:sz w:val="36"/>
      <w:szCs w:val="36"/>
      <w:lang w:eastAsia="en-ID"/>
    </w:rPr>
  </w:style>
  <w:style w:type="character" w:customStyle="1" w:styleId="Heading3Char">
    <w:name w:val="Heading 3 Char"/>
    <w:basedOn w:val="DefaultParagraphFont"/>
    <w:link w:val="Heading3"/>
    <w:uiPriority w:val="9"/>
    <w:rsid w:val="00376CE5"/>
    <w:rPr>
      <w:rFonts w:ascii="Times New Roman" w:eastAsia="Times New Roman" w:hAnsi="Times New Roman" w:cs="Times New Roman"/>
      <w:b/>
      <w:bCs/>
      <w:sz w:val="27"/>
      <w:szCs w:val="27"/>
      <w:lang w:eastAsia="en-ID"/>
    </w:rPr>
  </w:style>
  <w:style w:type="character" w:styleId="Strong">
    <w:name w:val="Strong"/>
    <w:basedOn w:val="DefaultParagraphFont"/>
    <w:uiPriority w:val="22"/>
    <w:qFormat/>
    <w:rsid w:val="00376CE5"/>
    <w:rPr>
      <w:b/>
      <w:bCs/>
    </w:rPr>
  </w:style>
  <w:style w:type="paragraph" w:styleId="ListParagraph">
    <w:name w:val="List Paragraph"/>
    <w:basedOn w:val="Normal"/>
    <w:uiPriority w:val="34"/>
    <w:qFormat/>
    <w:rsid w:val="00376CE5"/>
    <w:pPr>
      <w:ind w:left="720"/>
      <w:contextualSpacing/>
    </w:pPr>
  </w:style>
  <w:style w:type="table" w:styleId="TableGrid">
    <w:name w:val="Table Grid"/>
    <w:basedOn w:val="TableNormal"/>
    <w:uiPriority w:val="39"/>
    <w:rsid w:val="00376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6CE5"/>
    <w:rPr>
      <w:color w:val="0563C1" w:themeColor="hyperlink"/>
      <w:u w:val="single"/>
    </w:rPr>
  </w:style>
  <w:style w:type="character" w:styleId="UnresolvedMention">
    <w:name w:val="Unresolved Mention"/>
    <w:basedOn w:val="DefaultParagraphFont"/>
    <w:uiPriority w:val="99"/>
    <w:semiHidden/>
    <w:unhideWhenUsed/>
    <w:rsid w:val="00376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50527">
      <w:bodyDiv w:val="1"/>
      <w:marLeft w:val="0"/>
      <w:marRight w:val="0"/>
      <w:marTop w:val="0"/>
      <w:marBottom w:val="0"/>
      <w:divBdr>
        <w:top w:val="none" w:sz="0" w:space="0" w:color="auto"/>
        <w:left w:val="none" w:sz="0" w:space="0" w:color="auto"/>
        <w:bottom w:val="none" w:sz="0" w:space="0" w:color="auto"/>
        <w:right w:val="none" w:sz="0" w:space="0" w:color="auto"/>
      </w:divBdr>
      <w:divsChild>
        <w:div w:id="2039770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3853859">
      <w:bodyDiv w:val="1"/>
      <w:marLeft w:val="0"/>
      <w:marRight w:val="0"/>
      <w:marTop w:val="0"/>
      <w:marBottom w:val="0"/>
      <w:divBdr>
        <w:top w:val="none" w:sz="0" w:space="0" w:color="auto"/>
        <w:left w:val="none" w:sz="0" w:space="0" w:color="auto"/>
        <w:bottom w:val="none" w:sz="0" w:space="0" w:color="auto"/>
        <w:right w:val="none" w:sz="0" w:space="0" w:color="auto"/>
      </w:divBdr>
    </w:div>
    <w:div w:id="640571965">
      <w:bodyDiv w:val="1"/>
      <w:marLeft w:val="0"/>
      <w:marRight w:val="0"/>
      <w:marTop w:val="0"/>
      <w:marBottom w:val="0"/>
      <w:divBdr>
        <w:top w:val="none" w:sz="0" w:space="0" w:color="auto"/>
        <w:left w:val="none" w:sz="0" w:space="0" w:color="auto"/>
        <w:bottom w:val="none" w:sz="0" w:space="0" w:color="auto"/>
        <w:right w:val="none" w:sz="0" w:space="0" w:color="auto"/>
      </w:divBdr>
    </w:div>
    <w:div w:id="642856302">
      <w:bodyDiv w:val="1"/>
      <w:marLeft w:val="0"/>
      <w:marRight w:val="0"/>
      <w:marTop w:val="0"/>
      <w:marBottom w:val="0"/>
      <w:divBdr>
        <w:top w:val="none" w:sz="0" w:space="0" w:color="auto"/>
        <w:left w:val="none" w:sz="0" w:space="0" w:color="auto"/>
        <w:bottom w:val="none" w:sz="0" w:space="0" w:color="auto"/>
        <w:right w:val="none" w:sz="0" w:space="0" w:color="auto"/>
      </w:divBdr>
    </w:div>
    <w:div w:id="872424623">
      <w:bodyDiv w:val="1"/>
      <w:marLeft w:val="0"/>
      <w:marRight w:val="0"/>
      <w:marTop w:val="0"/>
      <w:marBottom w:val="0"/>
      <w:divBdr>
        <w:top w:val="none" w:sz="0" w:space="0" w:color="auto"/>
        <w:left w:val="none" w:sz="0" w:space="0" w:color="auto"/>
        <w:bottom w:val="none" w:sz="0" w:space="0" w:color="auto"/>
        <w:right w:val="none" w:sz="0" w:space="0" w:color="auto"/>
      </w:divBdr>
      <w:divsChild>
        <w:div w:id="754596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1451744">
      <w:bodyDiv w:val="1"/>
      <w:marLeft w:val="0"/>
      <w:marRight w:val="0"/>
      <w:marTop w:val="0"/>
      <w:marBottom w:val="0"/>
      <w:divBdr>
        <w:top w:val="none" w:sz="0" w:space="0" w:color="auto"/>
        <w:left w:val="none" w:sz="0" w:space="0" w:color="auto"/>
        <w:bottom w:val="none" w:sz="0" w:space="0" w:color="auto"/>
        <w:right w:val="none" w:sz="0" w:space="0" w:color="auto"/>
      </w:divBdr>
      <w:divsChild>
        <w:div w:id="1352954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1168299">
      <w:bodyDiv w:val="1"/>
      <w:marLeft w:val="0"/>
      <w:marRight w:val="0"/>
      <w:marTop w:val="0"/>
      <w:marBottom w:val="0"/>
      <w:divBdr>
        <w:top w:val="none" w:sz="0" w:space="0" w:color="auto"/>
        <w:left w:val="none" w:sz="0" w:space="0" w:color="auto"/>
        <w:bottom w:val="none" w:sz="0" w:space="0" w:color="auto"/>
        <w:right w:val="none" w:sz="0" w:space="0" w:color="auto"/>
      </w:divBdr>
      <w:divsChild>
        <w:div w:id="2064674269">
          <w:marLeft w:val="0"/>
          <w:marRight w:val="0"/>
          <w:marTop w:val="0"/>
          <w:marBottom w:val="0"/>
          <w:divBdr>
            <w:top w:val="none" w:sz="0" w:space="0" w:color="auto"/>
            <w:left w:val="none" w:sz="0" w:space="0" w:color="auto"/>
            <w:bottom w:val="none" w:sz="0" w:space="0" w:color="auto"/>
            <w:right w:val="none" w:sz="0" w:space="0" w:color="auto"/>
          </w:divBdr>
          <w:divsChild>
            <w:div w:id="117451989">
              <w:marLeft w:val="0"/>
              <w:marRight w:val="0"/>
              <w:marTop w:val="0"/>
              <w:marBottom w:val="0"/>
              <w:divBdr>
                <w:top w:val="none" w:sz="0" w:space="0" w:color="auto"/>
                <w:left w:val="none" w:sz="0" w:space="0" w:color="auto"/>
                <w:bottom w:val="none" w:sz="0" w:space="0" w:color="auto"/>
                <w:right w:val="none" w:sz="0" w:space="0" w:color="auto"/>
              </w:divBdr>
            </w:div>
          </w:divsChild>
        </w:div>
        <w:div w:id="208078053">
          <w:marLeft w:val="0"/>
          <w:marRight w:val="0"/>
          <w:marTop w:val="0"/>
          <w:marBottom w:val="0"/>
          <w:divBdr>
            <w:top w:val="none" w:sz="0" w:space="0" w:color="auto"/>
            <w:left w:val="none" w:sz="0" w:space="0" w:color="auto"/>
            <w:bottom w:val="none" w:sz="0" w:space="0" w:color="auto"/>
            <w:right w:val="none" w:sz="0" w:space="0" w:color="auto"/>
          </w:divBdr>
          <w:divsChild>
            <w:div w:id="22144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18884">
      <w:bodyDiv w:val="1"/>
      <w:marLeft w:val="0"/>
      <w:marRight w:val="0"/>
      <w:marTop w:val="0"/>
      <w:marBottom w:val="0"/>
      <w:divBdr>
        <w:top w:val="none" w:sz="0" w:space="0" w:color="auto"/>
        <w:left w:val="none" w:sz="0" w:space="0" w:color="auto"/>
        <w:bottom w:val="none" w:sz="0" w:space="0" w:color="auto"/>
        <w:right w:val="none" w:sz="0" w:space="0" w:color="auto"/>
      </w:divBdr>
    </w:div>
    <w:div w:id="1658412761">
      <w:bodyDiv w:val="1"/>
      <w:marLeft w:val="0"/>
      <w:marRight w:val="0"/>
      <w:marTop w:val="0"/>
      <w:marBottom w:val="0"/>
      <w:divBdr>
        <w:top w:val="none" w:sz="0" w:space="0" w:color="auto"/>
        <w:left w:val="none" w:sz="0" w:space="0" w:color="auto"/>
        <w:bottom w:val="none" w:sz="0" w:space="0" w:color="auto"/>
        <w:right w:val="none" w:sz="0" w:space="0" w:color="auto"/>
      </w:divBdr>
    </w:div>
    <w:div w:id="1703631093">
      <w:bodyDiv w:val="1"/>
      <w:marLeft w:val="0"/>
      <w:marRight w:val="0"/>
      <w:marTop w:val="0"/>
      <w:marBottom w:val="0"/>
      <w:divBdr>
        <w:top w:val="none" w:sz="0" w:space="0" w:color="auto"/>
        <w:left w:val="none" w:sz="0" w:space="0" w:color="auto"/>
        <w:bottom w:val="none" w:sz="0" w:space="0" w:color="auto"/>
        <w:right w:val="none" w:sz="0" w:space="0" w:color="auto"/>
      </w:divBdr>
    </w:div>
    <w:div w:id="1734153830">
      <w:bodyDiv w:val="1"/>
      <w:marLeft w:val="0"/>
      <w:marRight w:val="0"/>
      <w:marTop w:val="0"/>
      <w:marBottom w:val="0"/>
      <w:divBdr>
        <w:top w:val="none" w:sz="0" w:space="0" w:color="auto"/>
        <w:left w:val="none" w:sz="0" w:space="0" w:color="auto"/>
        <w:bottom w:val="none" w:sz="0" w:space="0" w:color="auto"/>
        <w:right w:val="none" w:sz="0" w:space="0" w:color="auto"/>
      </w:divBdr>
      <w:divsChild>
        <w:div w:id="969674743">
          <w:marLeft w:val="0"/>
          <w:marRight w:val="0"/>
          <w:marTop w:val="0"/>
          <w:marBottom w:val="0"/>
          <w:divBdr>
            <w:top w:val="none" w:sz="0" w:space="0" w:color="auto"/>
            <w:left w:val="none" w:sz="0" w:space="0" w:color="auto"/>
            <w:bottom w:val="none" w:sz="0" w:space="0" w:color="auto"/>
            <w:right w:val="none" w:sz="0" w:space="0" w:color="auto"/>
          </w:divBdr>
          <w:divsChild>
            <w:div w:id="37389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5765">
      <w:bodyDiv w:val="1"/>
      <w:marLeft w:val="0"/>
      <w:marRight w:val="0"/>
      <w:marTop w:val="0"/>
      <w:marBottom w:val="0"/>
      <w:divBdr>
        <w:top w:val="none" w:sz="0" w:space="0" w:color="auto"/>
        <w:left w:val="none" w:sz="0" w:space="0" w:color="auto"/>
        <w:bottom w:val="none" w:sz="0" w:space="0" w:color="auto"/>
        <w:right w:val="none" w:sz="0" w:space="0" w:color="auto"/>
      </w:divBdr>
      <w:divsChild>
        <w:div w:id="1823352342">
          <w:blockQuote w:val="1"/>
          <w:marLeft w:val="720"/>
          <w:marRight w:val="720"/>
          <w:marTop w:val="100"/>
          <w:marBottom w:val="100"/>
          <w:divBdr>
            <w:top w:val="none" w:sz="0" w:space="0" w:color="auto"/>
            <w:left w:val="none" w:sz="0" w:space="0" w:color="auto"/>
            <w:bottom w:val="none" w:sz="0" w:space="0" w:color="auto"/>
            <w:right w:val="none" w:sz="0" w:space="0" w:color="auto"/>
          </w:divBdr>
        </w:div>
        <w:div w:id="7384809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4945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1924136">
      <w:bodyDiv w:val="1"/>
      <w:marLeft w:val="0"/>
      <w:marRight w:val="0"/>
      <w:marTop w:val="0"/>
      <w:marBottom w:val="0"/>
      <w:divBdr>
        <w:top w:val="none" w:sz="0" w:space="0" w:color="auto"/>
        <w:left w:val="none" w:sz="0" w:space="0" w:color="auto"/>
        <w:bottom w:val="none" w:sz="0" w:space="0" w:color="auto"/>
        <w:right w:val="none" w:sz="0" w:space="0" w:color="auto"/>
      </w:divBdr>
      <w:divsChild>
        <w:div w:id="1066294422">
          <w:marLeft w:val="0"/>
          <w:marRight w:val="0"/>
          <w:marTop w:val="0"/>
          <w:marBottom w:val="0"/>
          <w:divBdr>
            <w:top w:val="none" w:sz="0" w:space="0" w:color="auto"/>
            <w:left w:val="none" w:sz="0" w:space="0" w:color="auto"/>
            <w:bottom w:val="none" w:sz="0" w:space="0" w:color="auto"/>
            <w:right w:val="none" w:sz="0" w:space="0" w:color="auto"/>
          </w:divBdr>
          <w:divsChild>
            <w:div w:id="1184980750">
              <w:marLeft w:val="0"/>
              <w:marRight w:val="0"/>
              <w:marTop w:val="0"/>
              <w:marBottom w:val="0"/>
              <w:divBdr>
                <w:top w:val="none" w:sz="0" w:space="0" w:color="auto"/>
                <w:left w:val="none" w:sz="0" w:space="0" w:color="auto"/>
                <w:bottom w:val="none" w:sz="0" w:space="0" w:color="auto"/>
                <w:right w:val="none" w:sz="0" w:space="0" w:color="auto"/>
              </w:divBdr>
            </w:div>
          </w:divsChild>
        </w:div>
        <w:div w:id="3629733">
          <w:marLeft w:val="0"/>
          <w:marRight w:val="0"/>
          <w:marTop w:val="0"/>
          <w:marBottom w:val="0"/>
          <w:divBdr>
            <w:top w:val="none" w:sz="0" w:space="0" w:color="auto"/>
            <w:left w:val="none" w:sz="0" w:space="0" w:color="auto"/>
            <w:bottom w:val="none" w:sz="0" w:space="0" w:color="auto"/>
            <w:right w:val="none" w:sz="0" w:space="0" w:color="auto"/>
          </w:divBdr>
          <w:divsChild>
            <w:div w:id="14223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mc.ncbi.nlm.nih.gov/articles/PMC8905475/?utm_source=chatgpt.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yantianeta@ung.ac.id"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mcmededuc.biomedcentral.com/articles/10.1186/s12909-024-05689-4?utm_source=chatgpt.com" TargetMode="External"/><Relationship Id="rId1" Type="http://schemas.openxmlformats.org/officeDocument/2006/relationships/numbering" Target="numbering.xml"/><Relationship Id="rId6" Type="http://schemas.openxmlformats.org/officeDocument/2006/relationships/hyperlink" Target="mailto:asnaatiek.aneta@ung.ac.id" TargetMode="External"/><Relationship Id="rId11" Type="http://schemas.openxmlformats.org/officeDocument/2006/relationships/image" Target="media/image4.png"/><Relationship Id="rId5" Type="http://schemas.openxmlformats.org/officeDocument/2006/relationships/hyperlink" Target="mailto:fidimustafa112@gmail.com" TargetMode="External"/><Relationship Id="rId15" Type="http://schemas.openxmlformats.org/officeDocument/2006/relationships/hyperlink" Target="https://www.sciencedirect.com/science/article/pii/S0740624X25000218?utm_source=chatgpt.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journals.sagepub.com/doi/10.1177/22799036231220352?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3914</Words>
  <Characters>22311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2025-10-10T09:33:00Z</dcterms:created>
  <dcterms:modified xsi:type="dcterms:W3CDTF">2025-10-10T15:36:00Z</dcterms:modified>
</cp:coreProperties>
</file>