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F1E1" w14:textId="4D894052" w:rsidR="00DD3799" w:rsidRPr="00DD3799" w:rsidRDefault="006545B7" w:rsidP="008938DD">
      <w:pPr>
        <w:spacing w:after="0" w:line="240" w:lineRule="auto"/>
        <w:ind w:right="-2"/>
        <w:rPr>
          <w:rFonts w:ascii="Cambria" w:eastAsia="Times New Roman" w:hAnsi="Cambria" w:cs="Times New Roman"/>
          <w:b/>
          <w:color w:val="E8850E"/>
          <w:sz w:val="48"/>
          <w:szCs w:val="48"/>
        </w:rPr>
      </w:pPr>
      <w:r>
        <w:rPr>
          <w:noProof/>
        </w:rPr>
        <mc:AlternateContent>
          <mc:Choice Requires="wps">
            <w:drawing>
              <wp:anchor distT="0" distB="0" distL="114300" distR="114300" simplePos="0" relativeHeight="251659264" behindDoc="0" locked="0" layoutInCell="1" hidden="0" allowOverlap="1" wp14:anchorId="49C320F2" wp14:editId="07D69165">
                <wp:simplePos x="0" y="0"/>
                <wp:positionH relativeFrom="column">
                  <wp:posOffset>3741908</wp:posOffset>
                </wp:positionH>
                <wp:positionV relativeFrom="paragraph">
                  <wp:posOffset>-1417</wp:posOffset>
                </wp:positionV>
                <wp:extent cx="1684020" cy="1772334"/>
                <wp:effectExtent l="0" t="0" r="0" b="0"/>
                <wp:wrapNone/>
                <wp:docPr id="11" name="Rectangle 11"/>
                <wp:cNvGraphicFramePr/>
                <a:graphic xmlns:a="http://schemas.openxmlformats.org/drawingml/2006/main">
                  <a:graphicData uri="http://schemas.microsoft.com/office/word/2010/wordprocessingShape">
                    <wps:wsp>
                      <wps:cNvSpPr/>
                      <wps:spPr>
                        <a:xfrm>
                          <a:off x="0" y="0"/>
                          <a:ext cx="1684020" cy="1772334"/>
                        </a:xfrm>
                        <a:prstGeom prst="rect">
                          <a:avLst/>
                        </a:prstGeom>
                        <a:noFill/>
                        <a:ln>
                          <a:noFill/>
                        </a:ln>
                      </wps:spPr>
                      <wps:txbx>
                        <w:txbxContent>
                          <w:p w14:paraId="5FC94E9B" w14:textId="62772B21"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20"/>
                              </w:rPr>
                              <w:t xml:space="preserve">e-ISSN: </w:t>
                            </w:r>
                            <w:r w:rsidR="007A34B8" w:rsidRPr="007A34B8">
                              <w:rPr>
                                <w:rFonts w:ascii="Cambria" w:eastAsia="Bell MT" w:hAnsi="Cambria" w:cs="Bell MT"/>
                                <w:color w:val="000000"/>
                                <w:sz w:val="20"/>
                              </w:rPr>
                              <w:t>2548-1363</w:t>
                            </w:r>
                          </w:p>
                          <w:p w14:paraId="48D98BF1" w14:textId="77777777" w:rsidR="00DD3799" w:rsidRPr="00DD3799" w:rsidRDefault="00DD3799" w:rsidP="00DD3799">
                            <w:pPr>
                              <w:spacing w:after="0" w:line="240" w:lineRule="auto"/>
                              <w:textDirection w:val="btLr"/>
                              <w:rPr>
                                <w:rFonts w:ascii="Cambria" w:hAnsi="Cambria"/>
                              </w:rPr>
                            </w:pPr>
                          </w:p>
                          <w:p w14:paraId="5CDA6B2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Received: ..........; </w:t>
                            </w:r>
                          </w:p>
                          <w:p w14:paraId="424D7F6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Accepted: ..........; </w:t>
                            </w:r>
                          </w:p>
                          <w:p w14:paraId="321D49CB"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Published: ..........</w:t>
                            </w:r>
                          </w:p>
                          <w:p w14:paraId="512540D8" w14:textId="77777777" w:rsidR="00DD3799" w:rsidRPr="00DD3799" w:rsidRDefault="00DD3799" w:rsidP="00DD3799">
                            <w:pPr>
                              <w:spacing w:after="0" w:line="240" w:lineRule="auto"/>
                              <w:textDirection w:val="btLr"/>
                              <w:rPr>
                                <w:rFonts w:ascii="Cambria" w:hAnsi="Cambria"/>
                              </w:rPr>
                            </w:pPr>
                          </w:p>
                          <w:p w14:paraId="28A7A64B" w14:textId="10FC9395" w:rsidR="00B82DF0" w:rsidRDefault="00DD3799" w:rsidP="00B82DF0">
                            <w:pPr>
                              <w:spacing w:after="0" w:line="240" w:lineRule="auto"/>
                              <w:textDirection w:val="btLr"/>
                              <w:rPr>
                                <w:rFonts w:ascii="Cambria" w:eastAsia="Bell MT" w:hAnsi="Cambria" w:cs="Bell MT"/>
                                <w:color w:val="0563C1"/>
                                <w:sz w:val="18"/>
                              </w:rPr>
                            </w:pPr>
                            <w:r w:rsidRPr="00DD3799">
                              <w:rPr>
                                <w:rFonts w:ascii="Cambria" w:eastAsia="Bell MT" w:hAnsi="Cambria" w:cs="Bell MT"/>
                                <w:color w:val="000000"/>
                                <w:sz w:val="18"/>
                              </w:rPr>
                              <w:t xml:space="preserve">*Corresponding author(s) email: </w:t>
                            </w:r>
                          </w:p>
                          <w:p w14:paraId="26257D54" w14:textId="4FFE742A" w:rsidR="00B82DF0" w:rsidRPr="00B82DF0" w:rsidRDefault="00B82DF0" w:rsidP="00B82DF0">
                            <w:pPr>
                              <w:spacing w:after="0" w:line="240" w:lineRule="auto"/>
                              <w:textDirection w:val="btLr"/>
                              <w:rPr>
                                <w:rFonts w:ascii="Cambria" w:eastAsia="Bell MT" w:hAnsi="Cambria" w:cs="Bell MT"/>
                                <w:color w:val="0563C1"/>
                                <w:sz w:val="18"/>
                              </w:rPr>
                            </w:pPr>
                            <w:r>
                              <w:rPr>
                                <w:rFonts w:ascii="Cambria" w:eastAsia="Bell MT" w:hAnsi="Cambria" w:cs="Bell MT"/>
                                <w:color w:val="0563C1"/>
                                <w:sz w:val="18"/>
                              </w:rPr>
                              <w:t>gemapublica@institution.ac.id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C320F2" id="Rectangle 11" o:spid="_x0000_s1026" style="position:absolute;margin-left:294.65pt;margin-top:-.1pt;width:132.6pt;height:1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" filled="f" stroked="f">
                <v:textbox inset="2.53958mm,1.2694mm,2.53958mm,1.2694mm">
                  <w:txbxContent>
                    <w:p w14:paraId="5FC94E9B" w14:textId="62772B21"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20"/>
                        </w:rPr>
                        <w:t xml:space="preserve">e-ISSN: </w:t>
                      </w:r>
                      <w:r w:rsidR="007A34B8" w:rsidRPr="007A34B8">
                        <w:rPr>
                          <w:rFonts w:ascii="Cambria" w:eastAsia="Bell MT" w:hAnsi="Cambria" w:cs="Bell MT"/>
                          <w:color w:val="000000"/>
                          <w:sz w:val="20"/>
                        </w:rPr>
                        <w:t>2548-1363</w:t>
                      </w:r>
                    </w:p>
                    <w:p w14:paraId="48D98BF1" w14:textId="77777777" w:rsidR="00DD3799" w:rsidRPr="00DD3799" w:rsidRDefault="00DD3799" w:rsidP="00DD3799">
                      <w:pPr>
                        <w:spacing w:after="0" w:line="240" w:lineRule="auto"/>
                        <w:textDirection w:val="btLr"/>
                        <w:rPr>
                          <w:rFonts w:ascii="Cambria" w:hAnsi="Cambria"/>
                        </w:rPr>
                      </w:pPr>
                    </w:p>
                    <w:p w14:paraId="5CDA6B2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Received: ..........; </w:t>
                      </w:r>
                    </w:p>
                    <w:p w14:paraId="424D7F66"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 xml:space="preserve">Accepted: ..........; </w:t>
                      </w:r>
                    </w:p>
                    <w:p w14:paraId="321D49CB" w14:textId="77777777" w:rsidR="00DD3799" w:rsidRPr="00DD3799" w:rsidRDefault="00DD3799" w:rsidP="00DD3799">
                      <w:pPr>
                        <w:spacing w:after="0" w:line="240" w:lineRule="auto"/>
                        <w:textDirection w:val="btLr"/>
                        <w:rPr>
                          <w:rFonts w:ascii="Cambria" w:hAnsi="Cambria"/>
                        </w:rPr>
                      </w:pPr>
                      <w:r w:rsidRPr="00DD3799">
                        <w:rPr>
                          <w:rFonts w:ascii="Cambria" w:eastAsia="Bell MT" w:hAnsi="Cambria" w:cs="Bell MT"/>
                          <w:color w:val="000000"/>
                          <w:sz w:val="18"/>
                        </w:rPr>
                        <w:t>Published: ..........</w:t>
                      </w:r>
                    </w:p>
                    <w:p w14:paraId="512540D8" w14:textId="77777777" w:rsidR="00DD3799" w:rsidRPr="00DD3799" w:rsidRDefault="00DD3799" w:rsidP="00DD3799">
                      <w:pPr>
                        <w:spacing w:after="0" w:line="240" w:lineRule="auto"/>
                        <w:textDirection w:val="btLr"/>
                        <w:rPr>
                          <w:rFonts w:ascii="Cambria" w:hAnsi="Cambria"/>
                        </w:rPr>
                      </w:pPr>
                    </w:p>
                    <w:p w14:paraId="28A7A64B" w14:textId="10FC9395" w:rsidR="00B82DF0" w:rsidRDefault="00DD3799" w:rsidP="00B82DF0">
                      <w:pPr>
                        <w:spacing w:after="0" w:line="240" w:lineRule="auto"/>
                        <w:textDirection w:val="btLr"/>
                        <w:rPr>
                          <w:rFonts w:ascii="Cambria" w:eastAsia="Bell MT" w:hAnsi="Cambria" w:cs="Bell MT"/>
                          <w:color w:val="0563C1"/>
                          <w:sz w:val="18"/>
                        </w:rPr>
                      </w:pPr>
                      <w:r w:rsidRPr="00DD3799">
                        <w:rPr>
                          <w:rFonts w:ascii="Cambria" w:eastAsia="Bell MT" w:hAnsi="Cambria" w:cs="Bell MT"/>
                          <w:color w:val="000000"/>
                          <w:sz w:val="18"/>
                        </w:rPr>
                        <w:t xml:space="preserve">*Corresponding author(s) email: </w:t>
                      </w:r>
                    </w:p>
                    <w:p w14:paraId="26257D54" w14:textId="4FFE742A" w:rsidR="00B82DF0" w:rsidRPr="00B82DF0" w:rsidRDefault="00B82DF0" w:rsidP="00B82DF0">
                      <w:pPr>
                        <w:spacing w:after="0" w:line="240" w:lineRule="auto"/>
                        <w:textDirection w:val="btLr"/>
                        <w:rPr>
                          <w:rFonts w:ascii="Cambria" w:eastAsia="Bell MT" w:hAnsi="Cambria" w:cs="Bell MT"/>
                          <w:color w:val="0563C1"/>
                          <w:sz w:val="18"/>
                        </w:rPr>
                      </w:pPr>
                      <w:r>
                        <w:rPr>
                          <w:rFonts w:ascii="Cambria" w:eastAsia="Bell MT" w:hAnsi="Cambria" w:cs="Bell MT"/>
                          <w:color w:val="0563C1"/>
                          <w:sz w:val="18"/>
                        </w:rPr>
                        <w:t>gemapublica@institution.ac.id</w:t>
                      </w:r>
                    </w:p>
                  </w:txbxContent>
                </v:textbox>
              </v:rect>
            </w:pict>
          </mc:Fallback>
        </mc:AlternateContent>
      </w:r>
      <w:r w:rsidR="00DD3799" w:rsidRPr="00DD3799">
        <w:rPr>
          <w:rFonts w:ascii="Cambria" w:eastAsia="Times New Roman" w:hAnsi="Cambria" w:cs="Times New Roman"/>
          <w:b/>
          <w:color w:val="E8850E"/>
          <w:sz w:val="48"/>
          <w:szCs w:val="48"/>
        </w:rPr>
        <w:t xml:space="preserve">Gema </w:t>
      </w:r>
      <w:r w:rsidR="00DD3799" w:rsidRPr="00DD3799">
        <w:rPr>
          <w:rFonts w:ascii="Cambria" w:eastAsia="Times New Roman" w:hAnsi="Cambria" w:cs="Times New Roman"/>
          <w:b/>
          <w:color w:val="4472C4" w:themeColor="accent1"/>
          <w:sz w:val="48"/>
          <w:szCs w:val="48"/>
        </w:rPr>
        <w:t>Publica</w:t>
      </w:r>
    </w:p>
    <w:p w14:paraId="3B3EB62E" w14:textId="63A86074" w:rsidR="00B82DF0" w:rsidRPr="00B82DF0" w:rsidRDefault="00DD3799" w:rsidP="008938DD">
      <w:pPr>
        <w:spacing w:line="360" w:lineRule="auto"/>
        <w:ind w:right="-2"/>
        <w:rPr>
          <w:rFonts w:ascii="Cambria" w:eastAsia="Times New Roman" w:hAnsi="Cambria" w:cs="Times New Roman"/>
          <w:bCs/>
          <w:sz w:val="18"/>
          <w:szCs w:val="18"/>
        </w:rPr>
      </w:pPr>
      <w:proofErr w:type="spellStart"/>
      <w:r w:rsidRPr="00DD3799">
        <w:rPr>
          <w:rFonts w:ascii="Cambria" w:eastAsia="Times New Roman" w:hAnsi="Cambria" w:cs="Times New Roman"/>
          <w:bCs/>
          <w:sz w:val="18"/>
          <w:szCs w:val="18"/>
        </w:rPr>
        <w:t>Jurnal</w:t>
      </w:r>
      <w:proofErr w:type="spellEnd"/>
      <w:r w:rsidRPr="00DD3799">
        <w:rPr>
          <w:rFonts w:ascii="Cambria" w:eastAsia="Times New Roman" w:hAnsi="Cambria" w:cs="Times New Roman"/>
          <w:bCs/>
          <w:sz w:val="18"/>
          <w:szCs w:val="18"/>
        </w:rPr>
        <w:t xml:space="preserve"> </w:t>
      </w:r>
      <w:proofErr w:type="spellStart"/>
      <w:r w:rsidRPr="00DD3799">
        <w:rPr>
          <w:rFonts w:ascii="Cambria" w:eastAsia="Times New Roman" w:hAnsi="Cambria" w:cs="Times New Roman"/>
          <w:bCs/>
          <w:sz w:val="18"/>
          <w:szCs w:val="18"/>
        </w:rPr>
        <w:t>Manajemen</w:t>
      </w:r>
      <w:proofErr w:type="spellEnd"/>
      <w:r w:rsidRPr="00DD3799">
        <w:rPr>
          <w:rFonts w:ascii="Cambria" w:eastAsia="Times New Roman" w:hAnsi="Cambria" w:cs="Times New Roman"/>
          <w:bCs/>
          <w:sz w:val="18"/>
          <w:szCs w:val="18"/>
        </w:rPr>
        <w:t xml:space="preserve"> dan </w:t>
      </w:r>
      <w:proofErr w:type="spellStart"/>
      <w:r w:rsidRPr="00DD3799">
        <w:rPr>
          <w:rFonts w:ascii="Cambria" w:eastAsia="Times New Roman" w:hAnsi="Cambria" w:cs="Times New Roman"/>
          <w:bCs/>
          <w:sz w:val="18"/>
          <w:szCs w:val="18"/>
        </w:rPr>
        <w:t>Kebijakan</w:t>
      </w:r>
      <w:proofErr w:type="spellEnd"/>
      <w:r w:rsidRPr="00DD3799">
        <w:rPr>
          <w:rFonts w:ascii="Cambria" w:eastAsia="Times New Roman" w:hAnsi="Cambria" w:cs="Times New Roman"/>
          <w:bCs/>
          <w:sz w:val="18"/>
          <w:szCs w:val="18"/>
        </w:rPr>
        <w:t xml:space="preserve"> Publik</w:t>
      </w:r>
      <w:r>
        <w:rPr>
          <w:rFonts w:ascii="Cambria" w:eastAsia="Times New Roman" w:hAnsi="Cambria" w:cs="Times New Roman"/>
          <w:bCs/>
          <w:sz w:val="18"/>
          <w:szCs w:val="18"/>
        </w:rPr>
        <w:t xml:space="preserve"> </w:t>
      </w:r>
    </w:p>
    <w:p w14:paraId="0002C23A" w14:textId="7C450983" w:rsidR="00DD3799" w:rsidRPr="00F56CA0" w:rsidRDefault="002F7B6B" w:rsidP="002F7B6B">
      <w:pPr>
        <w:spacing w:line="240" w:lineRule="auto"/>
        <w:ind w:right="3400"/>
        <w:jc w:val="both"/>
        <w:rPr>
          <w:rFonts w:ascii="Cambria" w:eastAsia="Helvetica Neue" w:hAnsi="Cambria" w:cs="Helvetica Neue"/>
          <w:color w:val="4472C4" w:themeColor="accent1"/>
          <w:sz w:val="28"/>
          <w:szCs w:val="28"/>
          <w:highlight w:val="white"/>
        </w:rPr>
      </w:pPr>
      <w:r>
        <w:rPr>
          <w:rFonts w:ascii="Cambria" w:eastAsia="Helvetica Neue" w:hAnsi="Cambria" w:cs="Helvetica Neue"/>
          <w:color w:val="4472C4" w:themeColor="accent1"/>
          <w:sz w:val="28"/>
          <w:szCs w:val="28"/>
          <w:highlight w:val="white"/>
        </w:rPr>
        <w:t xml:space="preserve">Analysis of the </w:t>
      </w:r>
      <w:proofErr w:type="spellStart"/>
      <w:r>
        <w:rPr>
          <w:rFonts w:ascii="Cambria" w:eastAsia="Helvetica Neue" w:hAnsi="Cambria" w:cs="Helvetica Neue"/>
          <w:color w:val="4472C4" w:themeColor="accent1"/>
          <w:sz w:val="28"/>
          <w:szCs w:val="28"/>
          <w:highlight w:val="white"/>
        </w:rPr>
        <w:t>Pentahelix</w:t>
      </w:r>
      <w:proofErr w:type="spellEnd"/>
      <w:r>
        <w:rPr>
          <w:rFonts w:ascii="Cambria" w:eastAsia="Helvetica Neue" w:hAnsi="Cambria" w:cs="Helvetica Neue"/>
          <w:color w:val="4472C4" w:themeColor="accent1"/>
          <w:sz w:val="28"/>
          <w:szCs w:val="28"/>
          <w:highlight w:val="white"/>
        </w:rPr>
        <w:t xml:space="preserve"> Model in the Implementation of the Free Nutritional Meal Program at Elementary and Middle School in Gorontalo City</w:t>
      </w:r>
    </w:p>
    <w:p w14:paraId="448B3792" w14:textId="6D581D6B" w:rsidR="003A2EF3" w:rsidRPr="00B82DF0" w:rsidRDefault="002F7B6B" w:rsidP="008938DD">
      <w:pPr>
        <w:spacing w:before="240" w:line="240" w:lineRule="auto"/>
        <w:ind w:right="3400"/>
        <w:rPr>
          <w:rFonts w:ascii="Cambria" w:eastAsia="Times New Roman" w:hAnsi="Cambria" w:cs="Times New Roman"/>
          <w:sz w:val="20"/>
          <w:szCs w:val="20"/>
        </w:rPr>
      </w:pPr>
      <w:r>
        <w:rPr>
          <w:rFonts w:ascii="Cambria" w:eastAsia="Times New Roman" w:hAnsi="Cambria" w:cs="Times New Roman"/>
          <w:sz w:val="20"/>
          <w:szCs w:val="20"/>
        </w:rPr>
        <w:t>Dian Fitriani Karim</w:t>
      </w:r>
      <w:r w:rsidR="00783E6B" w:rsidRPr="00B82DF0">
        <w:rPr>
          <w:rFonts w:ascii="Cambria" w:eastAsia="Times New Roman" w:hAnsi="Cambria" w:cs="Times New Roman"/>
          <w:sz w:val="20"/>
          <w:szCs w:val="20"/>
          <w:vertAlign w:val="superscript"/>
        </w:rPr>
        <w:t>1</w:t>
      </w:r>
      <w:r w:rsidR="00783E6B" w:rsidRPr="00B82DF0">
        <w:rPr>
          <w:rFonts w:ascii="Cambria" w:eastAsia="Times New Roman" w:hAnsi="Cambria" w:cs="Times New Roman"/>
          <w:sz w:val="20"/>
          <w:szCs w:val="20"/>
        </w:rPr>
        <w:t xml:space="preserve">, </w:t>
      </w:r>
      <w:r>
        <w:rPr>
          <w:rFonts w:ascii="Cambria" w:eastAsia="Times New Roman" w:hAnsi="Cambria" w:cs="Times New Roman"/>
          <w:sz w:val="20"/>
          <w:szCs w:val="20"/>
        </w:rPr>
        <w:t>Asna Aneta</w:t>
      </w:r>
      <w:r w:rsidR="00783E6B" w:rsidRPr="00B82DF0">
        <w:rPr>
          <w:rFonts w:ascii="Cambria" w:eastAsia="Times New Roman" w:hAnsi="Cambria" w:cs="Times New Roman"/>
          <w:sz w:val="20"/>
          <w:szCs w:val="20"/>
          <w:vertAlign w:val="superscript"/>
        </w:rPr>
        <w:t>2</w:t>
      </w:r>
    </w:p>
    <w:p w14:paraId="53328805" w14:textId="1E5A0FBD" w:rsidR="00B82DF0" w:rsidRPr="00B82DF0" w:rsidRDefault="00783E6B" w:rsidP="008938DD">
      <w:pPr>
        <w:spacing w:line="360" w:lineRule="auto"/>
        <w:ind w:right="3400"/>
        <w:rPr>
          <w:rFonts w:ascii="Cambria" w:eastAsia="Times New Roman" w:hAnsi="Cambria" w:cs="Times New Roman"/>
          <w:sz w:val="20"/>
          <w:szCs w:val="20"/>
        </w:rPr>
      </w:pPr>
      <w:r w:rsidRPr="00B82DF0">
        <w:rPr>
          <w:rFonts w:ascii="Cambria" w:eastAsia="Times New Roman" w:hAnsi="Cambria" w:cs="Times New Roman"/>
          <w:sz w:val="20"/>
          <w:szCs w:val="20"/>
          <w:vertAlign w:val="superscript"/>
        </w:rPr>
        <w:t>1,2,3</w:t>
      </w:r>
      <w:r w:rsidR="002F7B6B">
        <w:rPr>
          <w:rFonts w:ascii="Cambria" w:eastAsia="Times New Roman" w:hAnsi="Cambria" w:cs="Times New Roman"/>
          <w:sz w:val="20"/>
          <w:szCs w:val="20"/>
        </w:rPr>
        <w:t xml:space="preserve">Universitas Muhammadiyah Gorontalo, </w:t>
      </w:r>
      <w:r w:rsidR="00B9241B">
        <w:rPr>
          <w:rFonts w:ascii="Cambria" w:eastAsia="Times New Roman" w:hAnsi="Cambria" w:cs="Times New Roman"/>
          <w:sz w:val="20"/>
          <w:szCs w:val="20"/>
        </w:rPr>
        <w:t xml:space="preserve">Program Studi S3 </w:t>
      </w:r>
      <w:proofErr w:type="spellStart"/>
      <w:r w:rsidR="00B9241B">
        <w:rPr>
          <w:rFonts w:ascii="Cambria" w:eastAsia="Times New Roman" w:hAnsi="Cambria" w:cs="Times New Roman"/>
          <w:sz w:val="20"/>
          <w:szCs w:val="20"/>
        </w:rPr>
        <w:t>Adminstrasi</w:t>
      </w:r>
      <w:proofErr w:type="spellEnd"/>
      <w:r w:rsidR="00B9241B">
        <w:rPr>
          <w:rFonts w:ascii="Cambria" w:eastAsia="Times New Roman" w:hAnsi="Cambria" w:cs="Times New Roman"/>
          <w:sz w:val="20"/>
          <w:szCs w:val="20"/>
        </w:rPr>
        <w:t xml:space="preserve"> Publik, Program </w:t>
      </w:r>
      <w:proofErr w:type="spellStart"/>
      <w:r w:rsidR="00B9241B">
        <w:rPr>
          <w:rFonts w:ascii="Cambria" w:eastAsia="Times New Roman" w:hAnsi="Cambria" w:cs="Times New Roman"/>
          <w:sz w:val="20"/>
          <w:szCs w:val="20"/>
        </w:rPr>
        <w:t>Pascasarjana</w:t>
      </w:r>
      <w:proofErr w:type="spellEnd"/>
      <w:r w:rsidR="00B9241B">
        <w:rPr>
          <w:rFonts w:ascii="Cambria" w:eastAsia="Times New Roman" w:hAnsi="Cambria" w:cs="Times New Roman"/>
          <w:sz w:val="20"/>
          <w:szCs w:val="20"/>
        </w:rPr>
        <w:t xml:space="preserve"> </w:t>
      </w:r>
      <w:r w:rsidR="002F7B6B">
        <w:rPr>
          <w:rFonts w:ascii="Cambria" w:eastAsia="Times New Roman" w:hAnsi="Cambria" w:cs="Times New Roman"/>
          <w:sz w:val="20"/>
          <w:szCs w:val="20"/>
        </w:rPr>
        <w:t>Universitas Negeri Gorontalo</w:t>
      </w:r>
    </w:p>
    <w:p w14:paraId="720EF97D" w14:textId="25C6DD8B" w:rsidR="003A2EF3" w:rsidRPr="00DD3799" w:rsidRDefault="00783E6B" w:rsidP="008938DD">
      <w:pPr>
        <w:spacing w:line="240" w:lineRule="auto"/>
        <w:ind w:right="-2"/>
        <w:rPr>
          <w:rFonts w:ascii="Cambria" w:eastAsia="Times New Roman" w:hAnsi="Cambria" w:cs="Times New Roman"/>
          <w:b/>
          <w:sz w:val="24"/>
          <w:szCs w:val="24"/>
        </w:rPr>
      </w:pPr>
      <w:r w:rsidRPr="00DD3799">
        <w:rPr>
          <w:rFonts w:ascii="Cambria" w:eastAsia="Times New Roman" w:hAnsi="Cambria" w:cs="Times New Roman"/>
          <w:b/>
          <w:sz w:val="24"/>
          <w:szCs w:val="24"/>
        </w:rPr>
        <w:t>Ab</w:t>
      </w:r>
      <w:r w:rsidR="00B9241B">
        <w:rPr>
          <w:rFonts w:ascii="Cambria" w:eastAsia="Times New Roman" w:hAnsi="Cambria" w:cs="Times New Roman"/>
          <w:b/>
          <w:sz w:val="24"/>
          <w:szCs w:val="24"/>
        </w:rPr>
        <w:t>stract</w:t>
      </w:r>
    </w:p>
    <w:p w14:paraId="67AF5B4B" w14:textId="77777777" w:rsidR="00B9241B" w:rsidRPr="00B9241B" w:rsidRDefault="00B9241B" w:rsidP="00B9241B">
      <w:pPr>
        <w:spacing w:after="0" w:line="240" w:lineRule="auto"/>
        <w:jc w:val="both"/>
        <w:rPr>
          <w:rFonts w:ascii="Cambria" w:eastAsia="Aptos" w:hAnsi="Cambria" w:cs="Times New Roman"/>
          <w:i/>
          <w:iCs/>
          <w:kern w:val="2"/>
          <w:sz w:val="20"/>
          <w:szCs w:val="20"/>
          <w14:ligatures w14:val="standardContextual"/>
        </w:rPr>
      </w:pPr>
      <w:r w:rsidRPr="00B9241B">
        <w:rPr>
          <w:rFonts w:ascii="Cambria" w:eastAsia="Aptos" w:hAnsi="Cambria" w:cs="Times New Roman"/>
          <w:i/>
          <w:iCs/>
          <w:kern w:val="2"/>
          <w:sz w:val="20"/>
          <w:szCs w:val="20"/>
          <w14:ligatures w14:val="standardContextual"/>
        </w:rPr>
        <w:t xml:space="preserve">This research aims to analyse the </w:t>
      </w:r>
      <w:proofErr w:type="spellStart"/>
      <w:r w:rsidRPr="00B9241B">
        <w:rPr>
          <w:rFonts w:ascii="Cambria" w:eastAsia="Aptos" w:hAnsi="Cambria" w:cs="Times New Roman"/>
          <w:i/>
          <w:iCs/>
          <w:kern w:val="2"/>
          <w:sz w:val="20"/>
          <w:szCs w:val="20"/>
          <w14:ligatures w14:val="standardContextual"/>
        </w:rPr>
        <w:t>Pentahelix</w:t>
      </w:r>
      <w:proofErr w:type="spellEnd"/>
      <w:r w:rsidRPr="00B9241B">
        <w:rPr>
          <w:rFonts w:ascii="Cambria" w:eastAsia="Aptos" w:hAnsi="Cambria" w:cs="Times New Roman"/>
          <w:i/>
          <w:iCs/>
          <w:kern w:val="2"/>
          <w:sz w:val="20"/>
          <w:szCs w:val="20"/>
          <w14:ligatures w14:val="standardContextual"/>
        </w:rPr>
        <w:t xml:space="preserve"> model in the implementation of a free nutritious meal programme in Gorontalo City, focusing on primary and secondary education in the pursuit of the Golden Generation 2045. The </w:t>
      </w:r>
      <w:proofErr w:type="spellStart"/>
      <w:r w:rsidRPr="00B9241B">
        <w:rPr>
          <w:rFonts w:ascii="Cambria" w:eastAsia="Aptos" w:hAnsi="Cambria" w:cs="Times New Roman"/>
          <w:i/>
          <w:iCs/>
          <w:kern w:val="2"/>
          <w:sz w:val="20"/>
          <w:szCs w:val="20"/>
          <w14:ligatures w14:val="standardContextual"/>
        </w:rPr>
        <w:t>Pentahelix</w:t>
      </w:r>
      <w:proofErr w:type="spellEnd"/>
      <w:r w:rsidRPr="00B9241B">
        <w:rPr>
          <w:rFonts w:ascii="Cambria" w:eastAsia="Aptos" w:hAnsi="Cambria" w:cs="Times New Roman"/>
          <w:i/>
          <w:iCs/>
          <w:kern w:val="2"/>
          <w:sz w:val="20"/>
          <w:szCs w:val="20"/>
          <w14:ligatures w14:val="standardContextual"/>
        </w:rPr>
        <w:t xml:space="preserve"> model involves five key elements: government, academia, industry, community, and media, which collaborate to achieve a shared objective of enhancing the nutritional quality of children. Through a collaborative approach, the free nutritious meal programme is expected to reduce malnutrition rates and improve the quality of education and health for future generations. This study employs qualitative methods, including interviews and observations, to gather data from various stakeholders. The findings indicate that collaboration between the government and the community is crucial for the success of this programme. Furthermore, the role of media in disseminating information about the importance of nutrition has proven to be effective. Therefore, recommendations to enhance the participation of all </w:t>
      </w:r>
      <w:proofErr w:type="spellStart"/>
      <w:r w:rsidRPr="00B9241B">
        <w:rPr>
          <w:rFonts w:ascii="Cambria" w:eastAsia="Aptos" w:hAnsi="Cambria" w:cs="Times New Roman"/>
          <w:i/>
          <w:iCs/>
          <w:kern w:val="2"/>
          <w:sz w:val="20"/>
          <w:szCs w:val="20"/>
          <w14:ligatures w14:val="standardContextual"/>
        </w:rPr>
        <w:t>Pentahelix</w:t>
      </w:r>
      <w:proofErr w:type="spellEnd"/>
      <w:r w:rsidRPr="00B9241B">
        <w:rPr>
          <w:rFonts w:ascii="Cambria" w:eastAsia="Aptos" w:hAnsi="Cambria" w:cs="Times New Roman"/>
          <w:i/>
          <w:iCs/>
          <w:kern w:val="2"/>
          <w:sz w:val="20"/>
          <w:szCs w:val="20"/>
          <w14:ligatures w14:val="standardContextual"/>
        </w:rPr>
        <w:t xml:space="preserve"> elements are essential for achieving long-term goals in creating a healthy and productive generation. </w:t>
      </w:r>
    </w:p>
    <w:p w14:paraId="4D4E4135" w14:textId="77777777" w:rsidR="00B9241B" w:rsidRPr="00B9241B" w:rsidRDefault="00B9241B" w:rsidP="00B9241B">
      <w:pPr>
        <w:spacing w:after="0" w:line="240" w:lineRule="auto"/>
        <w:jc w:val="both"/>
        <w:rPr>
          <w:rFonts w:ascii="Cambria" w:eastAsia="Aptos" w:hAnsi="Cambria" w:cs="Times New Roman"/>
          <w:i/>
          <w:iCs/>
          <w:kern w:val="2"/>
          <w:sz w:val="20"/>
          <w:szCs w:val="20"/>
          <w14:ligatures w14:val="standardContextual"/>
        </w:rPr>
      </w:pPr>
    </w:p>
    <w:p w14:paraId="4E287CD9" w14:textId="77777777" w:rsidR="00B9241B" w:rsidRPr="00B9241B" w:rsidRDefault="00B9241B" w:rsidP="00B9241B">
      <w:pPr>
        <w:spacing w:after="0" w:line="240" w:lineRule="auto"/>
        <w:jc w:val="both"/>
        <w:rPr>
          <w:rFonts w:ascii="Cambria" w:eastAsia="Aptos" w:hAnsi="Cambria" w:cs="Times New Roman"/>
          <w:b/>
          <w:bCs/>
          <w:i/>
          <w:iCs/>
          <w:kern w:val="2"/>
          <w:sz w:val="20"/>
          <w:szCs w:val="20"/>
          <w:lang w:val="en-US"/>
          <w14:ligatures w14:val="standardContextual"/>
        </w:rPr>
      </w:pPr>
      <w:r w:rsidRPr="00B9241B">
        <w:rPr>
          <w:rFonts w:ascii="Cambria" w:eastAsia="Aptos" w:hAnsi="Cambria" w:cs="Times New Roman"/>
          <w:b/>
          <w:bCs/>
          <w:i/>
          <w:iCs/>
          <w:kern w:val="2"/>
          <w:sz w:val="20"/>
          <w:szCs w:val="20"/>
          <w14:ligatures w14:val="standardContextual"/>
        </w:rPr>
        <w:t>Keywords</w:t>
      </w:r>
      <w:r w:rsidRPr="00B9241B">
        <w:rPr>
          <w:rFonts w:ascii="Cambria" w:eastAsia="Aptos" w:hAnsi="Cambria" w:cs="Times New Roman"/>
          <w:i/>
          <w:iCs/>
          <w:kern w:val="2"/>
          <w:sz w:val="20"/>
          <w:szCs w:val="20"/>
          <w14:ligatures w14:val="standardContextual"/>
        </w:rPr>
        <w:t xml:space="preserve">: </w:t>
      </w:r>
      <w:proofErr w:type="spellStart"/>
      <w:r w:rsidRPr="00B9241B">
        <w:rPr>
          <w:rFonts w:ascii="Cambria" w:eastAsia="Aptos" w:hAnsi="Cambria" w:cs="Times New Roman"/>
          <w:i/>
          <w:iCs/>
          <w:kern w:val="2"/>
          <w:sz w:val="20"/>
          <w:szCs w:val="20"/>
          <w14:ligatures w14:val="standardContextual"/>
        </w:rPr>
        <w:t>Pentahelix</w:t>
      </w:r>
      <w:proofErr w:type="spellEnd"/>
      <w:r w:rsidRPr="00B9241B">
        <w:rPr>
          <w:rFonts w:ascii="Cambria" w:eastAsia="Aptos" w:hAnsi="Cambria" w:cs="Times New Roman"/>
          <w:i/>
          <w:iCs/>
          <w:kern w:val="2"/>
          <w:sz w:val="20"/>
          <w:szCs w:val="20"/>
          <w14:ligatures w14:val="standardContextual"/>
        </w:rPr>
        <w:t>, free nutritious meal programme, Golden Generation 2045, primary education, secondary education, Gorontalo.</w:t>
      </w:r>
    </w:p>
    <w:p w14:paraId="2C2FFBCC" w14:textId="78484D46" w:rsidR="00B82DF0" w:rsidRDefault="00B9241B" w:rsidP="008938DD">
      <w:pPr>
        <w:ind w:right="-2"/>
        <w:rPr>
          <w:rFonts w:ascii="Cambria" w:hAnsi="Cambria"/>
        </w:rPr>
      </w:pPr>
      <w:r w:rsidRPr="00B9241B">
        <w:rPr>
          <w:rFonts w:ascii="Cambria" w:eastAsia="Aptos" w:hAnsi="Cambria" w:cs="Times New Roman"/>
          <w:noProof/>
          <w:kern w:val="2"/>
          <w:sz w:val="24"/>
          <w:szCs w:val="24"/>
          <w14:ligatures w14:val="standardContextual"/>
        </w:rPr>
        <w:drawing>
          <wp:inline distT="0" distB="0" distL="0" distR="0" wp14:anchorId="08C97A15" wp14:editId="345D30A6">
            <wp:extent cx="609600" cy="219075"/>
            <wp:effectExtent l="0" t="0" r="0" b="9525"/>
            <wp:docPr id="1746601374" name="Gambar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p>
    <w:p w14:paraId="3E84DEFB" w14:textId="06FCB172" w:rsidR="008938DD" w:rsidRDefault="007A34B8" w:rsidP="00F56CA0">
      <w:pPr>
        <w:spacing w:line="276" w:lineRule="auto"/>
        <w:ind w:right="-2"/>
        <w:jc w:val="right"/>
        <w:rPr>
          <w:rFonts w:ascii="Cambria" w:hAnsi="Cambria"/>
          <w:sz w:val="14"/>
          <w:szCs w:val="14"/>
        </w:rPr>
      </w:pPr>
      <w:r w:rsidRPr="008938DD">
        <w:rPr>
          <w:rFonts w:ascii="Cambria" w:hAnsi="Cambria"/>
          <w:b/>
          <w:bCs/>
          <w:sz w:val="14"/>
          <w:szCs w:val="14"/>
        </w:rPr>
        <w:t>Gema Publica</w:t>
      </w:r>
      <w:r w:rsidRPr="007A34B8">
        <w:rPr>
          <w:rFonts w:ascii="Cambria" w:hAnsi="Cambria"/>
          <w:b/>
          <w:bCs/>
          <w:sz w:val="14"/>
          <w:szCs w:val="14"/>
        </w:rPr>
        <w:t> : </w:t>
      </w:r>
      <w:proofErr w:type="spellStart"/>
      <w:r w:rsidRPr="007A34B8">
        <w:rPr>
          <w:rFonts w:ascii="Cambria" w:hAnsi="Cambria"/>
          <w:b/>
          <w:bCs/>
          <w:sz w:val="14"/>
          <w:szCs w:val="14"/>
        </w:rPr>
        <w:t>Jurnal</w:t>
      </w:r>
      <w:proofErr w:type="spellEnd"/>
      <w:r w:rsidRPr="007A34B8">
        <w:rPr>
          <w:rFonts w:ascii="Cambria" w:hAnsi="Cambria"/>
          <w:b/>
          <w:bCs/>
          <w:sz w:val="14"/>
          <w:szCs w:val="14"/>
        </w:rPr>
        <w:t xml:space="preserve"> </w:t>
      </w:r>
      <w:proofErr w:type="spellStart"/>
      <w:r w:rsidRPr="007A34B8">
        <w:rPr>
          <w:rFonts w:ascii="Cambria" w:hAnsi="Cambria"/>
          <w:b/>
          <w:bCs/>
          <w:sz w:val="14"/>
          <w:szCs w:val="14"/>
        </w:rPr>
        <w:t>Manajemen</w:t>
      </w:r>
      <w:proofErr w:type="spellEnd"/>
      <w:r w:rsidRPr="007A34B8">
        <w:rPr>
          <w:rFonts w:ascii="Cambria" w:hAnsi="Cambria"/>
          <w:b/>
          <w:bCs/>
          <w:sz w:val="14"/>
          <w:szCs w:val="14"/>
        </w:rPr>
        <w:t xml:space="preserve"> dan </w:t>
      </w:r>
      <w:proofErr w:type="spellStart"/>
      <w:r w:rsidRPr="007A34B8">
        <w:rPr>
          <w:rFonts w:ascii="Cambria" w:hAnsi="Cambria"/>
          <w:b/>
          <w:bCs/>
          <w:sz w:val="14"/>
          <w:szCs w:val="14"/>
        </w:rPr>
        <w:t>Kebijakan</w:t>
      </w:r>
      <w:proofErr w:type="spellEnd"/>
      <w:r w:rsidRPr="007A34B8">
        <w:rPr>
          <w:rFonts w:ascii="Cambria" w:hAnsi="Cambria"/>
          <w:b/>
          <w:bCs/>
          <w:sz w:val="14"/>
          <w:szCs w:val="14"/>
        </w:rPr>
        <w:t xml:space="preserve"> Publik (E-ISSN</w:t>
      </w:r>
      <w:bookmarkStart w:id="0" w:name="_Hlk208326552"/>
      <w:r w:rsidRPr="007A34B8">
        <w:rPr>
          <w:rFonts w:ascii="Cambria" w:hAnsi="Cambria"/>
          <w:b/>
          <w:bCs/>
          <w:sz w:val="14"/>
          <w:szCs w:val="14"/>
        </w:rPr>
        <w:t>: 2548-1363</w:t>
      </w:r>
      <w:bookmarkEnd w:id="0"/>
      <w:r w:rsidRPr="007A34B8">
        <w:rPr>
          <w:rFonts w:ascii="Cambria" w:hAnsi="Cambria"/>
          <w:b/>
          <w:bCs/>
          <w:sz w:val="14"/>
          <w:szCs w:val="14"/>
        </w:rPr>
        <w:t>)</w:t>
      </w:r>
      <w:r w:rsidRPr="007A34B8">
        <w:rPr>
          <w:rFonts w:ascii="Cambria" w:hAnsi="Cambria"/>
          <w:sz w:val="14"/>
          <w:szCs w:val="14"/>
        </w:rPr>
        <w:t> Publish by Department of Public Administration, Faculty of Social and Political Sciences, Universitas Diponegoro under license of </w:t>
      </w:r>
      <w:hyperlink r:id="rId10" w:history="1">
        <w:r w:rsidRPr="007A34B8">
          <w:rPr>
            <w:rStyle w:val="Hyperlink"/>
            <w:rFonts w:ascii="Cambria" w:hAnsi="Cambria"/>
            <w:sz w:val="14"/>
            <w:szCs w:val="14"/>
          </w:rPr>
          <w:t>Creative Commons</w:t>
        </w:r>
        <w:r>
          <w:rPr>
            <w:rStyle w:val="Hyperlink"/>
            <w:rFonts w:ascii="Cambria" w:hAnsi="Cambria"/>
            <w:sz w:val="14"/>
            <w:szCs w:val="14"/>
          </w:rPr>
          <w:t xml:space="preserve"> </w:t>
        </w:r>
        <w:r w:rsidRPr="007A34B8">
          <w:rPr>
            <w:rStyle w:val="Hyperlink"/>
            <w:rFonts w:ascii="Cambria" w:hAnsi="Cambria"/>
            <w:sz w:val="14"/>
            <w:szCs w:val="14"/>
          </w:rPr>
          <w:t>Attribution-</w:t>
        </w:r>
        <w:proofErr w:type="spellStart"/>
        <w:r w:rsidRPr="007A34B8">
          <w:rPr>
            <w:rStyle w:val="Hyperlink"/>
            <w:rFonts w:ascii="Cambria" w:hAnsi="Cambria"/>
            <w:sz w:val="14"/>
            <w:szCs w:val="14"/>
          </w:rPr>
          <w:t>ShareAlike</w:t>
        </w:r>
        <w:proofErr w:type="spellEnd"/>
        <w:r w:rsidRPr="007A34B8">
          <w:rPr>
            <w:rStyle w:val="Hyperlink"/>
            <w:rFonts w:ascii="Cambria" w:hAnsi="Cambria"/>
            <w:sz w:val="14"/>
            <w:szCs w:val="14"/>
          </w:rPr>
          <w:t xml:space="preserve"> 4.0 International License</w:t>
        </w:r>
      </w:hyperlink>
    </w:p>
    <w:p w14:paraId="68A08579" w14:textId="51A001F1" w:rsidR="00F56CA0" w:rsidRDefault="00F56CA0" w:rsidP="00F56CA0">
      <w:pPr>
        <w:pBdr>
          <w:top w:val="nil"/>
          <w:left w:val="nil"/>
          <w:bottom w:val="single" w:sz="6" w:space="1" w:color="auto"/>
          <w:right w:val="nil"/>
          <w:between w:val="nil"/>
        </w:pBdr>
        <w:spacing w:before="240" w:line="276" w:lineRule="auto"/>
        <w:ind w:right="-2"/>
        <w:rPr>
          <w:rFonts w:ascii="Cambria" w:eastAsia="Times New Roman" w:hAnsi="Cambria" w:cs="Times New Roman"/>
          <w:b/>
          <w:color w:val="000000"/>
          <w:sz w:val="24"/>
          <w:szCs w:val="24"/>
        </w:rPr>
      </w:pPr>
    </w:p>
    <w:p w14:paraId="4F1D6E63" w14:textId="77777777" w:rsidR="00B9241B" w:rsidRPr="00B9241B" w:rsidRDefault="00B9241B" w:rsidP="00B9241B">
      <w:pPr>
        <w:spacing w:before="100" w:beforeAutospacing="1" w:after="100" w:afterAutospacing="1" w:line="240" w:lineRule="auto"/>
        <w:jc w:val="both"/>
        <w:rPr>
          <w:rFonts w:ascii="Cambria" w:eastAsia="Times New Roman" w:hAnsi="Cambria" w:cs="Times New Roman"/>
          <w:b/>
          <w:bCs/>
          <w:sz w:val="24"/>
          <w:szCs w:val="24"/>
          <w:lang w:eastAsia="en-ID"/>
        </w:rPr>
      </w:pPr>
      <w:r w:rsidRPr="00B9241B">
        <w:rPr>
          <w:rFonts w:ascii="Cambria" w:eastAsia="Times New Roman" w:hAnsi="Cambria" w:cs="Times New Roman"/>
          <w:b/>
          <w:bCs/>
          <w:sz w:val="24"/>
          <w:szCs w:val="24"/>
          <w:lang w:eastAsia="en-ID"/>
        </w:rPr>
        <w:t xml:space="preserve">Introduction </w:t>
      </w:r>
    </w:p>
    <w:p w14:paraId="3720B444" w14:textId="77777777"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Education is one of the main pillars in the development of human resources in Indonesia. With a vision towards the Golden Generation 2045, the government is committed to improving the quality of education and health for children, particularly at the primary and secondary education levels. One of the programmes designed to support this goal is the Free Nutritious Meal Programme (PMBG), implemented in schools. This programme aims to ensure that children receive adequate nutrition to grow and develop optimally. According to data from the Ministry of Education and Culture (</w:t>
      </w:r>
      <w:proofErr w:type="spellStart"/>
      <w:r w:rsidRPr="00B9241B">
        <w:rPr>
          <w:rFonts w:ascii="Cambria" w:eastAsia="Times New Roman" w:hAnsi="Cambria" w:cs="Times New Roman"/>
          <w:sz w:val="24"/>
          <w:szCs w:val="24"/>
          <w:lang w:eastAsia="en-ID"/>
        </w:rPr>
        <w:t>Kemendikbud</w:t>
      </w:r>
      <w:proofErr w:type="spellEnd"/>
      <w:r w:rsidRPr="00B9241B">
        <w:rPr>
          <w:rFonts w:ascii="Cambria" w:eastAsia="Times New Roman" w:hAnsi="Cambria" w:cs="Times New Roman"/>
          <w:sz w:val="24"/>
          <w:szCs w:val="24"/>
          <w:lang w:eastAsia="en-ID"/>
        </w:rPr>
        <w:t>), around 30% of children in Indonesia face nutritional problems, which impact their learning ability and health (</w:t>
      </w:r>
      <w:proofErr w:type="spellStart"/>
      <w:r w:rsidRPr="00B9241B">
        <w:rPr>
          <w:rFonts w:ascii="Cambria" w:eastAsia="Times New Roman" w:hAnsi="Cambria" w:cs="Times New Roman"/>
          <w:sz w:val="24"/>
          <w:szCs w:val="24"/>
          <w:lang w:eastAsia="en-ID"/>
        </w:rPr>
        <w:t>Kemendikbud</w:t>
      </w:r>
      <w:proofErr w:type="spellEnd"/>
      <w:r w:rsidRPr="00B9241B">
        <w:rPr>
          <w:rFonts w:ascii="Cambria" w:eastAsia="Times New Roman" w:hAnsi="Cambria" w:cs="Times New Roman"/>
          <w:sz w:val="24"/>
          <w:szCs w:val="24"/>
          <w:lang w:eastAsia="en-ID"/>
        </w:rPr>
        <w:t>, 2021).</w:t>
      </w:r>
    </w:p>
    <w:p w14:paraId="7CB0688B" w14:textId="77777777" w:rsidR="00B9241B" w:rsidRPr="00B9241B" w:rsidRDefault="00B9241B" w:rsidP="00B9241B">
      <w:pPr>
        <w:spacing w:before="240"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lastRenderedPageBreak/>
        <w:t xml:space="preserve">The Golden Generation 2045 is Indonesia's vision to achieve significant progress in various aspects of life, including health and education. A key factor in achieving this goal is ensuring that children receive sufficient nutritional intake. The Free Nutritious Meal Programme (MBG) at the primary and secondary education levels in Gorontalo City is one of the government’s efforts to meet children's nutritional needs. In this context,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which involves five main elements government, academia, the business world, society, and media can be an effective approach to analyse and optimise this programme.</w:t>
      </w:r>
    </w:p>
    <w:p w14:paraId="16A7A684" w14:textId="77777777"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 xml:space="preserve">The free nutritious meal programme is a strategic effort to improve the nutritional quality of children in Indonesia, particularly in the context of the Golden Generation 2045. In this regard,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involving five key elements government, society, academia, entrepreneurs, and media is considered an effective approach to achieving these objectives. However, despite some research discussing the implementation of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nutritional programmes, there remain research gaps that need further exploration. The Free Nutritious Meal Programme (MBG) is one of the government’s initiatives to enhance children's nutritional quality in Indonesia. In the context of Gorontalo City, analysing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is essential to understand the collaboration among the five main pillars: government, academia, the business world, society, and media. This review focuses on recent studies exploring the implementation of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the implementation of the MBG policy at primary and secondary education levels.</w:t>
      </w:r>
    </w:p>
    <w:p w14:paraId="38ABDFE8" w14:textId="77777777"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 xml:space="preserve">In Gorontalo City, the free nutritious meal programme has become a primary focus in enhancing the quality of education and health for children. Through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approach, involving government, academia, society, the business world, and media, it is hoped that the implementation of this programme can proceed more effectively.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provides a collaborative framework that allows various parties to contribute to creating an environment that supports children's health and education. For instance, in Gorontalo, cooperation between the Education and Health Departments has resulted in a socialisation programme about the importance of balanced nutrition for students (Gorontalo City Education Department, 2022).</w:t>
      </w:r>
    </w:p>
    <w:p w14:paraId="31FE1794" w14:textId="798B3C33"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The free nutritious meal programme in Gorontalo is not only aimed at providing food but also at educating students about healthy eating patterns. In its implementation, various types of nutritious food are prepared, including vegetables, fruits, and protein sources. Data shows that students participating in this programme demonstrate improved concentration in learning and active participation in class (Central Statistics Agency, 2023). This indicates that good nutritional intake contributes to better academic performance.</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However, challenges in implementing this programme remain. Some schools in Gorontalo still face issues regarding funding, food distribution, and community awareness of the importance of nutrition. Therefore, there is a need for evaluation and strengthening of cooperation among all parties involved. For instance, collaboration with private sectors to support funding or the provision of quality food ingredients is essential. In this context,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is expected to provide innovative and sustainable </w:t>
      </w:r>
      <w:r w:rsidRPr="00B9241B">
        <w:rPr>
          <w:rFonts w:ascii="Cambria" w:eastAsia="Times New Roman" w:hAnsi="Cambria" w:cs="Times New Roman"/>
          <w:sz w:val="24"/>
          <w:szCs w:val="24"/>
          <w:lang w:eastAsia="en-ID"/>
        </w:rPr>
        <w:lastRenderedPageBreak/>
        <w:t>solutions to achieve the programme's goals.</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Through the analysis of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the implementation of PMBG, it is hoped that more effective strategies can be found to improve the nutritional quality of children in Gorontalo. By utilising existing resources and enhancing cooperation among stakeholders, this programme is expected to contribute to creating a healthy, intelligent, and highly competitive Golden Generation 2045. This research will further discuss the roles of each element in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and their impacts on the success of the free nutritious meal programme in Gorontalo City.</w:t>
      </w:r>
    </w:p>
    <w:p w14:paraId="2AEC9FC6" w14:textId="009B7C4E"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 xml:space="preserve">In analysing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the implementation of the free nutritious meal programme towards the Golden Generation 2045, particularly at the primary and secondary education levels in Gorontalo City, several research gaps need to be identified. Previous studies have made significant contributions to understanding certain aspects of this programme; however, there are still areas that require further exploration.</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First, many previous studies, such as those conducted by Rahman et al. (2021), emphasise the importance of collaboration among government, society, academia, the business world, and media in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programme. However, these studies tend to focus on collaboration aspects without deeply exploring how each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element can support each other in the specific context of Gorontalo. Further research is needed to understand the dynamics of interaction among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actors in this region, including the challenges and opportunities they face in programme implementation.</w:t>
      </w:r>
    </w:p>
    <w:p w14:paraId="4E950A1A" w14:textId="58BC62DB"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Second, research by Sari and Iskandar (2020) indicates that the free nutritious meal programme can improve children's health. However, they did not discuss the long-term impacts of this programme on students' academic achievements. Further research is necessary to measure whether there is a significant relationship between the success of the free nutritious meal programme and the improvement of academic performance at the primary and secondary education levels. This would provide a more holistic view of the programme's impact on the Golden Generation 2045.</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Third, although some studies, such as those conducted by Hidayah (2022), have identified factors influencing programme success, there is still a lack of research examining parents' and students' perceptions of the free nutritious meal programme. Understanding their perspectives is crucial for enhancing participation and support for this programme. Research involving interviews and surveys with parents and students in Gorontalo could provide valuable insights into their acceptance and expectations regarding this programme.</w:t>
      </w:r>
    </w:p>
    <w:p w14:paraId="1DFF3E6B" w14:textId="24B099AE"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Fourth, previous research often focused on policy and implementation aspects but paid less attention to the cultural and social aspects of Gorontalo society that may influence programme success. For instance, research by Putra (2023) indicates that local cultural factors play a significant role in community eating habits. Further research exploring how local cultural values and traditions can be integrated into the free nutritious meal programme would be highly beneficial.</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Lastly, while there are studies discussing programme evaluations, such as those conducted by Nuraini (2021), these evaluations tend to be quantitative in nature. More in-depth qualitative research, such as case studies or focus groups, could provide richer perspectives on the experiences and challenges faced in programme implementation.</w:t>
      </w:r>
    </w:p>
    <w:p w14:paraId="7A9A0B3D" w14:textId="12A28511"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lastRenderedPageBreak/>
        <w:t xml:space="preserve">Overall, although previous research has provided a solid foundation, these gaps indicate that many aspects still need to be further explored to ensure the success of the free nutritious meal programme in achieving the objectives of the Golden Generation 2045 in Gorontalo City. In analysing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the implementation of the free nutritious meal programme towards the Golden Generation 2045, particularly at the primary and secondary education levels in Gorontalo City, several research gaps can be identified. Here are some aspects that have not been fully explored or require further research based on existing studies.</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First, the Role of Stakeholders in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Although many studies have identified the roles of each component in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(government, academia, society, the business world, and media), few have delved into the interactions among stakeholders and their impacts on programme success. For example, research by </w:t>
      </w:r>
      <w:proofErr w:type="spellStart"/>
      <w:r w:rsidRPr="00B9241B">
        <w:rPr>
          <w:rFonts w:ascii="Cambria" w:eastAsia="Times New Roman" w:hAnsi="Cambria" w:cs="Times New Roman"/>
          <w:sz w:val="24"/>
          <w:szCs w:val="24"/>
          <w:lang w:eastAsia="en-ID"/>
        </w:rPr>
        <w:t>Prasetyo</w:t>
      </w:r>
      <w:proofErr w:type="spellEnd"/>
      <w:r w:rsidRPr="00B9241B">
        <w:rPr>
          <w:rFonts w:ascii="Cambria" w:eastAsia="Times New Roman" w:hAnsi="Cambria" w:cs="Times New Roman"/>
          <w:sz w:val="24"/>
          <w:szCs w:val="24"/>
          <w:lang w:eastAsia="en-ID"/>
        </w:rPr>
        <w:t xml:space="preserve"> (2020) emphasises the importance of collaboration between government and the business world but does not explain the specific mechanisms that make such collaboration effective.</w:t>
      </w:r>
    </w:p>
    <w:p w14:paraId="4B9D392D" w14:textId="0172A1E4"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Second, Social and Economic Impacts: Previous research often focused on health aspects of the free nutritious meal programme, such as that by Sari (2021), which shows improved nutritional status among children. However, the social and economic impacts of this programme on families and the surrounding community have not been explored in depth. Further research could examine how this programme affects family expenditures and community participation in the programme.</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Third, Community Involvement: A study by Rahmawati (2022) indicates that community involvement in the programme is crucial, but it does not discuss effective methods for enhancing community participation, especially in rural areas. Further research is needed to identify approaches that can raise awareness and increase community participation in the nutritious meal programme.</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Fourth, Programme Evaluation: Many existing studies focus on programme implementation, but long-term evaluations of the free nutritious meal programme are still lacking. Research by Hidayah (2023) provides an initial overview of programme evaluation, but no studies have systematically evaluated the long-term impacts on children's health and education in Gorontalo.</w:t>
      </w:r>
    </w:p>
    <w:p w14:paraId="587F542C" w14:textId="39FD4B0D"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Fifth, Innovations in Menu and Presentation: Previous research, such as that conducted by Yulianti (2021), has discussed the importance of menu variation to engage children, but there has been little research on innovations in food presentation and how this can affect children's acceptance of nutritious food. Further research could explore creative ways to present nutritious food appealingly to children.</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Sixth, Cultural and Local Context: Existing studies often overlook the cultural and local context in programme implementation. Research by Setiawan (2022) highlights the importance of cultural adaptation in programme delivery, but no comprehensive studies have explored how local values can be integrated into the programme to enhance its effectiveness. By identifying these gaps, further research can provide deeper and more comprehensive insights into the effectiveness of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model in implementing the free nutritious meal programme and its contribution to achieving the Golden Generation 2045 in Indonesia.</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Based on recent studies, there are several key trends in the application of the </w:t>
      </w:r>
      <w:proofErr w:type="spellStart"/>
      <w:r w:rsidRPr="00B9241B">
        <w:rPr>
          <w:rFonts w:ascii="Cambria" w:eastAsia="Times New Roman" w:hAnsi="Cambria" w:cs="Times New Roman"/>
          <w:sz w:val="24"/>
          <w:szCs w:val="24"/>
          <w:lang w:eastAsia="en-ID"/>
        </w:rPr>
        <w:lastRenderedPageBreak/>
        <w:t>Pentahelix</w:t>
      </w:r>
      <w:proofErr w:type="spellEnd"/>
      <w:r w:rsidRPr="00B9241B">
        <w:rPr>
          <w:rFonts w:ascii="Cambria" w:eastAsia="Times New Roman" w:hAnsi="Cambria" w:cs="Times New Roman"/>
          <w:sz w:val="24"/>
          <w:szCs w:val="24"/>
          <w:lang w:eastAsia="en-ID"/>
        </w:rPr>
        <w:t xml:space="preserve"> model in the MBG programme. First, collaboration among stakeholders is increasing, with the active role of local governments in facilitating cooperation. Second, community involvement, including parents and local communities, is becoming more significant in the process of delivering information and monitoring food quality. Third, the use of information technology in the distribution and monitoring of the MBG programme shows positive results, allowing for better transparency and accountability.</w:t>
      </w:r>
      <w:r>
        <w:rPr>
          <w:rFonts w:ascii="Cambria" w:eastAsia="Times New Roman" w:hAnsi="Cambria" w:cs="Times New Roman"/>
          <w:sz w:val="24"/>
          <w:szCs w:val="24"/>
          <w:lang w:eastAsia="en-ID"/>
        </w:rPr>
        <w:t xml:space="preserve"> </w:t>
      </w:r>
      <w:r w:rsidRPr="00B9241B">
        <w:rPr>
          <w:rFonts w:ascii="Cambria" w:eastAsia="Times New Roman" w:hAnsi="Cambria" w:cs="Times New Roman"/>
          <w:sz w:val="24"/>
          <w:szCs w:val="24"/>
          <w:lang w:eastAsia="en-ID"/>
        </w:rPr>
        <w:t xml:space="preserve">When viewed from the perspective of children's health and nutrition, recent research indicates that malnutrition and stunting remain significant challenges in Indonesia. According to data from the Central Statistics Agency (BPS) and the Ministry of Health, the prevalence of stunting in Indonesia reached 27.67% in 2021. </w:t>
      </w:r>
    </w:p>
    <w:p w14:paraId="27CD039D" w14:textId="77777777"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 xml:space="preserve">Therefore, the free nutritious meal programme is highly relevant for improving children's nutritional status. Additionally, in the context of integrated education and health, there is a growing trend in integrating health programmes with education. Research shows that children receiving nutritious meals at school tend to perform better academically. This indicates that health and education are closely intertwined. Furthermore, regarding community participation, there is an increasing awareness of the importance of good nutrition for children. This is reflected in community participation in nutrition-related programmes, including support for the MBG programme. The Role of Media in the </w:t>
      </w:r>
      <w:proofErr w:type="spellStart"/>
      <w:r w:rsidRPr="00B9241B">
        <w:rPr>
          <w:rFonts w:ascii="Cambria" w:eastAsia="Times New Roman" w:hAnsi="Cambria" w:cs="Times New Roman"/>
          <w:sz w:val="24"/>
          <w:szCs w:val="24"/>
          <w:lang w:eastAsia="en-ID"/>
        </w:rPr>
        <w:t>Pentahelix</w:t>
      </w:r>
      <w:proofErr w:type="spellEnd"/>
      <w:r w:rsidRPr="00B9241B">
        <w:rPr>
          <w:rFonts w:ascii="Cambria" w:eastAsia="Times New Roman" w:hAnsi="Cambria" w:cs="Times New Roman"/>
          <w:sz w:val="24"/>
          <w:szCs w:val="24"/>
          <w:lang w:eastAsia="en-ID"/>
        </w:rPr>
        <w:t xml:space="preserve"> Programme: Although some studies mention the importance of media, no research has specifically analysed how media can serve as a communication bridge among all stakeholders. Further research is needed to explore effective communication strategies and their impacts on community awareness and participation in the nutritious meal programme. Additionally, the involvement of entrepreneurs: Most studies focus on the roles of government and society, while the contributions of entrepreneurs in providing nutritious food ingredients remain underexplored. More in-depth research on partnership models between local entrepreneurs and schools could provide new insights into improving access to nutritious food.</w:t>
      </w:r>
    </w:p>
    <w:p w14:paraId="0DA5586E" w14:textId="624B8CE6" w:rsidR="00B9241B" w:rsidRPr="00B9241B" w:rsidRDefault="00B9241B" w:rsidP="00B9241B">
      <w:pPr>
        <w:spacing w:after="0" w:line="276" w:lineRule="auto"/>
        <w:ind w:firstLine="720"/>
        <w:jc w:val="both"/>
        <w:rPr>
          <w:rFonts w:ascii="Cambria" w:eastAsia="Times New Roman" w:hAnsi="Cambria" w:cs="Times New Roman"/>
          <w:sz w:val="24"/>
          <w:szCs w:val="24"/>
          <w:lang w:eastAsia="en-ID"/>
        </w:rPr>
      </w:pPr>
      <w:r w:rsidRPr="00B9241B">
        <w:rPr>
          <w:rFonts w:ascii="Cambria" w:eastAsia="Times New Roman" w:hAnsi="Cambria" w:cs="Times New Roman"/>
          <w:sz w:val="24"/>
          <w:szCs w:val="24"/>
          <w:lang w:eastAsia="en-ID"/>
        </w:rPr>
        <w:t>Long-term Impact Evaluation: Many studies focus on short-term evaluations of the nutritious meal programme. Research exploring the long-term impacts of this programme on children's health and academic performance in Gorontalo is still very limited. Longitudinal studies could provide stronger data to support existing policies. Social and Cultural Factors: Existing research generally does not consider social and cultural factors that influence the acceptance of the nutritious meal programme. More in-depth research on how social norms and local culture affect community participation in this programme would be very valuable. Student and Parent Perceptions: Most research does not explore students' and parents' perceptions of the nutritious meal programme. Research involving interviews and surveys with students and parents could provide a more holistic perspective on the effectiveness of this programme and areas needing improvement.</w:t>
      </w:r>
    </w:p>
    <w:p w14:paraId="1C5AB823" w14:textId="77777777" w:rsidR="002640A1" w:rsidRPr="002640A1" w:rsidRDefault="002640A1" w:rsidP="002640A1">
      <w:pPr>
        <w:spacing w:line="276" w:lineRule="auto"/>
        <w:rPr>
          <w:rFonts w:ascii="Cambria" w:eastAsia="Aptos" w:hAnsi="Cambria" w:cs="Times New Roman"/>
          <w:kern w:val="2"/>
          <w:sz w:val="24"/>
          <w:szCs w:val="24"/>
          <w14:ligatures w14:val="standardContextual"/>
        </w:rPr>
      </w:pPr>
      <w:r w:rsidRPr="002640A1">
        <w:rPr>
          <w:rFonts w:ascii="Cambria" w:eastAsia="Aptos" w:hAnsi="Cambria" w:cs="Times New Roman"/>
          <w:b/>
          <w:bCs/>
          <w:kern w:val="2"/>
          <w:sz w:val="24"/>
          <w:szCs w:val="24"/>
          <w14:ligatures w14:val="standardContextual"/>
        </w:rPr>
        <w:t>Research Methodology</w:t>
      </w:r>
    </w:p>
    <w:p w14:paraId="5F56CDC9"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This study employs a qualitative approach using a case study method. Data was collected through in-depth interviews with stakeholders involved in the MBG programme, including government officials, teachers, parents, and students. Additionally, document </w:t>
      </w:r>
      <w:r w:rsidRPr="002640A1">
        <w:rPr>
          <w:rFonts w:ascii="Cambria" w:eastAsia="Aptos" w:hAnsi="Cambria" w:cs="Times New Roman"/>
          <w:kern w:val="2"/>
          <w:sz w:val="24"/>
          <w:szCs w:val="24"/>
          <w14:ligatures w14:val="standardContextual"/>
        </w:rPr>
        <w:lastRenderedPageBreak/>
        <w:t xml:space="preserve">analysis and direct observation were conducted to gain a more comprehensive understanding of the programme's implementation. The research identifies gaps in the analysis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in the implementation of the Free Nutritious Meal Programme towards the Golden Generation 2045 (A Case Study at the Primary and Secondary Education Levels in Gorontalo City). The data collection techniques in this research involved conducting in-depth interviews with stakeholders such as teachers, parents, students, and government representatives to gather their perspectives on the nutritious meal programme. </w:t>
      </w:r>
    </w:p>
    <w:p w14:paraId="20218544" w14:textId="77777777" w:rsidR="002640A1" w:rsidRPr="002640A1" w:rsidRDefault="002640A1" w:rsidP="002640A1">
      <w:pPr>
        <w:spacing w:after="0"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Subsequently, the researcher organised Focus Group Discussions (FGDs) with various stakeholders to explore their views and experiences regarding the programme's implementation. Following this, participatory observation was carried out in schools to understand how the programme was executed and the interactions between students, teachers, and relevant parties. The researcher then analysed content and reviewed documents related to the programme, including evaluation reports, policies, and educational materials used to comprehend the context and effectiveness of the programme. The researcher also utilised data triangulation techniques from various sources to ensure the validity and reliability of the research findings. With this approach, it is hoped that a more comprehensive understanding of the implementation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in the free nutritious meal programme in Gorontalo City can be achieved.</w:t>
      </w:r>
    </w:p>
    <w:p w14:paraId="1FDB978F" w14:textId="77777777" w:rsidR="002640A1" w:rsidRPr="002640A1" w:rsidRDefault="002640A1" w:rsidP="002640A1">
      <w:pPr>
        <w:spacing w:line="276" w:lineRule="auto"/>
        <w:jc w:val="both"/>
        <w:rPr>
          <w:rFonts w:ascii="Cambria" w:eastAsia="Aptos" w:hAnsi="Cambria" w:cs="Times New Roman"/>
          <w:b/>
          <w:bCs/>
          <w:kern w:val="2"/>
          <w:sz w:val="24"/>
          <w:szCs w:val="24"/>
          <w14:ligatures w14:val="standardContextual"/>
        </w:rPr>
      </w:pPr>
      <w:r w:rsidRPr="002640A1">
        <w:rPr>
          <w:rFonts w:ascii="Cambria" w:eastAsia="Aptos" w:hAnsi="Cambria" w:cs="Times New Roman"/>
          <w:b/>
          <w:bCs/>
          <w:kern w:val="2"/>
          <w:sz w:val="24"/>
          <w:szCs w:val="24"/>
          <w14:ligatures w14:val="standardContextual"/>
        </w:rPr>
        <w:t xml:space="preserve">Results and Discussion </w:t>
      </w:r>
    </w:p>
    <w:p w14:paraId="4651FBFA" w14:textId="77777777" w:rsidR="002640A1" w:rsidRPr="002640A1" w:rsidRDefault="002640A1" w:rsidP="002640A1">
      <w:pPr>
        <w:numPr>
          <w:ilvl w:val="0"/>
          <w:numId w:val="1"/>
        </w:numPr>
        <w:spacing w:line="276" w:lineRule="auto"/>
        <w:ind w:left="284" w:hanging="284"/>
        <w:contextualSpacing/>
        <w:jc w:val="both"/>
        <w:rPr>
          <w:rFonts w:ascii="Cambria" w:eastAsia="Aptos" w:hAnsi="Cambria" w:cs="Times New Roman"/>
          <w:kern w:val="2"/>
          <w:sz w:val="24"/>
          <w:szCs w:val="24"/>
          <w14:ligatures w14:val="standardContextual"/>
        </w:rPr>
      </w:pP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w:t>
      </w:r>
    </w:p>
    <w:p w14:paraId="523C740B"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provides a comprehensive framework for cross-sector collaboration to achieve common goals. In the context of a free nutritious meal programme, each element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plays a unique role. The government is responsible for providing policies and budgets, while academia contributes through research and the development of nutritious menus. The business sector can contribute by supplying quality food ingredients, while the community and media serve as drivers of participation and information dissemination. By understanding the interactions between these elements, it is hoped that the programme can run more effectively and sustainably. </w:t>
      </w:r>
      <w:r w:rsidRPr="002640A1">
        <w:rPr>
          <w:rFonts w:ascii="Cambria" w:eastAsia="Aptos" w:hAnsi="Cambria" w:cs="Times New Roman"/>
          <w:kern w:val="2"/>
          <w:sz w:val="24"/>
          <w:szCs w:val="24"/>
          <w14:ligatures w14:val="standardContextual"/>
        </w:rPr>
        <w:br/>
        <w:t xml:space="preserve">This research aims to explore how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can be optimised in the implementation of the free nutritious meal programme in Gorontalo. Through qualitative and quantitative approaches, data will be collected from various sources, including interviews with stakeholders, surveys of parents and students, and analysis of documents related to the programme. Thus, the results of this research are expected to provide constructive recommendations for future programme improvements. </w:t>
      </w:r>
    </w:p>
    <w:p w14:paraId="743CBC1C" w14:textId="77777777" w:rsidR="002640A1" w:rsidRPr="002640A1" w:rsidRDefault="002640A1" w:rsidP="002640A1">
      <w:pPr>
        <w:spacing w:line="276" w:lineRule="auto"/>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b.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Theory </w:t>
      </w:r>
    </w:p>
    <w:p w14:paraId="59097083"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theory refers to the collaboration between five key elements in development: government, academia, business, community, and media. In the context of child nutrition, this model is highly relevant as nutritional issues cannot be resolved by a </w:t>
      </w:r>
      <w:r w:rsidRPr="002640A1">
        <w:rPr>
          <w:rFonts w:ascii="Cambria" w:eastAsia="Aptos" w:hAnsi="Cambria" w:cs="Times New Roman"/>
          <w:kern w:val="2"/>
          <w:sz w:val="24"/>
          <w:szCs w:val="24"/>
          <w14:ligatures w14:val="standardContextual"/>
        </w:rPr>
        <w:lastRenderedPageBreak/>
        <w:t xml:space="preserve">single party. According to research conducted by </w:t>
      </w:r>
      <w:proofErr w:type="spellStart"/>
      <w:r w:rsidRPr="002640A1">
        <w:rPr>
          <w:rFonts w:ascii="Cambria" w:eastAsia="Aptos" w:hAnsi="Cambria" w:cs="Times New Roman"/>
          <w:kern w:val="2"/>
          <w:sz w:val="24"/>
          <w:szCs w:val="24"/>
          <w14:ligatures w14:val="standardContextual"/>
        </w:rPr>
        <w:t>Prasetyo</w:t>
      </w:r>
      <w:proofErr w:type="spellEnd"/>
      <w:r w:rsidRPr="002640A1">
        <w:rPr>
          <w:rFonts w:ascii="Cambria" w:eastAsia="Aptos" w:hAnsi="Cambria" w:cs="Times New Roman"/>
          <w:kern w:val="2"/>
          <w:sz w:val="24"/>
          <w:szCs w:val="24"/>
          <w14:ligatures w14:val="standardContextual"/>
        </w:rPr>
        <w:t xml:space="preserve"> and Rahayu (2021), collaboration among these sectors can enhance the effectiveness of public health programmes, including nutrition programmes. The government plays a crucial role in formulating policies that support nutrition programmes. For instance, through the Minister of Education and Culture Regulation of the Republic of Indonesia Number 26 of 2020 regarding the Implementation of Healthy Food Programmes, the government provides a legal basis for the execution of nutritious meal programmes in schools. Furthermore, the government is also responsible for allocating adequate budgets to support this programme. Academia, on the other hand, contributes through in-depth research on children's dietary patterns and nutritional needs. Research conducted by Gorontalo State University indicates that children receiving nutritious meals at school perform better academically compared to those who do not (Sari, 2023). </w:t>
      </w:r>
    </w:p>
    <w:p w14:paraId="5A2E329F"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This shows that good nutrition impacts not only physical health but also children's learning capabilities. The business sector can act as a provider of quality food ingredients at affordable prices. In Gorontalo, collaboration with local farmers can enhance the quality and sustainability of the programme. For instance, a partnership programme between schools and local farmers initiated by the local Agricultural Office successfully increased the availability of fresh vegetables in school canteens (Gorontalo City Agricultural Office, 2022). The community and media also play vital roles in supporting this programme. The media can help disseminate information about the importance of balanced nutrition to parents and the wider community. Meanwhile, community involvement in this programme can raise awareness and encourage parental participation in ensuring their children receive nutritious meals. Thus, all elements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support each other to achieve the common goal of providing good nutrition for children in Gorontalo. </w:t>
      </w:r>
    </w:p>
    <w:p w14:paraId="3958E038" w14:textId="77777777" w:rsidR="002640A1" w:rsidRPr="002640A1" w:rsidRDefault="002640A1" w:rsidP="002640A1">
      <w:pPr>
        <w:spacing w:line="276" w:lineRule="auto"/>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C. Implementation of the Free Nutritious Meal Programme </w:t>
      </w:r>
    </w:p>
    <w:p w14:paraId="219E91BF"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The implementation of the free nutritious meal programme in Gorontalo City is a strategic step in efforts to improve children's nutritional health. This programme aims to reduce stunting rates and enhance the quality of human resources in the future. According to reports from the Ministry of Health, the free nutritious meal programme in schools has shown positive results, with a 15% increase in children's weight over the past year (Ministry of Health, 2023). However, challenges in implementing this programme remain. One of the main challenges is the lack of parental awareness regarding the importance of nutrition for their children. A survey conducted by the Research Team at Gorontalo University revealed that 40% of parents still consider nutritious food less important compared to fast food (Gorontalo University, 2023). Therefore, education for parents and the community needs to be enhanced to help them understand the importance of nutritious meals. </w:t>
      </w:r>
    </w:p>
    <w:p w14:paraId="5B4A1836"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Additionally, the quality of food ingredients used in this programme is also a concern. Many schools still rely on third-party suppliers for food ingredients, which sometimes do not meet nutritional standards. Therefore, collaboration with the business </w:t>
      </w:r>
      <w:r w:rsidRPr="002640A1">
        <w:rPr>
          <w:rFonts w:ascii="Cambria" w:eastAsia="Aptos" w:hAnsi="Cambria" w:cs="Times New Roman"/>
          <w:kern w:val="2"/>
          <w:sz w:val="24"/>
          <w:szCs w:val="24"/>
          <w14:ligatures w14:val="standardContextual"/>
        </w:rPr>
        <w:lastRenderedPageBreak/>
        <w:t xml:space="preserve">sector is crucial to ensure that the food ingredients used are of high quality and meet children's nutritional needs. Monitoring and evaluation of the programme are also integral to its implementation. The Gorontalo City Education Office conducts periodic evaluations to assess the programme's impact on student health and performance. The data collected will be used to improve and develop the programme in the future, making it more effective in achieving its desired goals. By involving all elements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in the implementation of the free nutritious meal programme, it is hoped that this programme can run smoothly and provide significant benefits for children's health in Gorontalo City. Through effective collaboration, existing challenges can be addressed, and the golden generation of 2045 can be achieved more swiftly. </w:t>
      </w:r>
    </w:p>
    <w:p w14:paraId="448FC8ED" w14:textId="77777777" w:rsidR="002640A1" w:rsidRPr="002640A1" w:rsidRDefault="002640A1" w:rsidP="002640A1">
      <w:pPr>
        <w:spacing w:line="276" w:lineRule="auto"/>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D. Impact Analysis of the Programme on Children's Health </w:t>
      </w:r>
    </w:p>
    <w:p w14:paraId="5B1C08DC"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The analysis of the impact of the free nutritious meal programme on children's health in Gorontalo City is crucial for understanding the programme's effectiveness. Data from the Health Office indicates that following the programme's implementation, there has been a 5% reduction in stunting prevalence over the last two years (Gorontalo City Health Office, 2023). This demonstrates that the programme has a positive impact on children's health. However, to better understand the long-term effects of this programme, more in-depth research is needed. For instance, an analysis of the physical growth and cognitive development of children participating in the free nutritious meal programme compared to those who do not participate. </w:t>
      </w:r>
    </w:p>
    <w:p w14:paraId="5D8CB4D0"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Previous research by Fitriani (2022) showed that children receiving adequate nutritional intake have better learning abilities, which impacts their academic performance. Moreover, the impact of this programme can also be seen in changes in children's eating behaviour. The free nutritious meal programme is expected to shift children's dietary patterns towards healthier choices, reducing fast food consumption and increasing the intake of vegetables and fruits. According to a survey conducted by the Gorontalo Community Research Institute, 60% of children participating in this programme reported that they prefer healthy food compared to before (Gorontalo Community Research Institute, 2023). However, challenges in maintaining healthy eating behaviours persist. After the programme ends, there is a possibility that children may revert to unhealthy eating patterns if there is no continued support from parents and the community. Therefore, it is essential to continue education and campaigns about the importance of balanced nutrition so that these behavioural changes can be sustained in the long term. By conducting a comprehensive impact analysis, it is hoped that the free nutritious meal programme can be continuously improved and tailored to the needs of children in Gorontalo City. This will be an important step towards achieving public health goals and supporting the golden generation of 2045. </w:t>
      </w:r>
    </w:p>
    <w:p w14:paraId="7A01880B" w14:textId="77777777" w:rsidR="002640A1" w:rsidRPr="002640A1" w:rsidRDefault="002640A1" w:rsidP="002640A1">
      <w:pPr>
        <w:spacing w:line="276" w:lineRule="auto"/>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E. Recommendations for Programme Improvement </w:t>
      </w:r>
    </w:p>
    <w:p w14:paraId="27CD1133"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Based on the analysis conducted, several recommendations have been made to enhance the effectiveness of the free nutritious meal programme in Gorontalo City. Firstly, </w:t>
      </w:r>
      <w:r w:rsidRPr="002640A1">
        <w:rPr>
          <w:rFonts w:ascii="Cambria" w:eastAsia="Aptos" w:hAnsi="Cambria" w:cs="Times New Roman"/>
          <w:kern w:val="2"/>
          <w:sz w:val="24"/>
          <w:szCs w:val="24"/>
          <w14:ligatures w14:val="standardContextual"/>
        </w:rPr>
        <w:lastRenderedPageBreak/>
        <w:t xml:space="preserve">it is crucial to strengthen collaboration among the government, academia, business, community, and media in the planning and implementation of the programme. Each element of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must have a clear role and support each other to achieve common goals. Secondly, education for parents and the community should be enhanced to raise awareness of the importance of nutrition for children. Campaign programmes involving social media and community activities can be effective ways to disseminate information about balanced nutrition. According to research by Rahmawati (2023), campaigns involving community participation can significantly improve parents' understanding of child nutrition. Thirdly, more systematic monitoring and evaluation should be conducted to assess the programme's impact periodically. </w:t>
      </w:r>
    </w:p>
    <w:p w14:paraId="0119871B"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Data obtained from evaluations can be used to improve and develop the programme in the future. Additionally, involving academia in the evaluation process can provide a more objective and evidence-based perspective. Fourthly, collaboration with the business sector must be strengthened to ensure the availability of quality and affordable food ingredients. Partnership programmes with local farmers can be a solution to enhance the quality of food ingredients used in the programme. Through this collaboration, it is hoped that sustainability in providing nutritious meals in schools can be achieved. By implementing these recommendations, it is anticipated that the free nutritious meal programme in Gorontalo City can operate more effectively and have a more significant impact on children's health. This will be an important contribution to supporting the realisation of a healthy and intelligent golden generation of 2045. </w:t>
      </w:r>
    </w:p>
    <w:p w14:paraId="4B60C56A" w14:textId="77777777" w:rsidR="002640A1" w:rsidRP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Literature Review on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Analysis in Implementing the Free Nutritious Meal Programme Towards the Golden Generation of 2045 (Case Study in Primary and Secondary Education Levels in Gorontalo City). The Golden Generation of 2045 is a vision proclaimed by the Indonesian government to achieve superior human resource quality. One important aspect of achieving this vision is ensuring good health and nutrition for children, particularly at the primary and secondary education levels. The Free Nutritious Meal Programme (MBG) is one effort to meet the nutritional needs of school children.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involving five key elements: government, academia, community, business, and media, is highly relevant in implementing this programme. In recent years, there has been an increase in awareness of the importance of good nutrition for children. Research shows that children receiving adequate nutritional intake perform better academically and have better health. Multi-Stakeholder Collaboration: The implementation of the MBG programme increasingly involves various parties.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encourages collaboration among government, academia, community, business, and media to create more effective and sustainable programmes. Innovations in Nutritional Delivery: Technology and innovations in delivering nutritious food are also trending, with the use of applications and digital platforms to facilitate distribution and monitoring of nutritional intake. </w:t>
      </w:r>
    </w:p>
    <w:p w14:paraId="5A824C99" w14:textId="77777777" w:rsidR="002640A1" w:rsidRDefault="002640A1" w:rsidP="002640A1">
      <w:pPr>
        <w:spacing w:line="276" w:lineRule="auto"/>
        <w:ind w:firstLine="720"/>
        <w:jc w:val="both"/>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The success of the MBG programme indicates that the programme in Gorontalo City has successfully improved children's access to nutritious food. Most respondents </w:t>
      </w:r>
      <w:r w:rsidRPr="002640A1">
        <w:rPr>
          <w:rFonts w:ascii="Cambria" w:eastAsia="Aptos" w:hAnsi="Cambria" w:cs="Times New Roman"/>
          <w:kern w:val="2"/>
          <w:sz w:val="24"/>
          <w:szCs w:val="24"/>
          <w14:ligatures w14:val="standardContextual"/>
        </w:rPr>
        <w:lastRenderedPageBreak/>
        <w:t xml:space="preserve">acknowledge that they have noticed positive changes in their children's health.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has proven effective in coordinating various parties. Local government plays the role of policy initiator, while academia provides support in research and menu development. The community actively participates in programme implementation, and the business sector provides resources and logistical support. However, challenges remain for the Gorontalo City government, such as a lack of awareness among parents regarding the importance of nutrition and budget constraints affecting programme sustainability. Therefore, this research recommends the need to enhance nutrition education for parents and the community, as well as strengthen collaboration among all elements in the </w:t>
      </w:r>
      <w:proofErr w:type="spellStart"/>
      <w:r w:rsidRPr="002640A1">
        <w:rPr>
          <w:rFonts w:ascii="Cambria" w:eastAsia="Aptos" w:hAnsi="Cambria" w:cs="Times New Roman"/>
          <w:kern w:val="2"/>
          <w:sz w:val="24"/>
          <w:szCs w:val="24"/>
          <w14:ligatures w14:val="standardContextual"/>
        </w:rPr>
        <w:t>Pentahelix</w:t>
      </w:r>
      <w:proofErr w:type="spellEnd"/>
      <w:r w:rsidRPr="002640A1">
        <w:rPr>
          <w:rFonts w:ascii="Cambria" w:eastAsia="Aptos" w:hAnsi="Cambria" w:cs="Times New Roman"/>
          <w:kern w:val="2"/>
          <w:sz w:val="24"/>
          <w:szCs w:val="24"/>
          <w14:ligatures w14:val="standardContextual"/>
        </w:rPr>
        <w:t xml:space="preserve"> Model to ensure the sustainability of the MBG programme.</w:t>
      </w:r>
    </w:p>
    <w:p w14:paraId="2755D935" w14:textId="77777777" w:rsidR="002640A1" w:rsidRPr="002640A1" w:rsidRDefault="002640A1" w:rsidP="002640A1">
      <w:pPr>
        <w:spacing w:before="100" w:beforeAutospacing="1" w:after="100" w:afterAutospacing="1" w:line="276" w:lineRule="auto"/>
        <w:rPr>
          <w:rFonts w:ascii="Cambria" w:eastAsia="Times New Roman" w:hAnsi="Cambria" w:cs="Times New Roman"/>
          <w:b/>
          <w:bCs/>
          <w:sz w:val="24"/>
          <w:szCs w:val="24"/>
          <w:lang w:eastAsia="en-ID"/>
        </w:rPr>
      </w:pPr>
      <w:r w:rsidRPr="002640A1">
        <w:rPr>
          <w:rFonts w:ascii="Cambria" w:eastAsia="Times New Roman" w:hAnsi="Cambria" w:cs="Times New Roman"/>
          <w:b/>
          <w:bCs/>
          <w:sz w:val="24"/>
          <w:szCs w:val="24"/>
          <w:lang w:eastAsia="en-ID"/>
        </w:rPr>
        <w:t xml:space="preserve">Conclusion </w:t>
      </w:r>
    </w:p>
    <w:p w14:paraId="237A80A0" w14:textId="77777777" w:rsidR="002640A1" w:rsidRPr="002640A1" w:rsidRDefault="002640A1" w:rsidP="002640A1">
      <w:pPr>
        <w:spacing w:before="100" w:beforeAutospacing="1" w:after="100" w:afterAutospacing="1" w:line="276" w:lineRule="auto"/>
        <w:ind w:firstLine="720"/>
        <w:jc w:val="both"/>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The implementation of the Free Nutritional Meal Programme towards the Golden Generation 2045 in Gorontalo City demonstrates significant potential in enhancing child nutrition. The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model is pivotal in fostering effective collaboration among various stakeholders. However, to achieve optimal results, sustained efforts are required to raise awareness of the importance of nutrition and strengthen support from all elements of society. Further research is necessary to evaluate the long-term impact of this programme and to identify best practices that can be adopted in other regions. Given the research gaps identified, it is crucial for researchers to develop more comprehensive studies on the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model in free nutritional meal programmes. In-depth research into these unexplored aspects will not only contribute academically but may also assist in formulating more effective policies to support the Golden Generation 2045 in Indonesia.</w:t>
      </w:r>
    </w:p>
    <w:p w14:paraId="2DA540B5" w14:textId="77777777" w:rsidR="002640A1" w:rsidRPr="002640A1" w:rsidRDefault="002640A1" w:rsidP="002640A1">
      <w:pPr>
        <w:spacing w:after="0" w:line="276" w:lineRule="auto"/>
        <w:rPr>
          <w:rFonts w:ascii="Cambria" w:eastAsia="Times New Roman" w:hAnsi="Cambria" w:cs="Times New Roman"/>
          <w:b/>
          <w:bCs/>
          <w:sz w:val="24"/>
          <w:szCs w:val="24"/>
          <w:lang w:eastAsia="en-ID"/>
        </w:rPr>
      </w:pPr>
      <w:r w:rsidRPr="002640A1">
        <w:rPr>
          <w:rFonts w:ascii="Cambria" w:eastAsia="Times New Roman" w:hAnsi="Cambria" w:cs="Times New Roman"/>
          <w:b/>
          <w:bCs/>
          <w:sz w:val="24"/>
          <w:szCs w:val="24"/>
          <w:lang w:eastAsia="en-ID"/>
        </w:rPr>
        <w:t xml:space="preserve">Policy Recommendations </w:t>
      </w:r>
    </w:p>
    <w:p w14:paraId="37B03DA4" w14:textId="77777777" w:rsidR="002640A1" w:rsidRPr="002640A1" w:rsidRDefault="002640A1" w:rsidP="002640A1">
      <w:pPr>
        <w:spacing w:after="0" w:line="276" w:lineRule="auto"/>
        <w:ind w:firstLine="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The following policy recommendations are suggested for future research:</w:t>
      </w:r>
    </w:p>
    <w:p w14:paraId="7F3986E7" w14:textId="77777777" w:rsidR="002640A1" w:rsidRPr="002640A1" w:rsidRDefault="002640A1" w:rsidP="002640A1">
      <w:pPr>
        <w:numPr>
          <w:ilvl w:val="0"/>
          <w:numId w:val="2"/>
        </w:numPr>
        <w:tabs>
          <w:tab w:val="num" w:pos="426"/>
        </w:tabs>
        <w:spacing w:after="100" w:afterAutospacing="1" w:line="276" w:lineRule="auto"/>
        <w:ind w:left="284" w:hanging="284"/>
        <w:jc w:val="both"/>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Long-term Impact Evaluation: While many studies focus on implementation, few evaluate the long-term impacts of free nutritional meal programmes. More in-depth research is needed to understand how these programmes affect students' health and academic performance over time.</w:t>
      </w:r>
    </w:p>
    <w:p w14:paraId="5CF95350" w14:textId="77777777" w:rsidR="002640A1" w:rsidRPr="002640A1" w:rsidRDefault="002640A1" w:rsidP="002640A1">
      <w:pPr>
        <w:numPr>
          <w:ilvl w:val="0"/>
          <w:numId w:val="2"/>
        </w:numPr>
        <w:tabs>
          <w:tab w:val="num" w:pos="426"/>
        </w:tabs>
        <w:spacing w:before="100" w:beforeAutospacing="1" w:after="100" w:afterAutospacing="1" w:line="276" w:lineRule="auto"/>
        <w:ind w:left="284" w:hanging="284"/>
        <w:jc w:val="both"/>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Involvement of Parents and Students: The involvement of students in decision-making processes regarding meal menus and nutrition programmes has received insufficient attention. Further research could explore how student participation might enhance the success of the programme.</w:t>
      </w:r>
    </w:p>
    <w:p w14:paraId="63FE0697" w14:textId="77777777" w:rsidR="002640A1" w:rsidRPr="002640A1" w:rsidRDefault="002640A1" w:rsidP="002640A1">
      <w:pPr>
        <w:numPr>
          <w:ilvl w:val="0"/>
          <w:numId w:val="2"/>
        </w:numPr>
        <w:tabs>
          <w:tab w:val="num" w:pos="426"/>
        </w:tabs>
        <w:spacing w:before="100" w:beforeAutospacing="1" w:after="100" w:afterAutospacing="1" w:line="276" w:lineRule="auto"/>
        <w:ind w:left="284" w:hanging="284"/>
        <w:jc w:val="both"/>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Cultural and Local Aspects: Research that considers cultural and local factors in the development of nutritious meal menus is also limited. There is a need to understand local food preferences and how these can be integrated into nutrition programmes.</w:t>
      </w:r>
    </w:p>
    <w:p w14:paraId="234FC997" w14:textId="77777777" w:rsidR="002640A1" w:rsidRDefault="002640A1" w:rsidP="002640A1">
      <w:pPr>
        <w:spacing w:line="278" w:lineRule="auto"/>
        <w:rPr>
          <w:rFonts w:ascii="Cambria" w:eastAsia="Aptos" w:hAnsi="Cambria" w:cs="Times New Roman"/>
          <w:kern w:val="2"/>
          <w:sz w:val="24"/>
          <w:szCs w:val="24"/>
          <w14:ligatures w14:val="standardContextual"/>
        </w:rPr>
      </w:pPr>
    </w:p>
    <w:p w14:paraId="3EE8FB07" w14:textId="77777777" w:rsidR="002640A1" w:rsidRDefault="002640A1" w:rsidP="002640A1">
      <w:pPr>
        <w:spacing w:line="278" w:lineRule="auto"/>
        <w:rPr>
          <w:rFonts w:ascii="Cambria" w:eastAsia="Aptos" w:hAnsi="Cambria" w:cs="Times New Roman"/>
          <w:kern w:val="2"/>
          <w:sz w:val="24"/>
          <w:szCs w:val="24"/>
          <w14:ligatures w14:val="standardContextual"/>
        </w:rPr>
      </w:pPr>
    </w:p>
    <w:p w14:paraId="2AF55D5C" w14:textId="77777777" w:rsidR="002640A1" w:rsidRPr="002640A1" w:rsidRDefault="002640A1" w:rsidP="002640A1">
      <w:pPr>
        <w:spacing w:line="278" w:lineRule="auto"/>
        <w:rPr>
          <w:rFonts w:ascii="Cambria" w:eastAsia="Aptos" w:hAnsi="Cambria" w:cs="Times New Roman"/>
          <w:kern w:val="2"/>
          <w:sz w:val="24"/>
          <w:szCs w:val="24"/>
          <w14:ligatures w14:val="standardContextual"/>
        </w:rPr>
      </w:pPr>
    </w:p>
    <w:p w14:paraId="46F56D90" w14:textId="77777777" w:rsidR="002640A1" w:rsidRPr="002640A1" w:rsidRDefault="002640A1" w:rsidP="002640A1">
      <w:pPr>
        <w:spacing w:after="0" w:line="240" w:lineRule="auto"/>
        <w:ind w:left="567" w:hanging="567"/>
        <w:jc w:val="both"/>
        <w:rPr>
          <w:rFonts w:ascii="Cambria" w:eastAsia="Aptos" w:hAnsi="Cambria" w:cs="Times New Roman"/>
          <w:b/>
          <w:bCs/>
          <w:kern w:val="2"/>
          <w:sz w:val="24"/>
          <w:szCs w:val="24"/>
          <w14:ligatures w14:val="standardContextual"/>
        </w:rPr>
      </w:pPr>
      <w:r w:rsidRPr="002640A1">
        <w:rPr>
          <w:rFonts w:ascii="Cambria" w:eastAsia="Aptos" w:hAnsi="Cambria" w:cs="Times New Roman"/>
          <w:b/>
          <w:bCs/>
          <w:kern w:val="2"/>
          <w:sz w:val="24"/>
          <w:szCs w:val="24"/>
          <w14:ligatures w14:val="standardContextual"/>
        </w:rPr>
        <w:lastRenderedPageBreak/>
        <w:t>References</w:t>
      </w:r>
    </w:p>
    <w:p w14:paraId="507900A2"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Adi, P. (2021). "</w:t>
      </w:r>
      <w:proofErr w:type="spellStart"/>
      <w:r w:rsidRPr="002640A1">
        <w:rPr>
          <w:rFonts w:ascii="Cambria" w:eastAsia="Times New Roman" w:hAnsi="Cambria" w:cs="Times New Roman"/>
          <w:sz w:val="24"/>
          <w:szCs w:val="24"/>
          <w:lang w:eastAsia="en-ID"/>
        </w:rPr>
        <w:t>Evaluasi</w:t>
      </w:r>
      <w:proofErr w:type="spellEnd"/>
      <w:r w:rsidRPr="002640A1">
        <w:rPr>
          <w:rFonts w:ascii="Cambria" w:eastAsia="Times New Roman" w:hAnsi="Cambria" w:cs="Times New Roman"/>
          <w:sz w:val="24"/>
          <w:szCs w:val="24"/>
          <w:lang w:eastAsia="en-ID"/>
        </w:rPr>
        <w:t xml:space="preserve"> Program Makan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di </w:t>
      </w:r>
      <w:proofErr w:type="spellStart"/>
      <w:r w:rsidRPr="002640A1">
        <w:rPr>
          <w:rFonts w:ascii="Cambria" w:eastAsia="Times New Roman" w:hAnsi="Cambria" w:cs="Times New Roman"/>
          <w:sz w:val="24"/>
          <w:szCs w:val="24"/>
          <w:lang w:eastAsia="en-ID"/>
        </w:rPr>
        <w:t>Sekolah</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Menengah</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Evaluasi</w:t>
      </w:r>
      <w:proofErr w:type="spellEnd"/>
      <w:r w:rsidRPr="002640A1">
        <w:rPr>
          <w:rFonts w:ascii="Cambria" w:eastAsia="Times New Roman" w:hAnsi="Cambria" w:cs="Times New Roman"/>
          <w:sz w:val="24"/>
          <w:szCs w:val="24"/>
          <w:lang w:eastAsia="en-ID"/>
        </w:rPr>
        <w:t xml:space="preserve"> Pendidikan, 10(1), 67-79.</w:t>
      </w:r>
    </w:p>
    <w:p w14:paraId="4D1A2017"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Badan Pusat </w:t>
      </w:r>
      <w:proofErr w:type="spellStart"/>
      <w:r w:rsidRPr="002640A1">
        <w:rPr>
          <w:rFonts w:ascii="Cambria" w:eastAsia="Times New Roman" w:hAnsi="Cambria" w:cs="Times New Roman"/>
          <w:sz w:val="24"/>
          <w:szCs w:val="24"/>
          <w:lang w:eastAsia="en-ID"/>
        </w:rPr>
        <w:t>Statistik</w:t>
      </w:r>
      <w:proofErr w:type="spellEnd"/>
      <w:r w:rsidRPr="002640A1">
        <w:rPr>
          <w:rFonts w:ascii="Cambria" w:eastAsia="Times New Roman" w:hAnsi="Cambria" w:cs="Times New Roman"/>
          <w:sz w:val="24"/>
          <w:szCs w:val="24"/>
          <w:lang w:eastAsia="en-ID"/>
        </w:rPr>
        <w:t>. (2021). "</w:t>
      </w:r>
      <w:proofErr w:type="spellStart"/>
      <w:r w:rsidRPr="002640A1">
        <w:rPr>
          <w:rFonts w:ascii="Cambria" w:eastAsia="Times New Roman" w:hAnsi="Cambria" w:cs="Times New Roman"/>
          <w:sz w:val="24"/>
          <w:szCs w:val="24"/>
          <w:lang w:eastAsia="en-ID"/>
        </w:rPr>
        <w:t>Statistik</w:t>
      </w:r>
      <w:proofErr w:type="spellEnd"/>
      <w:r w:rsidRPr="002640A1">
        <w:rPr>
          <w:rFonts w:ascii="Cambria" w:eastAsia="Times New Roman" w:hAnsi="Cambria" w:cs="Times New Roman"/>
          <w:sz w:val="24"/>
          <w:szCs w:val="24"/>
          <w:lang w:eastAsia="en-ID"/>
        </w:rPr>
        <w:t xml:space="preserve"> Gizi Anak di Indonesia." Jakarta: BPS.</w:t>
      </w:r>
    </w:p>
    <w:p w14:paraId="7E4DF901"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Times New Roman" w:hAnsi="Cambria" w:cs="Times New Roman"/>
          <w:sz w:val="24"/>
          <w:szCs w:val="24"/>
          <w:lang w:eastAsia="en-ID"/>
        </w:rPr>
        <w:t>Bappenas</w:t>
      </w:r>
      <w:proofErr w:type="spellEnd"/>
      <w:r w:rsidRPr="002640A1">
        <w:rPr>
          <w:rFonts w:ascii="Cambria" w:eastAsia="Times New Roman" w:hAnsi="Cambria" w:cs="Times New Roman"/>
          <w:sz w:val="24"/>
          <w:szCs w:val="24"/>
          <w:lang w:eastAsia="en-ID"/>
        </w:rPr>
        <w:t>. (2021). "</w:t>
      </w:r>
      <w:proofErr w:type="spellStart"/>
      <w:r w:rsidRPr="002640A1">
        <w:rPr>
          <w:rFonts w:ascii="Cambria" w:eastAsia="Times New Roman" w:hAnsi="Cambria" w:cs="Times New Roman"/>
          <w:sz w:val="24"/>
          <w:szCs w:val="24"/>
          <w:lang w:eastAsia="en-ID"/>
        </w:rPr>
        <w:t>Rencana</w:t>
      </w:r>
      <w:proofErr w:type="spellEnd"/>
      <w:r w:rsidRPr="002640A1">
        <w:rPr>
          <w:rFonts w:ascii="Cambria" w:eastAsia="Times New Roman" w:hAnsi="Cambria" w:cs="Times New Roman"/>
          <w:sz w:val="24"/>
          <w:szCs w:val="24"/>
          <w:lang w:eastAsia="en-ID"/>
        </w:rPr>
        <w:t xml:space="preserve"> Aksi Nasional Pangan dan Gizi." Jakarta: </w:t>
      </w:r>
      <w:proofErr w:type="spellStart"/>
      <w:r w:rsidRPr="002640A1">
        <w:rPr>
          <w:rFonts w:ascii="Cambria" w:eastAsia="Times New Roman" w:hAnsi="Cambria" w:cs="Times New Roman"/>
          <w:sz w:val="24"/>
          <w:szCs w:val="24"/>
          <w:lang w:eastAsia="en-ID"/>
        </w:rPr>
        <w:t>Bappenas.Hidayati</w:t>
      </w:r>
      <w:proofErr w:type="spellEnd"/>
      <w:r w:rsidRPr="002640A1">
        <w:rPr>
          <w:rFonts w:ascii="Cambria" w:eastAsia="Times New Roman" w:hAnsi="Cambria" w:cs="Times New Roman"/>
          <w:sz w:val="24"/>
          <w:szCs w:val="24"/>
          <w:lang w:eastAsia="en-ID"/>
        </w:rPr>
        <w:t>, N. (2022). "</w:t>
      </w:r>
      <w:proofErr w:type="spellStart"/>
      <w:r w:rsidRPr="002640A1">
        <w:rPr>
          <w:rFonts w:ascii="Cambria" w:eastAsia="Times New Roman" w:hAnsi="Cambria" w:cs="Times New Roman"/>
          <w:sz w:val="24"/>
          <w:szCs w:val="24"/>
          <w:lang w:eastAsia="en-ID"/>
        </w:rPr>
        <w:t>Keterlibatan</w:t>
      </w:r>
      <w:proofErr w:type="spellEnd"/>
      <w:r w:rsidRPr="002640A1">
        <w:rPr>
          <w:rFonts w:ascii="Cambria" w:eastAsia="Times New Roman" w:hAnsi="Cambria" w:cs="Times New Roman"/>
          <w:sz w:val="24"/>
          <w:szCs w:val="24"/>
          <w:lang w:eastAsia="en-ID"/>
        </w:rPr>
        <w:t xml:space="preserve"> Stakeholder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Program Makan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Pembangunan Sosial, 14(2), 98-110.</w:t>
      </w:r>
    </w:p>
    <w:p w14:paraId="105695B9" w14:textId="77777777" w:rsidR="002640A1" w:rsidRPr="002640A1" w:rsidRDefault="002640A1" w:rsidP="002640A1">
      <w:pPr>
        <w:spacing w:before="100" w:beforeAutospacing="1" w:after="100" w:afterAutospacing="1" w:line="240" w:lineRule="auto"/>
        <w:ind w:left="720" w:hanging="720"/>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Creswell, J. W. (2014). Research Design: Qualitative, Quantitative, and Mixed Methods Approaches</w:t>
      </w:r>
      <w:r w:rsidRPr="002640A1">
        <w:rPr>
          <w:rFonts w:ascii="Cambria" w:eastAsia="Aptos" w:hAnsi="Cambria" w:cs="Times New Roman"/>
          <w:b/>
          <w:bCs/>
          <w:kern w:val="2"/>
          <w:sz w:val="24"/>
          <w:szCs w:val="24"/>
          <w14:ligatures w14:val="standardContextual"/>
        </w:rPr>
        <w:t>.</w:t>
      </w:r>
      <w:r w:rsidRPr="002640A1">
        <w:rPr>
          <w:rFonts w:ascii="Cambria" w:eastAsia="Aptos" w:hAnsi="Cambria" w:cs="Times New Roman"/>
          <w:kern w:val="2"/>
          <w:sz w:val="24"/>
          <w:szCs w:val="24"/>
          <w14:ligatures w14:val="standardContextual"/>
        </w:rPr>
        <w:t xml:space="preserve"> Thousand Oaks: SAGE Publications</w:t>
      </w:r>
    </w:p>
    <w:p w14:paraId="64BAA582" w14:textId="77777777" w:rsidR="002640A1" w:rsidRPr="002640A1" w:rsidRDefault="002640A1" w:rsidP="002640A1">
      <w:pPr>
        <w:spacing w:before="100" w:beforeAutospacing="1" w:after="100" w:afterAutospacing="1" w:line="240" w:lineRule="auto"/>
        <w:ind w:left="720" w:hanging="720"/>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Denzin, N. K., &amp; Lincoln, Y. S. (2011). The SAGE Handbook of Qualitative Research</w:t>
      </w:r>
      <w:r w:rsidRPr="002640A1">
        <w:rPr>
          <w:rFonts w:ascii="Cambria" w:eastAsia="Aptos" w:hAnsi="Cambria" w:cs="Times New Roman"/>
          <w:b/>
          <w:bCs/>
          <w:kern w:val="2"/>
          <w:sz w:val="24"/>
          <w:szCs w:val="24"/>
          <w14:ligatures w14:val="standardContextual"/>
        </w:rPr>
        <w:t>.</w:t>
      </w:r>
      <w:r w:rsidRPr="002640A1">
        <w:rPr>
          <w:rFonts w:ascii="Cambria" w:eastAsia="Aptos" w:hAnsi="Cambria" w:cs="Times New Roman"/>
          <w:kern w:val="2"/>
          <w:sz w:val="24"/>
          <w:szCs w:val="24"/>
          <w14:ligatures w14:val="standardContextual"/>
        </w:rPr>
        <w:t xml:space="preserve"> Thousand Oaks: SAGE Publications. </w:t>
      </w:r>
    </w:p>
    <w:p w14:paraId="676C5B1E"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Iskandar, M. (2021). "</w:t>
      </w:r>
      <w:proofErr w:type="spellStart"/>
      <w:r w:rsidRPr="002640A1">
        <w:rPr>
          <w:rFonts w:ascii="Cambria" w:eastAsia="Times New Roman" w:hAnsi="Cambria" w:cs="Times New Roman"/>
          <w:sz w:val="24"/>
          <w:szCs w:val="24"/>
          <w:lang w:eastAsia="en-ID"/>
        </w:rPr>
        <w:t>Analisis</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Kebijakan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Makanan</w:t>
      </w:r>
      <w:proofErr w:type="spellEnd"/>
      <w:r w:rsidRPr="002640A1">
        <w:rPr>
          <w:rFonts w:ascii="Cambria" w:eastAsia="Times New Roman" w:hAnsi="Cambria" w:cs="Times New Roman"/>
          <w:sz w:val="24"/>
          <w:szCs w:val="24"/>
          <w:lang w:eastAsia="en-ID"/>
        </w:rPr>
        <w:t xml:space="preserve"> Sekolah: </w:t>
      </w:r>
      <w:proofErr w:type="spellStart"/>
      <w:r w:rsidRPr="002640A1">
        <w:rPr>
          <w:rFonts w:ascii="Cambria" w:eastAsia="Times New Roman" w:hAnsi="Cambria" w:cs="Times New Roman"/>
          <w:sz w:val="24"/>
          <w:szCs w:val="24"/>
          <w:lang w:eastAsia="en-ID"/>
        </w:rPr>
        <w:t>Pendekatan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Kebijakan</w:t>
      </w:r>
      <w:proofErr w:type="spellEnd"/>
      <w:r w:rsidRPr="002640A1">
        <w:rPr>
          <w:rFonts w:ascii="Cambria" w:eastAsia="Times New Roman" w:hAnsi="Cambria" w:cs="Times New Roman"/>
          <w:sz w:val="24"/>
          <w:szCs w:val="24"/>
          <w:lang w:eastAsia="en-ID"/>
        </w:rPr>
        <w:t xml:space="preserve"> dan </w:t>
      </w:r>
      <w:proofErr w:type="spellStart"/>
      <w:r w:rsidRPr="002640A1">
        <w:rPr>
          <w:rFonts w:ascii="Cambria" w:eastAsia="Times New Roman" w:hAnsi="Cambria" w:cs="Times New Roman"/>
          <w:sz w:val="24"/>
          <w:szCs w:val="24"/>
          <w:lang w:eastAsia="en-ID"/>
        </w:rPr>
        <w:t>Manajemen</w:t>
      </w:r>
      <w:proofErr w:type="spellEnd"/>
      <w:r w:rsidRPr="002640A1">
        <w:rPr>
          <w:rFonts w:ascii="Cambria" w:eastAsia="Times New Roman" w:hAnsi="Cambria" w:cs="Times New Roman"/>
          <w:sz w:val="24"/>
          <w:szCs w:val="24"/>
          <w:lang w:eastAsia="en-ID"/>
        </w:rPr>
        <w:t xml:space="preserve"> Pendidikan, 10(4), 234-245</w:t>
      </w:r>
    </w:p>
    <w:p w14:paraId="42F08782"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Kementerian Kesehatan. (2021). "Strategi Nasional Pangan dan Gizi." Jakarta: </w:t>
      </w:r>
      <w:proofErr w:type="spellStart"/>
      <w:r w:rsidRPr="002640A1">
        <w:rPr>
          <w:rFonts w:ascii="Cambria" w:eastAsia="Times New Roman" w:hAnsi="Cambria" w:cs="Times New Roman"/>
          <w:sz w:val="24"/>
          <w:szCs w:val="24"/>
          <w:lang w:eastAsia="en-ID"/>
        </w:rPr>
        <w:t>Kemenkes</w:t>
      </w:r>
      <w:proofErr w:type="spellEnd"/>
      <w:r w:rsidRPr="002640A1">
        <w:rPr>
          <w:rFonts w:ascii="Cambria" w:eastAsia="Times New Roman" w:hAnsi="Cambria" w:cs="Times New Roman"/>
          <w:sz w:val="24"/>
          <w:szCs w:val="24"/>
          <w:lang w:eastAsia="en-ID"/>
        </w:rPr>
        <w:t>.</w:t>
      </w:r>
    </w:p>
    <w:p w14:paraId="208B5880"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Kementerian Pendidikan dan </w:t>
      </w:r>
      <w:proofErr w:type="spellStart"/>
      <w:r w:rsidRPr="002640A1">
        <w:rPr>
          <w:rFonts w:ascii="Cambria" w:eastAsia="Times New Roman" w:hAnsi="Cambria" w:cs="Times New Roman"/>
          <w:sz w:val="24"/>
          <w:szCs w:val="24"/>
          <w:lang w:eastAsia="en-ID"/>
        </w:rPr>
        <w:t>Kebudayaan</w:t>
      </w:r>
      <w:proofErr w:type="spellEnd"/>
      <w:r w:rsidRPr="002640A1">
        <w:rPr>
          <w:rFonts w:ascii="Cambria" w:eastAsia="Times New Roman" w:hAnsi="Cambria" w:cs="Times New Roman"/>
          <w:sz w:val="24"/>
          <w:szCs w:val="24"/>
          <w:lang w:eastAsia="en-ID"/>
        </w:rPr>
        <w:t xml:space="preserve">. (2022). "Panduan Program Makan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di Sekolah." Jakarta: </w:t>
      </w:r>
      <w:proofErr w:type="spellStart"/>
      <w:r w:rsidRPr="002640A1">
        <w:rPr>
          <w:rFonts w:ascii="Cambria" w:eastAsia="Times New Roman" w:hAnsi="Cambria" w:cs="Times New Roman"/>
          <w:sz w:val="24"/>
          <w:szCs w:val="24"/>
          <w:lang w:eastAsia="en-ID"/>
        </w:rPr>
        <w:t>Kemdikbud</w:t>
      </w:r>
      <w:proofErr w:type="spellEnd"/>
      <w:r w:rsidRPr="002640A1">
        <w:rPr>
          <w:rFonts w:ascii="Cambria" w:eastAsia="Times New Roman" w:hAnsi="Cambria" w:cs="Times New Roman"/>
          <w:sz w:val="24"/>
          <w:szCs w:val="24"/>
          <w:lang w:eastAsia="en-ID"/>
        </w:rPr>
        <w:t>.</w:t>
      </w:r>
    </w:p>
    <w:p w14:paraId="1CCEEAE9"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Kementerian Sosial. (2022). "Program </w:t>
      </w:r>
      <w:proofErr w:type="spellStart"/>
      <w:r w:rsidRPr="002640A1">
        <w:rPr>
          <w:rFonts w:ascii="Cambria" w:eastAsia="Times New Roman" w:hAnsi="Cambria" w:cs="Times New Roman"/>
          <w:sz w:val="24"/>
          <w:szCs w:val="24"/>
          <w:lang w:eastAsia="en-ID"/>
        </w:rPr>
        <w:t>Bantuan</w:t>
      </w:r>
      <w:proofErr w:type="spellEnd"/>
      <w:r w:rsidRPr="002640A1">
        <w:rPr>
          <w:rFonts w:ascii="Cambria" w:eastAsia="Times New Roman" w:hAnsi="Cambria" w:cs="Times New Roman"/>
          <w:sz w:val="24"/>
          <w:szCs w:val="24"/>
          <w:lang w:eastAsia="en-ID"/>
        </w:rPr>
        <w:t xml:space="preserve"> Sosial </w:t>
      </w:r>
      <w:proofErr w:type="spellStart"/>
      <w:r w:rsidRPr="002640A1">
        <w:rPr>
          <w:rFonts w:ascii="Cambria" w:eastAsia="Times New Roman" w:hAnsi="Cambria" w:cs="Times New Roman"/>
          <w:sz w:val="24"/>
          <w:szCs w:val="24"/>
          <w:lang w:eastAsia="en-ID"/>
        </w:rPr>
        <w:t>untuk</w:t>
      </w:r>
      <w:proofErr w:type="spellEnd"/>
      <w:r w:rsidRPr="002640A1">
        <w:rPr>
          <w:rFonts w:ascii="Cambria" w:eastAsia="Times New Roman" w:hAnsi="Cambria" w:cs="Times New Roman"/>
          <w:sz w:val="24"/>
          <w:szCs w:val="24"/>
          <w:lang w:eastAsia="en-ID"/>
        </w:rPr>
        <w:t xml:space="preserve"> Gizi Anak." Jakarta: </w:t>
      </w:r>
      <w:proofErr w:type="spellStart"/>
      <w:r w:rsidRPr="002640A1">
        <w:rPr>
          <w:rFonts w:ascii="Cambria" w:eastAsia="Times New Roman" w:hAnsi="Cambria" w:cs="Times New Roman"/>
          <w:sz w:val="24"/>
          <w:szCs w:val="24"/>
          <w:lang w:eastAsia="en-ID"/>
        </w:rPr>
        <w:t>Kemensos</w:t>
      </w:r>
      <w:proofErr w:type="spellEnd"/>
      <w:r w:rsidRPr="002640A1">
        <w:rPr>
          <w:rFonts w:ascii="Cambria" w:eastAsia="Times New Roman" w:hAnsi="Cambria" w:cs="Times New Roman"/>
          <w:sz w:val="24"/>
          <w:szCs w:val="24"/>
          <w:lang w:eastAsia="en-ID"/>
        </w:rPr>
        <w:t>.</w:t>
      </w:r>
    </w:p>
    <w:p w14:paraId="4916C044"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Lestari, Y. (2021). "Peran Orang Tua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Meningkatkan</w:t>
      </w:r>
      <w:proofErr w:type="spellEnd"/>
      <w:r w:rsidRPr="002640A1">
        <w:rPr>
          <w:rFonts w:ascii="Cambria" w:eastAsia="Times New Roman" w:hAnsi="Cambria" w:cs="Times New Roman"/>
          <w:sz w:val="24"/>
          <w:szCs w:val="24"/>
          <w:lang w:eastAsia="en-ID"/>
        </w:rPr>
        <w:t xml:space="preserve"> Gizi Anak."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Kesehatan Masyarakat, 13(2), 33-42.</w:t>
      </w:r>
    </w:p>
    <w:p w14:paraId="08DABF75"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Times New Roman" w:hAnsi="Cambria" w:cs="Times New Roman"/>
          <w:sz w:val="24"/>
          <w:szCs w:val="24"/>
          <w:lang w:eastAsia="en-ID"/>
        </w:rPr>
        <w:t>Mardiana</w:t>
      </w:r>
      <w:proofErr w:type="spellEnd"/>
      <w:r w:rsidRPr="002640A1">
        <w:rPr>
          <w:rFonts w:ascii="Cambria" w:eastAsia="Times New Roman" w:hAnsi="Cambria" w:cs="Times New Roman"/>
          <w:sz w:val="24"/>
          <w:szCs w:val="24"/>
          <w:lang w:eastAsia="en-ID"/>
        </w:rPr>
        <w:t xml:space="preserve">, T. (2019). "Model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Pembangunan </w:t>
      </w:r>
      <w:proofErr w:type="spellStart"/>
      <w:r w:rsidRPr="002640A1">
        <w:rPr>
          <w:rFonts w:ascii="Cambria" w:eastAsia="Times New Roman" w:hAnsi="Cambria" w:cs="Times New Roman"/>
          <w:sz w:val="24"/>
          <w:szCs w:val="24"/>
          <w:lang w:eastAsia="en-ID"/>
        </w:rPr>
        <w:t>Berkelanjutan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Pembangunan Ekonomi, 7(3), 145-158.</w:t>
      </w:r>
    </w:p>
    <w:p w14:paraId="4AEF9B4F"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Aptos" w:hAnsi="Cambria" w:cs="Times New Roman"/>
          <w:kern w:val="2"/>
          <w:sz w:val="24"/>
          <w:szCs w:val="24"/>
          <w14:ligatures w14:val="standardContextual"/>
        </w:rPr>
        <w:t>Moleong</w:t>
      </w:r>
      <w:proofErr w:type="spellEnd"/>
      <w:r w:rsidRPr="002640A1">
        <w:rPr>
          <w:rFonts w:ascii="Cambria" w:eastAsia="Aptos" w:hAnsi="Cambria" w:cs="Times New Roman"/>
          <w:kern w:val="2"/>
          <w:sz w:val="24"/>
          <w:szCs w:val="24"/>
          <w14:ligatures w14:val="standardContextual"/>
        </w:rPr>
        <w:t xml:space="preserve">, L. J. (2018). </w:t>
      </w:r>
      <w:proofErr w:type="spellStart"/>
      <w:r w:rsidRPr="002640A1">
        <w:rPr>
          <w:rFonts w:ascii="Cambria" w:eastAsia="Aptos" w:hAnsi="Cambria" w:cs="Times New Roman"/>
          <w:kern w:val="2"/>
          <w:sz w:val="24"/>
          <w:szCs w:val="24"/>
          <w14:ligatures w14:val="standardContextual"/>
        </w:rPr>
        <w:t>Metodologi</w:t>
      </w:r>
      <w:proofErr w:type="spellEnd"/>
      <w:r w:rsidRPr="002640A1">
        <w:rPr>
          <w:rFonts w:ascii="Cambria" w:eastAsia="Aptos" w:hAnsi="Cambria" w:cs="Times New Roman"/>
          <w:kern w:val="2"/>
          <w:sz w:val="24"/>
          <w:szCs w:val="24"/>
          <w14:ligatures w14:val="standardContextual"/>
        </w:rPr>
        <w:t xml:space="preserve"> </w:t>
      </w:r>
      <w:proofErr w:type="spellStart"/>
      <w:r w:rsidRPr="002640A1">
        <w:rPr>
          <w:rFonts w:ascii="Cambria" w:eastAsia="Aptos" w:hAnsi="Cambria" w:cs="Times New Roman"/>
          <w:kern w:val="2"/>
          <w:sz w:val="24"/>
          <w:szCs w:val="24"/>
          <w14:ligatures w14:val="standardContextual"/>
        </w:rPr>
        <w:t>Penelitian</w:t>
      </w:r>
      <w:proofErr w:type="spellEnd"/>
      <w:r w:rsidRPr="002640A1">
        <w:rPr>
          <w:rFonts w:ascii="Cambria" w:eastAsia="Aptos" w:hAnsi="Cambria" w:cs="Times New Roman"/>
          <w:kern w:val="2"/>
          <w:sz w:val="24"/>
          <w:szCs w:val="24"/>
          <w14:ligatures w14:val="standardContextual"/>
        </w:rPr>
        <w:t xml:space="preserve"> </w:t>
      </w:r>
      <w:proofErr w:type="spellStart"/>
      <w:r w:rsidRPr="002640A1">
        <w:rPr>
          <w:rFonts w:ascii="Cambria" w:eastAsia="Aptos" w:hAnsi="Cambria" w:cs="Times New Roman"/>
          <w:kern w:val="2"/>
          <w:sz w:val="24"/>
          <w:szCs w:val="24"/>
          <w14:ligatures w14:val="standardContextual"/>
        </w:rPr>
        <w:t>Kualitatif</w:t>
      </w:r>
      <w:proofErr w:type="spellEnd"/>
      <w:r w:rsidRPr="002640A1">
        <w:rPr>
          <w:rFonts w:ascii="Cambria" w:eastAsia="Aptos" w:hAnsi="Cambria" w:cs="Times New Roman"/>
          <w:b/>
          <w:bCs/>
          <w:kern w:val="2"/>
          <w:sz w:val="24"/>
          <w:szCs w:val="24"/>
          <w14:ligatures w14:val="standardContextual"/>
        </w:rPr>
        <w:t>.</w:t>
      </w:r>
      <w:r w:rsidRPr="002640A1">
        <w:rPr>
          <w:rFonts w:ascii="Cambria" w:eastAsia="Aptos" w:hAnsi="Cambria" w:cs="Times New Roman"/>
          <w:kern w:val="2"/>
          <w:sz w:val="24"/>
          <w:szCs w:val="24"/>
          <w14:ligatures w14:val="standardContextual"/>
        </w:rPr>
        <w:t xml:space="preserve"> Bandung: PT </w:t>
      </w:r>
      <w:proofErr w:type="spellStart"/>
      <w:r w:rsidRPr="002640A1">
        <w:rPr>
          <w:rFonts w:ascii="Cambria" w:eastAsia="Aptos" w:hAnsi="Cambria" w:cs="Times New Roman"/>
          <w:kern w:val="2"/>
          <w:sz w:val="24"/>
          <w:szCs w:val="24"/>
          <w14:ligatures w14:val="standardContextual"/>
        </w:rPr>
        <w:t>Remaja</w:t>
      </w:r>
      <w:proofErr w:type="spellEnd"/>
      <w:r w:rsidRPr="002640A1">
        <w:rPr>
          <w:rFonts w:ascii="Cambria" w:eastAsia="Aptos" w:hAnsi="Cambria" w:cs="Times New Roman"/>
          <w:kern w:val="2"/>
          <w:sz w:val="24"/>
          <w:szCs w:val="24"/>
          <w14:ligatures w14:val="standardContextual"/>
        </w:rPr>
        <w:t xml:space="preserve"> </w:t>
      </w:r>
      <w:proofErr w:type="spellStart"/>
      <w:r w:rsidRPr="002640A1">
        <w:rPr>
          <w:rFonts w:ascii="Cambria" w:eastAsia="Aptos" w:hAnsi="Cambria" w:cs="Times New Roman"/>
          <w:kern w:val="2"/>
          <w:sz w:val="24"/>
          <w:szCs w:val="24"/>
          <w14:ligatures w14:val="standardContextual"/>
        </w:rPr>
        <w:t>Rosdakarya</w:t>
      </w:r>
      <w:proofErr w:type="spellEnd"/>
      <w:r w:rsidRPr="002640A1">
        <w:rPr>
          <w:rFonts w:ascii="Cambria" w:eastAsia="Aptos" w:hAnsi="Cambria" w:cs="Times New Roman"/>
          <w:kern w:val="2"/>
          <w:sz w:val="24"/>
          <w:szCs w:val="24"/>
          <w14:ligatures w14:val="standardContextual"/>
        </w:rPr>
        <w:t xml:space="preserve">. </w:t>
      </w:r>
    </w:p>
    <w:p w14:paraId="6525FB31"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Nugroho, E. (2022). "</w:t>
      </w:r>
      <w:proofErr w:type="spellStart"/>
      <w:r w:rsidRPr="002640A1">
        <w:rPr>
          <w:rFonts w:ascii="Cambria" w:eastAsia="Times New Roman" w:hAnsi="Cambria" w:cs="Times New Roman"/>
          <w:sz w:val="24"/>
          <w:szCs w:val="24"/>
          <w:lang w:eastAsia="en-ID"/>
        </w:rPr>
        <w:t>Analisis</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Efektivitas</w:t>
      </w:r>
      <w:proofErr w:type="spellEnd"/>
      <w:r w:rsidRPr="002640A1">
        <w:rPr>
          <w:rFonts w:ascii="Cambria" w:eastAsia="Times New Roman" w:hAnsi="Cambria" w:cs="Times New Roman"/>
          <w:sz w:val="24"/>
          <w:szCs w:val="24"/>
          <w:lang w:eastAsia="en-ID"/>
        </w:rPr>
        <w:t xml:space="preserve"> Program Makan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Gratis."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Manajemen</w:t>
      </w:r>
      <w:proofErr w:type="spellEnd"/>
      <w:r w:rsidRPr="002640A1">
        <w:rPr>
          <w:rFonts w:ascii="Cambria" w:eastAsia="Times New Roman" w:hAnsi="Cambria" w:cs="Times New Roman"/>
          <w:sz w:val="24"/>
          <w:szCs w:val="24"/>
          <w:lang w:eastAsia="en-ID"/>
        </w:rPr>
        <w:t xml:space="preserve"> dan </w:t>
      </w:r>
      <w:proofErr w:type="spellStart"/>
      <w:r w:rsidRPr="002640A1">
        <w:rPr>
          <w:rFonts w:ascii="Cambria" w:eastAsia="Times New Roman" w:hAnsi="Cambria" w:cs="Times New Roman"/>
          <w:sz w:val="24"/>
          <w:szCs w:val="24"/>
          <w:lang w:eastAsia="en-ID"/>
        </w:rPr>
        <w:t>Kebijakan</w:t>
      </w:r>
      <w:proofErr w:type="spellEnd"/>
      <w:r w:rsidRPr="002640A1">
        <w:rPr>
          <w:rFonts w:ascii="Cambria" w:eastAsia="Times New Roman" w:hAnsi="Cambria" w:cs="Times New Roman"/>
          <w:sz w:val="24"/>
          <w:szCs w:val="24"/>
          <w:lang w:eastAsia="en-ID"/>
        </w:rPr>
        <w:t>, 9(3), 200-215.</w:t>
      </w:r>
    </w:p>
    <w:p w14:paraId="7D226A4D" w14:textId="77777777" w:rsidR="002640A1" w:rsidRPr="002640A1" w:rsidRDefault="002640A1" w:rsidP="002640A1">
      <w:pPr>
        <w:spacing w:before="100" w:beforeAutospacing="1" w:after="100" w:afterAutospacing="1" w:line="240" w:lineRule="auto"/>
        <w:ind w:left="720" w:hanging="720"/>
        <w:rPr>
          <w:rFonts w:ascii="Cambria" w:eastAsia="Aptos" w:hAnsi="Cambria" w:cs="Times New Roman"/>
          <w:kern w:val="2"/>
          <w:sz w:val="24"/>
          <w:szCs w:val="24"/>
          <w14:ligatures w14:val="standardContextual"/>
        </w:rPr>
      </w:pPr>
      <w:r w:rsidRPr="002640A1">
        <w:rPr>
          <w:rFonts w:ascii="Cambria" w:eastAsia="Aptos" w:hAnsi="Cambria" w:cs="Times New Roman"/>
          <w:kern w:val="2"/>
          <w:sz w:val="24"/>
          <w:szCs w:val="24"/>
          <w14:ligatures w14:val="standardContextual"/>
        </w:rPr>
        <w:t xml:space="preserve">Patton, M. Q. (2015). Qualitative Research &amp; Evaluation Methods. Thousand Oaks: SAGE Publications. </w:t>
      </w:r>
    </w:p>
    <w:p w14:paraId="2C551492"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Times New Roman" w:hAnsi="Cambria" w:cs="Times New Roman"/>
          <w:sz w:val="24"/>
          <w:szCs w:val="24"/>
          <w:lang w:eastAsia="en-ID"/>
        </w:rPr>
        <w:t>Prasetyo</w:t>
      </w:r>
      <w:proofErr w:type="spellEnd"/>
      <w:r w:rsidRPr="002640A1">
        <w:rPr>
          <w:rFonts w:ascii="Cambria" w:eastAsia="Times New Roman" w:hAnsi="Cambria" w:cs="Times New Roman"/>
          <w:sz w:val="24"/>
          <w:szCs w:val="24"/>
          <w:lang w:eastAsia="en-ID"/>
        </w:rPr>
        <w:t>, A. (2020). "</w:t>
      </w:r>
      <w:proofErr w:type="spellStart"/>
      <w:r w:rsidRPr="002640A1">
        <w:rPr>
          <w:rFonts w:ascii="Cambria" w:eastAsia="Times New Roman" w:hAnsi="Cambria" w:cs="Times New Roman"/>
          <w:sz w:val="24"/>
          <w:szCs w:val="24"/>
          <w:lang w:eastAsia="en-ID"/>
        </w:rPr>
        <w:t>Implementasi</w:t>
      </w:r>
      <w:proofErr w:type="spellEnd"/>
      <w:r w:rsidRPr="002640A1">
        <w:rPr>
          <w:rFonts w:ascii="Cambria" w:eastAsia="Times New Roman" w:hAnsi="Cambria" w:cs="Times New Roman"/>
          <w:sz w:val="24"/>
          <w:szCs w:val="24"/>
          <w:lang w:eastAsia="en-ID"/>
        </w:rPr>
        <w:t xml:space="preserve"> Program Makan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di </w:t>
      </w:r>
      <w:proofErr w:type="spellStart"/>
      <w:r w:rsidRPr="002640A1">
        <w:rPr>
          <w:rFonts w:ascii="Cambria" w:eastAsia="Times New Roman" w:hAnsi="Cambria" w:cs="Times New Roman"/>
          <w:sz w:val="24"/>
          <w:szCs w:val="24"/>
          <w:lang w:eastAsia="en-ID"/>
        </w:rPr>
        <w:t>Sekolah</w:t>
      </w:r>
      <w:proofErr w:type="spellEnd"/>
      <w:r w:rsidRPr="002640A1">
        <w:rPr>
          <w:rFonts w:ascii="Cambria" w:eastAsia="Times New Roman" w:hAnsi="Cambria" w:cs="Times New Roman"/>
          <w:sz w:val="24"/>
          <w:szCs w:val="24"/>
          <w:lang w:eastAsia="en-ID"/>
        </w:rPr>
        <w:t xml:space="preserve"> Dasar."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Pendidikan Dasar, 11(1), 50-65.</w:t>
      </w:r>
    </w:p>
    <w:p w14:paraId="5702DD9C"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Times New Roman" w:hAnsi="Cambria" w:cs="Times New Roman"/>
          <w:sz w:val="24"/>
          <w:szCs w:val="24"/>
          <w:lang w:eastAsia="en-ID"/>
        </w:rPr>
        <w:t>Rachmawati</w:t>
      </w:r>
      <w:proofErr w:type="spellEnd"/>
      <w:r w:rsidRPr="002640A1">
        <w:rPr>
          <w:rFonts w:ascii="Cambria" w:eastAsia="Times New Roman" w:hAnsi="Cambria" w:cs="Times New Roman"/>
          <w:sz w:val="24"/>
          <w:szCs w:val="24"/>
          <w:lang w:eastAsia="en-ID"/>
        </w:rPr>
        <w:t>, L. (2020). "</w:t>
      </w:r>
      <w:proofErr w:type="spellStart"/>
      <w:r w:rsidRPr="002640A1">
        <w:rPr>
          <w:rFonts w:ascii="Cambria" w:eastAsia="Times New Roman" w:hAnsi="Cambria" w:cs="Times New Roman"/>
          <w:sz w:val="24"/>
          <w:szCs w:val="24"/>
          <w:lang w:eastAsia="en-ID"/>
        </w:rPr>
        <w:t>Penerapan</w:t>
      </w:r>
      <w:proofErr w:type="spellEnd"/>
      <w:r w:rsidRPr="002640A1">
        <w:rPr>
          <w:rFonts w:ascii="Cambria" w:eastAsia="Times New Roman" w:hAnsi="Cambria" w:cs="Times New Roman"/>
          <w:sz w:val="24"/>
          <w:szCs w:val="24"/>
          <w:lang w:eastAsia="en-ID"/>
        </w:rPr>
        <w:t xml:space="preserve"> Gizi </w:t>
      </w:r>
      <w:proofErr w:type="spellStart"/>
      <w:r w:rsidRPr="002640A1">
        <w:rPr>
          <w:rFonts w:ascii="Cambria" w:eastAsia="Times New Roman" w:hAnsi="Cambria" w:cs="Times New Roman"/>
          <w:sz w:val="24"/>
          <w:szCs w:val="24"/>
          <w:lang w:eastAsia="en-ID"/>
        </w:rPr>
        <w:t>Seimbang</w:t>
      </w:r>
      <w:proofErr w:type="spellEnd"/>
      <w:r w:rsidRPr="002640A1">
        <w:rPr>
          <w:rFonts w:ascii="Cambria" w:eastAsia="Times New Roman" w:hAnsi="Cambria" w:cs="Times New Roman"/>
          <w:sz w:val="24"/>
          <w:szCs w:val="24"/>
          <w:lang w:eastAsia="en-ID"/>
        </w:rPr>
        <w:t xml:space="preserve"> di </w:t>
      </w:r>
      <w:proofErr w:type="spellStart"/>
      <w:r w:rsidRPr="002640A1">
        <w:rPr>
          <w:rFonts w:ascii="Cambria" w:eastAsia="Times New Roman" w:hAnsi="Cambria" w:cs="Times New Roman"/>
          <w:sz w:val="24"/>
          <w:szCs w:val="24"/>
          <w:lang w:eastAsia="en-ID"/>
        </w:rPr>
        <w:t>Sekolah</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Gizi dan </w:t>
      </w:r>
      <w:proofErr w:type="spellStart"/>
      <w:r w:rsidRPr="002640A1">
        <w:rPr>
          <w:rFonts w:ascii="Cambria" w:eastAsia="Times New Roman" w:hAnsi="Cambria" w:cs="Times New Roman"/>
          <w:sz w:val="24"/>
          <w:szCs w:val="24"/>
          <w:lang w:eastAsia="en-ID"/>
        </w:rPr>
        <w:t>Dietetik</w:t>
      </w:r>
      <w:proofErr w:type="spellEnd"/>
      <w:r w:rsidRPr="002640A1">
        <w:rPr>
          <w:rFonts w:ascii="Cambria" w:eastAsia="Times New Roman" w:hAnsi="Cambria" w:cs="Times New Roman"/>
          <w:sz w:val="24"/>
          <w:szCs w:val="24"/>
          <w:lang w:eastAsia="en-ID"/>
        </w:rPr>
        <w:t>, 4(3), 45-58.</w:t>
      </w:r>
    </w:p>
    <w:p w14:paraId="23FC88D5"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lastRenderedPageBreak/>
        <w:t xml:space="preserve">Rahman, F. (2019). "Model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Teori dan </w:t>
      </w:r>
      <w:proofErr w:type="spellStart"/>
      <w:r w:rsidRPr="002640A1">
        <w:rPr>
          <w:rFonts w:ascii="Cambria" w:eastAsia="Times New Roman" w:hAnsi="Cambria" w:cs="Times New Roman"/>
          <w:sz w:val="24"/>
          <w:szCs w:val="24"/>
          <w:lang w:eastAsia="en-ID"/>
        </w:rPr>
        <w:t>Implementasi</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Ilmu</w:t>
      </w:r>
      <w:proofErr w:type="spellEnd"/>
      <w:r w:rsidRPr="002640A1">
        <w:rPr>
          <w:rFonts w:ascii="Cambria" w:eastAsia="Times New Roman" w:hAnsi="Cambria" w:cs="Times New Roman"/>
          <w:sz w:val="24"/>
          <w:szCs w:val="24"/>
          <w:lang w:eastAsia="en-ID"/>
        </w:rPr>
        <w:t xml:space="preserve"> Sosial dan </w:t>
      </w:r>
      <w:proofErr w:type="spellStart"/>
      <w:r w:rsidRPr="002640A1">
        <w:rPr>
          <w:rFonts w:ascii="Cambria" w:eastAsia="Times New Roman" w:hAnsi="Cambria" w:cs="Times New Roman"/>
          <w:sz w:val="24"/>
          <w:szCs w:val="24"/>
          <w:lang w:eastAsia="en-ID"/>
        </w:rPr>
        <w:t>Humaniora</w:t>
      </w:r>
      <w:proofErr w:type="spellEnd"/>
      <w:r w:rsidRPr="002640A1">
        <w:rPr>
          <w:rFonts w:ascii="Cambria" w:eastAsia="Times New Roman" w:hAnsi="Cambria" w:cs="Times New Roman"/>
          <w:sz w:val="24"/>
          <w:szCs w:val="24"/>
          <w:lang w:eastAsia="en-ID"/>
        </w:rPr>
        <w:t>, 8(2), 112-125.</w:t>
      </w:r>
    </w:p>
    <w:p w14:paraId="2A1A2115"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Sari, D. (2021). "Peran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Program </w:t>
      </w:r>
      <w:proofErr w:type="spellStart"/>
      <w:r w:rsidRPr="002640A1">
        <w:rPr>
          <w:rFonts w:ascii="Cambria" w:eastAsia="Times New Roman" w:hAnsi="Cambria" w:cs="Times New Roman"/>
          <w:sz w:val="24"/>
          <w:szCs w:val="24"/>
          <w:lang w:eastAsia="en-ID"/>
        </w:rPr>
        <w:t>Pemberian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Makanan</w:t>
      </w:r>
      <w:proofErr w:type="spellEnd"/>
      <w:r w:rsidRPr="002640A1">
        <w:rPr>
          <w:rFonts w:ascii="Cambria" w:eastAsia="Times New Roman" w:hAnsi="Cambria" w:cs="Times New Roman"/>
          <w:sz w:val="24"/>
          <w:szCs w:val="24"/>
          <w:lang w:eastAsia="en-ID"/>
        </w:rPr>
        <w:t xml:space="preserve"> Bergizi."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Gizi dan Kesehatan, 15(3), 78-89.</w:t>
      </w:r>
    </w:p>
    <w:p w14:paraId="4773E3F7"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Setiawan, B. (2022). "Model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Pendidikan Kesehatan."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Pendidikan dan Kesehatan, 8(2), 120-130.</w:t>
      </w:r>
    </w:p>
    <w:p w14:paraId="43FD638E"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Aptos" w:hAnsi="Cambria" w:cs="Times New Roman"/>
          <w:kern w:val="2"/>
          <w:sz w:val="24"/>
          <w:szCs w:val="24"/>
          <w14:ligatures w14:val="standardContextual"/>
        </w:rPr>
        <w:t>Sugiyono</w:t>
      </w:r>
      <w:proofErr w:type="spellEnd"/>
      <w:r w:rsidRPr="002640A1">
        <w:rPr>
          <w:rFonts w:ascii="Cambria" w:eastAsia="Aptos" w:hAnsi="Cambria" w:cs="Times New Roman"/>
          <w:kern w:val="2"/>
          <w:sz w:val="24"/>
          <w:szCs w:val="24"/>
          <w14:ligatures w14:val="standardContextual"/>
        </w:rPr>
        <w:t xml:space="preserve">. (2016). Metode </w:t>
      </w:r>
      <w:proofErr w:type="spellStart"/>
      <w:r w:rsidRPr="002640A1">
        <w:rPr>
          <w:rFonts w:ascii="Cambria" w:eastAsia="Aptos" w:hAnsi="Cambria" w:cs="Times New Roman"/>
          <w:kern w:val="2"/>
          <w:sz w:val="24"/>
          <w:szCs w:val="24"/>
          <w14:ligatures w14:val="standardContextual"/>
        </w:rPr>
        <w:t>Penelitian</w:t>
      </w:r>
      <w:proofErr w:type="spellEnd"/>
      <w:r w:rsidRPr="002640A1">
        <w:rPr>
          <w:rFonts w:ascii="Cambria" w:eastAsia="Aptos" w:hAnsi="Cambria" w:cs="Times New Roman"/>
          <w:kern w:val="2"/>
          <w:sz w:val="24"/>
          <w:szCs w:val="24"/>
          <w14:ligatures w14:val="standardContextual"/>
        </w:rPr>
        <w:t xml:space="preserve"> Pendidikan: </w:t>
      </w:r>
      <w:proofErr w:type="spellStart"/>
      <w:r w:rsidRPr="002640A1">
        <w:rPr>
          <w:rFonts w:ascii="Cambria" w:eastAsia="Aptos" w:hAnsi="Cambria" w:cs="Times New Roman"/>
          <w:kern w:val="2"/>
          <w:sz w:val="24"/>
          <w:szCs w:val="24"/>
          <w14:ligatures w14:val="standardContextual"/>
        </w:rPr>
        <w:t>Pendekatan</w:t>
      </w:r>
      <w:proofErr w:type="spellEnd"/>
      <w:r w:rsidRPr="002640A1">
        <w:rPr>
          <w:rFonts w:ascii="Cambria" w:eastAsia="Aptos" w:hAnsi="Cambria" w:cs="Times New Roman"/>
          <w:kern w:val="2"/>
          <w:sz w:val="24"/>
          <w:szCs w:val="24"/>
          <w14:ligatures w14:val="standardContextual"/>
        </w:rPr>
        <w:t xml:space="preserve"> </w:t>
      </w:r>
      <w:proofErr w:type="spellStart"/>
      <w:r w:rsidRPr="002640A1">
        <w:rPr>
          <w:rFonts w:ascii="Cambria" w:eastAsia="Aptos" w:hAnsi="Cambria" w:cs="Times New Roman"/>
          <w:kern w:val="2"/>
          <w:sz w:val="24"/>
          <w:szCs w:val="24"/>
          <w14:ligatures w14:val="standardContextual"/>
        </w:rPr>
        <w:t>Kuantitatif</w:t>
      </w:r>
      <w:proofErr w:type="spellEnd"/>
      <w:r w:rsidRPr="002640A1">
        <w:rPr>
          <w:rFonts w:ascii="Cambria" w:eastAsia="Aptos" w:hAnsi="Cambria" w:cs="Times New Roman"/>
          <w:kern w:val="2"/>
          <w:sz w:val="24"/>
          <w:szCs w:val="24"/>
          <w14:ligatures w14:val="standardContextual"/>
        </w:rPr>
        <w:t xml:space="preserve">, </w:t>
      </w:r>
      <w:proofErr w:type="spellStart"/>
      <w:r w:rsidRPr="002640A1">
        <w:rPr>
          <w:rFonts w:ascii="Cambria" w:eastAsia="Aptos" w:hAnsi="Cambria" w:cs="Times New Roman"/>
          <w:kern w:val="2"/>
          <w:sz w:val="24"/>
          <w:szCs w:val="24"/>
          <w14:ligatures w14:val="standardContextual"/>
        </w:rPr>
        <w:t>Kualitatif</w:t>
      </w:r>
      <w:proofErr w:type="spellEnd"/>
      <w:r w:rsidRPr="002640A1">
        <w:rPr>
          <w:rFonts w:ascii="Cambria" w:eastAsia="Aptos" w:hAnsi="Cambria" w:cs="Times New Roman"/>
          <w:kern w:val="2"/>
          <w:sz w:val="24"/>
          <w:szCs w:val="24"/>
          <w14:ligatures w14:val="standardContextual"/>
        </w:rPr>
        <w:t>, dan R&amp;D</w:t>
      </w:r>
      <w:r w:rsidRPr="002640A1">
        <w:rPr>
          <w:rFonts w:ascii="Cambria" w:eastAsia="Aptos" w:hAnsi="Cambria" w:cs="Times New Roman"/>
          <w:b/>
          <w:bCs/>
          <w:kern w:val="2"/>
          <w:sz w:val="24"/>
          <w:szCs w:val="24"/>
          <w14:ligatures w14:val="standardContextual"/>
        </w:rPr>
        <w:t>.</w:t>
      </w:r>
      <w:r w:rsidRPr="002640A1">
        <w:rPr>
          <w:rFonts w:ascii="Cambria" w:eastAsia="Aptos" w:hAnsi="Cambria" w:cs="Times New Roman"/>
          <w:kern w:val="2"/>
          <w:sz w:val="24"/>
          <w:szCs w:val="24"/>
          <w14:ligatures w14:val="standardContextual"/>
        </w:rPr>
        <w:t xml:space="preserve"> Bandung: </w:t>
      </w:r>
      <w:proofErr w:type="spellStart"/>
      <w:r w:rsidRPr="002640A1">
        <w:rPr>
          <w:rFonts w:ascii="Cambria" w:eastAsia="Aptos" w:hAnsi="Cambria" w:cs="Times New Roman"/>
          <w:kern w:val="2"/>
          <w:sz w:val="24"/>
          <w:szCs w:val="24"/>
          <w14:ligatures w14:val="standardContextual"/>
        </w:rPr>
        <w:t>Alfabeta</w:t>
      </w:r>
      <w:proofErr w:type="spellEnd"/>
      <w:r w:rsidRPr="002640A1">
        <w:rPr>
          <w:rFonts w:ascii="Cambria" w:eastAsia="Aptos" w:hAnsi="Cambria" w:cs="Times New Roman"/>
          <w:kern w:val="2"/>
          <w:sz w:val="24"/>
          <w:szCs w:val="24"/>
          <w14:ligatures w14:val="standardContextual"/>
        </w:rPr>
        <w:t>.</w:t>
      </w:r>
    </w:p>
    <w:p w14:paraId="6AE11CD8"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Supriyanto, A. (2020). "</w:t>
      </w:r>
      <w:proofErr w:type="spellStart"/>
      <w:r w:rsidRPr="002640A1">
        <w:rPr>
          <w:rFonts w:ascii="Cambria" w:eastAsia="Times New Roman" w:hAnsi="Cambria" w:cs="Times New Roman"/>
          <w:sz w:val="24"/>
          <w:szCs w:val="24"/>
          <w:lang w:eastAsia="en-ID"/>
        </w:rPr>
        <w:t>Pentahelix</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Pengembangan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Kebijakan</w:t>
      </w:r>
      <w:proofErr w:type="spellEnd"/>
      <w:r w:rsidRPr="002640A1">
        <w:rPr>
          <w:rFonts w:ascii="Cambria" w:eastAsia="Times New Roman" w:hAnsi="Cambria" w:cs="Times New Roman"/>
          <w:sz w:val="24"/>
          <w:szCs w:val="24"/>
          <w:lang w:eastAsia="en-ID"/>
        </w:rPr>
        <w:t xml:space="preserve"> Publik."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Kebijakan</w:t>
      </w:r>
      <w:proofErr w:type="spellEnd"/>
      <w:r w:rsidRPr="002640A1">
        <w:rPr>
          <w:rFonts w:ascii="Cambria" w:eastAsia="Times New Roman" w:hAnsi="Cambria" w:cs="Times New Roman"/>
          <w:sz w:val="24"/>
          <w:szCs w:val="24"/>
          <w:lang w:eastAsia="en-ID"/>
        </w:rPr>
        <w:t xml:space="preserve"> Publik, 12(1), 45-60.</w:t>
      </w:r>
    </w:p>
    <w:p w14:paraId="591C77A3"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Suryani, R. (2021). "</w:t>
      </w:r>
      <w:proofErr w:type="spellStart"/>
      <w:r w:rsidRPr="002640A1">
        <w:rPr>
          <w:rFonts w:ascii="Cambria" w:eastAsia="Times New Roman" w:hAnsi="Cambria" w:cs="Times New Roman"/>
          <w:sz w:val="24"/>
          <w:szCs w:val="24"/>
          <w:lang w:eastAsia="en-ID"/>
        </w:rPr>
        <w:t>Keterlibatan</w:t>
      </w:r>
      <w:proofErr w:type="spellEnd"/>
      <w:r w:rsidRPr="002640A1">
        <w:rPr>
          <w:rFonts w:ascii="Cambria" w:eastAsia="Times New Roman" w:hAnsi="Cambria" w:cs="Times New Roman"/>
          <w:sz w:val="24"/>
          <w:szCs w:val="24"/>
          <w:lang w:eastAsia="en-ID"/>
        </w:rPr>
        <w:t xml:space="preserve"> Masyarakat </w:t>
      </w:r>
      <w:proofErr w:type="spellStart"/>
      <w:r w:rsidRPr="002640A1">
        <w:rPr>
          <w:rFonts w:ascii="Cambria" w:eastAsia="Times New Roman" w:hAnsi="Cambria" w:cs="Times New Roman"/>
          <w:sz w:val="24"/>
          <w:szCs w:val="24"/>
          <w:lang w:eastAsia="en-ID"/>
        </w:rPr>
        <w:t>dalam</w:t>
      </w:r>
      <w:proofErr w:type="spellEnd"/>
      <w:r w:rsidRPr="002640A1">
        <w:rPr>
          <w:rFonts w:ascii="Cambria" w:eastAsia="Times New Roman" w:hAnsi="Cambria" w:cs="Times New Roman"/>
          <w:sz w:val="24"/>
          <w:szCs w:val="24"/>
          <w:lang w:eastAsia="en-ID"/>
        </w:rPr>
        <w:t xml:space="preserve"> Program Gizi."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Sosial dan </w:t>
      </w:r>
      <w:proofErr w:type="spellStart"/>
      <w:r w:rsidRPr="002640A1">
        <w:rPr>
          <w:rFonts w:ascii="Cambria" w:eastAsia="Times New Roman" w:hAnsi="Cambria" w:cs="Times New Roman"/>
          <w:sz w:val="24"/>
          <w:szCs w:val="24"/>
          <w:lang w:eastAsia="en-ID"/>
        </w:rPr>
        <w:t>Komunitas</w:t>
      </w:r>
      <w:proofErr w:type="spellEnd"/>
      <w:r w:rsidRPr="002640A1">
        <w:rPr>
          <w:rFonts w:ascii="Cambria" w:eastAsia="Times New Roman" w:hAnsi="Cambria" w:cs="Times New Roman"/>
          <w:sz w:val="24"/>
          <w:szCs w:val="24"/>
          <w:lang w:eastAsia="en-ID"/>
        </w:rPr>
        <w:t>, 6(4), 77-88.</w:t>
      </w:r>
    </w:p>
    <w:p w14:paraId="34269B15"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r w:rsidRPr="002640A1">
        <w:rPr>
          <w:rFonts w:ascii="Cambria" w:eastAsia="Times New Roman" w:hAnsi="Cambria" w:cs="Times New Roman"/>
          <w:sz w:val="24"/>
          <w:szCs w:val="24"/>
          <w:lang w:eastAsia="en-ID"/>
        </w:rPr>
        <w:t xml:space="preserve">UNESCO. (2020). "Pendidikan </w:t>
      </w:r>
      <w:proofErr w:type="spellStart"/>
      <w:r w:rsidRPr="002640A1">
        <w:rPr>
          <w:rFonts w:ascii="Cambria" w:eastAsia="Times New Roman" w:hAnsi="Cambria" w:cs="Times New Roman"/>
          <w:sz w:val="24"/>
          <w:szCs w:val="24"/>
          <w:lang w:eastAsia="en-ID"/>
        </w:rPr>
        <w:t>untuk</w:t>
      </w:r>
      <w:proofErr w:type="spellEnd"/>
      <w:r w:rsidRPr="002640A1">
        <w:rPr>
          <w:rFonts w:ascii="Cambria" w:eastAsia="Times New Roman" w:hAnsi="Cambria" w:cs="Times New Roman"/>
          <w:sz w:val="24"/>
          <w:szCs w:val="24"/>
          <w:lang w:eastAsia="en-ID"/>
        </w:rPr>
        <w:t xml:space="preserve"> Pembangunan </w:t>
      </w:r>
      <w:proofErr w:type="spellStart"/>
      <w:r w:rsidRPr="002640A1">
        <w:rPr>
          <w:rFonts w:ascii="Cambria" w:eastAsia="Times New Roman" w:hAnsi="Cambria" w:cs="Times New Roman"/>
          <w:sz w:val="24"/>
          <w:szCs w:val="24"/>
          <w:lang w:eastAsia="en-ID"/>
        </w:rPr>
        <w:t>Berkelanjutan</w:t>
      </w:r>
      <w:proofErr w:type="spellEnd"/>
      <w:r w:rsidRPr="002640A1">
        <w:rPr>
          <w:rFonts w:ascii="Cambria" w:eastAsia="Times New Roman" w:hAnsi="Cambria" w:cs="Times New Roman"/>
          <w:sz w:val="24"/>
          <w:szCs w:val="24"/>
          <w:lang w:eastAsia="en-ID"/>
        </w:rPr>
        <w:t>." Paris: UNESCO.</w:t>
      </w:r>
    </w:p>
    <w:p w14:paraId="48183990" w14:textId="77777777" w:rsidR="002640A1" w:rsidRPr="002640A1" w:rsidRDefault="002640A1" w:rsidP="002640A1">
      <w:pPr>
        <w:spacing w:before="100" w:beforeAutospacing="1" w:after="100" w:afterAutospacing="1" w:line="240" w:lineRule="auto"/>
        <w:ind w:left="720" w:hanging="720"/>
        <w:rPr>
          <w:rFonts w:ascii="Cambria" w:eastAsia="Times New Roman" w:hAnsi="Cambria" w:cs="Times New Roman"/>
          <w:sz w:val="24"/>
          <w:szCs w:val="24"/>
          <w:lang w:eastAsia="en-ID"/>
        </w:rPr>
      </w:pPr>
      <w:proofErr w:type="spellStart"/>
      <w:r w:rsidRPr="002640A1">
        <w:rPr>
          <w:rFonts w:ascii="Cambria" w:eastAsia="Times New Roman" w:hAnsi="Cambria" w:cs="Times New Roman"/>
          <w:sz w:val="24"/>
          <w:szCs w:val="24"/>
          <w:lang w:eastAsia="en-ID"/>
        </w:rPr>
        <w:t>Widyastuti</w:t>
      </w:r>
      <w:proofErr w:type="spellEnd"/>
      <w:r w:rsidRPr="002640A1">
        <w:rPr>
          <w:rFonts w:ascii="Cambria" w:eastAsia="Times New Roman" w:hAnsi="Cambria" w:cs="Times New Roman"/>
          <w:sz w:val="24"/>
          <w:szCs w:val="24"/>
          <w:lang w:eastAsia="en-ID"/>
        </w:rPr>
        <w:t>, R. (2020). "</w:t>
      </w:r>
      <w:proofErr w:type="spellStart"/>
      <w:r w:rsidRPr="002640A1">
        <w:rPr>
          <w:rFonts w:ascii="Cambria" w:eastAsia="Times New Roman" w:hAnsi="Cambria" w:cs="Times New Roman"/>
          <w:sz w:val="24"/>
          <w:szCs w:val="24"/>
          <w:lang w:eastAsia="en-ID"/>
        </w:rPr>
        <w:t>Makanan</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Bergizi</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untuk</w:t>
      </w:r>
      <w:proofErr w:type="spellEnd"/>
      <w:r w:rsidRPr="002640A1">
        <w:rPr>
          <w:rFonts w:ascii="Cambria" w:eastAsia="Times New Roman" w:hAnsi="Cambria" w:cs="Times New Roman"/>
          <w:sz w:val="24"/>
          <w:szCs w:val="24"/>
          <w:lang w:eastAsia="en-ID"/>
        </w:rPr>
        <w:t xml:space="preserve"> Anak Sekolah: </w:t>
      </w:r>
      <w:proofErr w:type="spellStart"/>
      <w:r w:rsidRPr="002640A1">
        <w:rPr>
          <w:rFonts w:ascii="Cambria" w:eastAsia="Times New Roman" w:hAnsi="Cambria" w:cs="Times New Roman"/>
          <w:sz w:val="24"/>
          <w:szCs w:val="24"/>
          <w:lang w:eastAsia="en-ID"/>
        </w:rPr>
        <w:t>Tantangan</w:t>
      </w:r>
      <w:proofErr w:type="spellEnd"/>
      <w:r w:rsidRPr="002640A1">
        <w:rPr>
          <w:rFonts w:ascii="Cambria" w:eastAsia="Times New Roman" w:hAnsi="Cambria" w:cs="Times New Roman"/>
          <w:sz w:val="24"/>
          <w:szCs w:val="24"/>
          <w:lang w:eastAsia="en-ID"/>
        </w:rPr>
        <w:t xml:space="preserve"> dan Solusi." </w:t>
      </w:r>
      <w:proofErr w:type="spellStart"/>
      <w:r w:rsidRPr="002640A1">
        <w:rPr>
          <w:rFonts w:ascii="Cambria" w:eastAsia="Times New Roman" w:hAnsi="Cambria" w:cs="Times New Roman"/>
          <w:sz w:val="24"/>
          <w:szCs w:val="24"/>
          <w:lang w:eastAsia="en-ID"/>
        </w:rPr>
        <w:t>Jurnal</w:t>
      </w:r>
      <w:proofErr w:type="spellEnd"/>
      <w:r w:rsidRPr="002640A1">
        <w:rPr>
          <w:rFonts w:ascii="Cambria" w:eastAsia="Times New Roman" w:hAnsi="Cambria" w:cs="Times New Roman"/>
          <w:sz w:val="24"/>
          <w:szCs w:val="24"/>
          <w:lang w:eastAsia="en-ID"/>
        </w:rPr>
        <w:t xml:space="preserve"> </w:t>
      </w:r>
      <w:proofErr w:type="spellStart"/>
      <w:r w:rsidRPr="002640A1">
        <w:rPr>
          <w:rFonts w:ascii="Cambria" w:eastAsia="Times New Roman" w:hAnsi="Cambria" w:cs="Times New Roman"/>
          <w:sz w:val="24"/>
          <w:szCs w:val="24"/>
          <w:lang w:eastAsia="en-ID"/>
        </w:rPr>
        <w:t>Nutrisi</w:t>
      </w:r>
      <w:proofErr w:type="spellEnd"/>
      <w:r w:rsidRPr="002640A1">
        <w:rPr>
          <w:rFonts w:ascii="Cambria" w:eastAsia="Times New Roman" w:hAnsi="Cambria" w:cs="Times New Roman"/>
          <w:sz w:val="24"/>
          <w:szCs w:val="24"/>
          <w:lang w:eastAsia="en-ID"/>
        </w:rPr>
        <w:t xml:space="preserve"> Anak, 5(1), 15-25.</w:t>
      </w:r>
    </w:p>
    <w:p w14:paraId="54BBC3A1" w14:textId="77777777" w:rsidR="002640A1" w:rsidRPr="002640A1" w:rsidRDefault="002640A1" w:rsidP="002640A1">
      <w:pPr>
        <w:spacing w:line="276" w:lineRule="auto"/>
        <w:jc w:val="both"/>
        <w:rPr>
          <w:rFonts w:ascii="Cambria" w:eastAsia="Aptos" w:hAnsi="Cambria" w:cs="Times New Roman"/>
          <w:kern w:val="2"/>
          <w:sz w:val="24"/>
          <w:szCs w:val="24"/>
          <w14:ligatures w14:val="standardContextual"/>
        </w:rPr>
      </w:pPr>
    </w:p>
    <w:sectPr w:rsidR="002640A1" w:rsidRPr="002640A1" w:rsidSect="0084512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7353" w14:textId="77777777" w:rsidR="003F0AB7" w:rsidRDefault="003F0AB7">
      <w:pPr>
        <w:spacing w:after="0" w:line="240" w:lineRule="auto"/>
      </w:pPr>
      <w:r>
        <w:separator/>
      </w:r>
    </w:p>
  </w:endnote>
  <w:endnote w:type="continuationSeparator" w:id="0">
    <w:p w14:paraId="12DE19B6" w14:textId="77777777" w:rsidR="003F0AB7" w:rsidRDefault="003F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4CF" w14:textId="77777777" w:rsidR="00783E6B" w:rsidRDefault="0078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gjdgxs" w:colFirst="0" w:colLast="0"/>
  <w:bookmarkEnd w:id="1"/>
  <w:p w14:paraId="173879E3" w14:textId="77777777" w:rsidR="003A2EF3" w:rsidRDefault="00783E6B">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g">
          <w:drawing>
            <wp:anchor distT="0" distB="0" distL="0" distR="0" simplePos="0" relativeHeight="251659264" behindDoc="1" locked="0" layoutInCell="1" hidden="0" allowOverlap="1" wp14:anchorId="0219095E" wp14:editId="15891718">
              <wp:simplePos x="0" y="0"/>
              <wp:positionH relativeFrom="column">
                <wp:posOffset>546100</wp:posOffset>
              </wp:positionH>
              <wp:positionV relativeFrom="paragraph">
                <wp:posOffset>9817100</wp:posOffset>
              </wp:positionV>
              <wp:extent cx="5132070" cy="329565"/>
              <wp:effectExtent l="0" t="0" r="0" b="0"/>
              <wp:wrapNone/>
              <wp:docPr id="1128368033" name="Freeform: Shape 1128368033"/>
              <wp:cNvGraphicFramePr/>
              <a:graphic xmlns:a="http://schemas.openxmlformats.org/drawingml/2006/main">
                <a:graphicData uri="http://schemas.microsoft.com/office/word/2010/wordprocessingShape">
                  <wps:wsp>
                    <wps:cNvSpPr/>
                    <wps:spPr>
                      <a:xfrm>
                        <a:off x="2784728" y="3619980"/>
                        <a:ext cx="5122545" cy="320040"/>
                      </a:xfrm>
                      <a:custGeom>
                        <a:avLst/>
                        <a:gdLst/>
                        <a:ahLst/>
                        <a:cxnLst/>
                        <a:rect l="l" t="t" r="r" b="b"/>
                        <a:pathLst>
                          <a:path w="8067" h="504" extrusionOk="0">
                            <a:moveTo>
                              <a:pt x="8066" y="0"/>
                            </a:moveTo>
                            <a:lnTo>
                              <a:pt x="7346" y="0"/>
                            </a:lnTo>
                            <a:lnTo>
                              <a:pt x="0" y="0"/>
                            </a:lnTo>
                            <a:lnTo>
                              <a:pt x="0" y="29"/>
                            </a:lnTo>
                            <a:lnTo>
                              <a:pt x="7346" y="29"/>
                            </a:lnTo>
                            <a:lnTo>
                              <a:pt x="7346" y="504"/>
                            </a:lnTo>
                            <a:lnTo>
                              <a:pt x="8066" y="504"/>
                            </a:lnTo>
                            <a:lnTo>
                              <a:pt x="80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546100</wp:posOffset>
              </wp:positionH>
              <wp:positionV relativeFrom="paragraph">
                <wp:posOffset>9817100</wp:posOffset>
              </wp:positionV>
              <wp:extent cx="5132070" cy="329565"/>
              <wp:effectExtent b="0" l="0" r="0" t="0"/>
              <wp:wrapNone/>
              <wp:docPr id="11283680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132070" cy="329565"/>
                      </a:xfrm>
                      <a:prstGeom prst="rect"/>
                      <a:ln/>
                    </pic:spPr>
                  </pic:pic>
                </a:graphicData>
              </a:graphic>
            </wp:anchor>
          </w:drawing>
        </mc:Fallback>
      </mc:AlternateContent>
    </w:r>
    <w:r>
      <w:rPr>
        <w:noProof/>
      </w:rPr>
      <mc:AlternateContent>
        <mc:Choice Requires="wps">
          <w:drawing>
            <wp:anchor distT="0" distB="0" distL="0" distR="0" simplePos="0" relativeHeight="251660288" behindDoc="1" locked="0" layoutInCell="1" hidden="0" allowOverlap="1" wp14:anchorId="4747B32F" wp14:editId="24B1FD26">
              <wp:simplePos x="0" y="0"/>
              <wp:positionH relativeFrom="column">
                <wp:posOffset>5283200</wp:posOffset>
              </wp:positionH>
              <wp:positionV relativeFrom="paragraph">
                <wp:posOffset>9893300</wp:posOffset>
              </wp:positionV>
              <wp:extent cx="314325" cy="203835"/>
              <wp:effectExtent l="0" t="0" r="0" b="0"/>
              <wp:wrapNone/>
              <wp:docPr id="1128368032" name="Rectangle 1128368032"/>
              <wp:cNvGraphicFramePr/>
              <a:graphic xmlns:a="http://schemas.openxmlformats.org/drawingml/2006/main">
                <a:graphicData uri="http://schemas.microsoft.com/office/word/2010/wordprocessingShape">
                  <wps:wsp>
                    <wps:cNvSpPr/>
                    <wps:spPr>
                      <a:xfrm>
                        <a:off x="5193600" y="3682845"/>
                        <a:ext cx="304800" cy="194310"/>
                      </a:xfrm>
                      <a:prstGeom prst="rect">
                        <a:avLst/>
                      </a:prstGeom>
                      <a:noFill/>
                      <a:ln>
                        <a:noFill/>
                      </a:ln>
                    </wps:spPr>
                    <wps:txbx>
                      <w:txbxContent>
                        <w:p w14:paraId="6E63B5CE" w14:textId="77777777" w:rsidR="003A2EF3" w:rsidRDefault="00783E6B">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wps:txbx>
                    <wps:bodyPr spcFirstLastPara="1" wrap="square" lIns="0" tIns="0" rIns="0" bIns="0" anchor="t" anchorCtr="0">
                      <a:noAutofit/>
                    </wps:bodyPr>
                  </wps:wsp>
                </a:graphicData>
              </a:graphic>
            </wp:anchor>
          </w:drawing>
        </mc:Choice>
        <mc:Fallback>
          <w:pict>
            <v:rect w14:anchorId="4747B32F" id="Rectangle 1128368032" o:spid="_x0000_s1027" style="position:absolute;margin-left:416pt;margin-top:779pt;width:24.75pt;height:16.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" filled="f" stroked="f">
              <v:textbox inset="0,0,0,0">
                <w:txbxContent>
                  <w:p w14:paraId="6E63B5CE" w14:textId="77777777" w:rsidR="003A2EF3" w:rsidRDefault="00783E6B">
                    <w:pPr>
                      <w:spacing w:before="10" w:after="0" w:line="240" w:lineRule="auto"/>
                      <w:ind w:left="60"/>
                      <w:textDirection w:val="btLr"/>
                    </w:pPr>
                    <w:r>
                      <w:rPr>
                        <w:rFonts w:ascii="Times New Roman" w:eastAsia="Times New Roman" w:hAnsi="Times New Roman" w:cs="Times New Roman"/>
                        <w:color w:val="FFFFFF"/>
                        <w:sz w:val="24"/>
                      </w:rPr>
                      <w:t xml:space="preserve"> PAGE </w:t>
                    </w:r>
                    <w:r>
                      <w:rPr>
                        <w:rFonts w:ascii="Times New Roman" w:eastAsia="Times New Roman" w:hAnsi="Times New Roman" w:cs="Times New Roman"/>
                        <w:color w:val="000000"/>
                        <w:sz w:val="24"/>
                      </w:rPr>
                      <w:t>224</w:t>
                    </w:r>
                  </w:p>
                </w:txbxContent>
              </v:textbox>
            </v:rect>
          </w:pict>
        </mc:Fallback>
      </mc:AlternateContent>
    </w:r>
  </w:p>
  <w:p w14:paraId="7A4F6767" w14:textId="103A9F01" w:rsidR="00E006E9" w:rsidRPr="00E006E9" w:rsidRDefault="0084512B" w:rsidP="00E006E9">
    <w:pPr>
      <w:pBdr>
        <w:bottom w:val="single" w:sz="6" w:space="1" w:color="auto"/>
      </w:pBdr>
      <w:jc w:val="right"/>
      <w:rPr>
        <w:rFonts w:ascii="Cambria" w:eastAsia="Cambria" w:hAnsi="Cambria" w:cs="Cambria"/>
      </w:rPr>
    </w:pPr>
    <w:r>
      <w:rPr>
        <w:rFonts w:ascii="Cambria" w:hAnsi="Cambria"/>
        <w:noProof/>
        <w:color w:val="000000"/>
        <w:sz w:val="24"/>
        <w:szCs w:val="24"/>
      </w:rPr>
      <mc:AlternateContent>
        <mc:Choice Requires="wps">
          <w:drawing>
            <wp:anchor distT="0" distB="0" distL="114300" distR="114300" simplePos="0" relativeHeight="251662336" behindDoc="1" locked="0" layoutInCell="1" allowOverlap="1" wp14:anchorId="466E920D" wp14:editId="4AB3E171">
              <wp:simplePos x="0" y="0"/>
              <wp:positionH relativeFrom="page">
                <wp:posOffset>520505</wp:posOffset>
              </wp:positionH>
              <wp:positionV relativeFrom="paragraph">
                <wp:posOffset>190402</wp:posOffset>
              </wp:positionV>
              <wp:extent cx="5646420" cy="479572"/>
              <wp:effectExtent l="0" t="0" r="0" b="0"/>
              <wp:wrapNone/>
              <wp:docPr id="1856370705" name="Text Box 5"/>
              <wp:cNvGraphicFramePr/>
              <a:graphic xmlns:a="http://schemas.openxmlformats.org/drawingml/2006/main">
                <a:graphicData uri="http://schemas.microsoft.com/office/word/2010/wordprocessingShape">
                  <wps:wsp>
                    <wps:cNvSpPr txBox="1"/>
                    <wps:spPr>
                      <a:xfrm>
                        <a:off x="0" y="0"/>
                        <a:ext cx="5646420" cy="479572"/>
                      </a:xfrm>
                      <a:prstGeom prst="rect">
                        <a:avLst/>
                      </a:prstGeom>
                      <a:solidFill>
                        <a:schemeClr val="lt1"/>
                      </a:solidFill>
                      <a:ln w="6350">
                        <a:noFill/>
                      </a:ln>
                    </wps:spPr>
                    <wps:txbx>
                      <w:txbxContent>
                        <w:p w14:paraId="78F24A91" w14:textId="37725904" w:rsidR="008938DD" w:rsidRPr="00E006E9" w:rsidRDefault="008938DD" w:rsidP="00E006E9">
                          <w:pPr>
                            <w:spacing w:after="0" w:line="240" w:lineRule="auto"/>
                            <w:ind w:left="426"/>
                            <w:rPr>
                              <w:rFonts w:ascii="Cambria" w:hAnsi="Cambria"/>
                              <w:b/>
                              <w:bCs/>
                              <w:sz w:val="24"/>
                              <w:szCs w:val="24"/>
                            </w:rPr>
                          </w:pPr>
                          <w:r w:rsidRPr="00783E6B">
                            <w:rPr>
                              <w:rFonts w:ascii="Cambria" w:hAnsi="Cambria"/>
                              <w:b/>
                              <w:bCs/>
                              <w:color w:val="E8850E"/>
                              <w:sz w:val="24"/>
                              <w:szCs w:val="24"/>
                            </w:rPr>
                            <w:t>Gema</w:t>
                          </w:r>
                          <w:r w:rsidRPr="00E006E9">
                            <w:rPr>
                              <w:rFonts w:ascii="Cambria" w:hAnsi="Cambria"/>
                              <w:b/>
                              <w:bCs/>
                              <w:color w:val="FF9966"/>
                              <w:sz w:val="24"/>
                              <w:szCs w:val="24"/>
                            </w:rPr>
                            <w:t xml:space="preserve"> </w:t>
                          </w:r>
                          <w:r w:rsidRPr="00E006E9">
                            <w:rPr>
                              <w:rFonts w:ascii="Cambria" w:hAnsi="Cambria"/>
                              <w:b/>
                              <w:bCs/>
                              <w:color w:val="4472C4" w:themeColor="accent1"/>
                              <w:sz w:val="24"/>
                              <w:szCs w:val="24"/>
                            </w:rPr>
                            <w:t>Publica</w:t>
                          </w:r>
                        </w:p>
                        <w:p w14:paraId="11651BEC" w14:textId="084B3B52" w:rsidR="00F56CA0" w:rsidRPr="00E006E9" w:rsidRDefault="008938DD" w:rsidP="00F56CA0">
                          <w:pPr>
                            <w:spacing w:after="0" w:line="240" w:lineRule="auto"/>
                            <w:ind w:left="426"/>
                            <w:rPr>
                              <w:rFonts w:ascii="Cambria" w:hAnsi="Cambria"/>
                              <w:sz w:val="14"/>
                              <w:szCs w:val="14"/>
                            </w:rPr>
                          </w:pPr>
                          <w:proofErr w:type="spellStart"/>
                          <w:r w:rsidRPr="00E006E9">
                            <w:rPr>
                              <w:rFonts w:ascii="Cambria" w:hAnsi="Cambria"/>
                              <w:sz w:val="14"/>
                              <w:szCs w:val="14"/>
                            </w:rPr>
                            <w:t>Jurnal</w:t>
                          </w:r>
                          <w:proofErr w:type="spellEnd"/>
                          <w:r w:rsidRPr="00E006E9">
                            <w:rPr>
                              <w:rFonts w:ascii="Cambria" w:hAnsi="Cambria"/>
                              <w:sz w:val="14"/>
                              <w:szCs w:val="14"/>
                            </w:rPr>
                            <w:t xml:space="preserve"> </w:t>
                          </w:r>
                          <w:proofErr w:type="spellStart"/>
                          <w:r w:rsidRPr="00E006E9">
                            <w:rPr>
                              <w:rFonts w:ascii="Cambria" w:hAnsi="Cambria"/>
                              <w:sz w:val="14"/>
                              <w:szCs w:val="14"/>
                            </w:rPr>
                            <w:t>Manajemen</w:t>
                          </w:r>
                          <w:proofErr w:type="spellEnd"/>
                          <w:r w:rsidRPr="00E006E9">
                            <w:rPr>
                              <w:rFonts w:ascii="Cambria" w:hAnsi="Cambria"/>
                              <w:sz w:val="14"/>
                              <w:szCs w:val="14"/>
                            </w:rPr>
                            <w:t xml:space="preserve"> dan </w:t>
                          </w:r>
                          <w:proofErr w:type="spellStart"/>
                          <w:r w:rsidRPr="00E006E9">
                            <w:rPr>
                              <w:rFonts w:ascii="Cambria" w:hAnsi="Cambria"/>
                              <w:sz w:val="14"/>
                              <w:szCs w:val="14"/>
                            </w:rPr>
                            <w:t>Kebijakan</w:t>
                          </w:r>
                          <w:proofErr w:type="spellEnd"/>
                          <w:r w:rsidRPr="00E006E9">
                            <w:rPr>
                              <w:rFonts w:ascii="Cambria" w:hAnsi="Cambria"/>
                              <w:sz w:val="14"/>
                              <w:szCs w:val="14"/>
                            </w:rPr>
                            <w:t xml:space="preserve"> Publik</w:t>
                          </w:r>
                          <w:r w:rsidR="00E006E9">
                            <w:rPr>
                              <w:rFonts w:ascii="Cambria" w:hAnsi="Cambria"/>
                              <w:sz w:val="14"/>
                              <w:szCs w:val="14"/>
                            </w:rPr>
                            <w:t xml:space="preserve"> </w:t>
                          </w:r>
                          <w:r w:rsidR="00F56CA0">
                            <w:rPr>
                              <w:rFonts w:ascii="Cambria" w:hAnsi="Cambria"/>
                              <w:sz w:val="14"/>
                              <w:szCs w:val="14"/>
                            </w:rPr>
                            <w:t xml:space="preserve">Vol. x </w:t>
                          </w:r>
                          <w:proofErr w:type="spellStart"/>
                          <w:r w:rsidR="00F56CA0">
                            <w:rPr>
                              <w:rFonts w:ascii="Cambria" w:hAnsi="Cambria"/>
                              <w:sz w:val="14"/>
                              <w:szCs w:val="14"/>
                            </w:rPr>
                            <w:t>No.x</w:t>
                          </w:r>
                          <w:proofErr w:type="spellEnd"/>
                          <w:r w:rsidR="00F56CA0">
                            <w:rPr>
                              <w:rFonts w:ascii="Cambria" w:hAnsi="Cambria"/>
                              <w:sz w:val="14"/>
                              <w:szCs w:val="14"/>
                            </w:rPr>
                            <w:t>, year, pp-pp</w:t>
                          </w:r>
                        </w:p>
                        <w:p w14:paraId="45B862E4" w14:textId="6EECF749" w:rsidR="008938DD" w:rsidRDefault="008938DD" w:rsidP="00E006E9">
                          <w:pPr>
                            <w:spacing w:after="0" w:line="240" w:lineRule="auto"/>
                            <w:ind w:left="426"/>
                            <w:rPr>
                              <w:rFonts w:ascii="Cambria" w:hAnsi="Cambri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E920D" id="_x0000_t202" coordsize="21600,21600" o:spt="202" path="m,l,21600r21600,l21600,xe">
              <v:stroke joinstyle="miter"/>
              <v:path gradientshapeok="t" o:connecttype="rect"/>
            </v:shapetype>
            <v:shape id="Text Box 5" o:spid="_x0000_s1028" type="#_x0000_t202" style="position:absolute;left:0;text-align:left;margin-left:41pt;margin-top:15pt;width:444.6pt;height:37.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" fillcolor="white [3201]" stroked="f" strokeweight=".5pt">
              <v:textbox>
                <w:txbxContent>
                  <w:p w14:paraId="78F24A91" w14:textId="37725904" w:rsidR="008938DD" w:rsidRPr="00E006E9" w:rsidRDefault="008938DD" w:rsidP="00E006E9">
                    <w:pPr>
                      <w:spacing w:after="0" w:line="240" w:lineRule="auto"/>
                      <w:ind w:left="426"/>
                      <w:rPr>
                        <w:rFonts w:ascii="Cambria" w:hAnsi="Cambria"/>
                        <w:b/>
                        <w:bCs/>
                        <w:sz w:val="24"/>
                        <w:szCs w:val="24"/>
                      </w:rPr>
                    </w:pPr>
                    <w:r w:rsidRPr="00783E6B">
                      <w:rPr>
                        <w:rFonts w:ascii="Cambria" w:hAnsi="Cambria"/>
                        <w:b/>
                        <w:bCs/>
                        <w:color w:val="E8850E"/>
                        <w:sz w:val="24"/>
                        <w:szCs w:val="24"/>
                      </w:rPr>
                      <w:t>Gema</w:t>
                    </w:r>
                    <w:r w:rsidRPr="00E006E9">
                      <w:rPr>
                        <w:rFonts w:ascii="Cambria" w:hAnsi="Cambria"/>
                        <w:b/>
                        <w:bCs/>
                        <w:color w:val="FF9966"/>
                        <w:sz w:val="24"/>
                        <w:szCs w:val="24"/>
                      </w:rPr>
                      <w:t xml:space="preserve"> </w:t>
                    </w:r>
                    <w:r w:rsidRPr="00E006E9">
                      <w:rPr>
                        <w:rFonts w:ascii="Cambria" w:hAnsi="Cambria"/>
                        <w:b/>
                        <w:bCs/>
                        <w:color w:val="4472C4" w:themeColor="accent1"/>
                        <w:sz w:val="24"/>
                        <w:szCs w:val="24"/>
                      </w:rPr>
                      <w:t>Publica</w:t>
                    </w:r>
                  </w:p>
                  <w:p w14:paraId="11651BEC" w14:textId="084B3B52" w:rsidR="00F56CA0" w:rsidRPr="00E006E9" w:rsidRDefault="008938DD" w:rsidP="00F56CA0">
                    <w:pPr>
                      <w:spacing w:after="0" w:line="240" w:lineRule="auto"/>
                      <w:ind w:left="426"/>
                      <w:rPr>
                        <w:rFonts w:ascii="Cambria" w:hAnsi="Cambria"/>
                        <w:sz w:val="14"/>
                        <w:szCs w:val="14"/>
                      </w:rPr>
                    </w:pPr>
                    <w:proofErr w:type="spellStart"/>
                    <w:r w:rsidRPr="00E006E9">
                      <w:rPr>
                        <w:rFonts w:ascii="Cambria" w:hAnsi="Cambria"/>
                        <w:sz w:val="14"/>
                        <w:szCs w:val="14"/>
                      </w:rPr>
                      <w:t>Jurnal</w:t>
                    </w:r>
                    <w:proofErr w:type="spellEnd"/>
                    <w:r w:rsidRPr="00E006E9">
                      <w:rPr>
                        <w:rFonts w:ascii="Cambria" w:hAnsi="Cambria"/>
                        <w:sz w:val="14"/>
                        <w:szCs w:val="14"/>
                      </w:rPr>
                      <w:t xml:space="preserve"> </w:t>
                    </w:r>
                    <w:proofErr w:type="spellStart"/>
                    <w:r w:rsidRPr="00E006E9">
                      <w:rPr>
                        <w:rFonts w:ascii="Cambria" w:hAnsi="Cambria"/>
                        <w:sz w:val="14"/>
                        <w:szCs w:val="14"/>
                      </w:rPr>
                      <w:t>Manajemen</w:t>
                    </w:r>
                    <w:proofErr w:type="spellEnd"/>
                    <w:r w:rsidRPr="00E006E9">
                      <w:rPr>
                        <w:rFonts w:ascii="Cambria" w:hAnsi="Cambria"/>
                        <w:sz w:val="14"/>
                        <w:szCs w:val="14"/>
                      </w:rPr>
                      <w:t xml:space="preserve"> dan </w:t>
                    </w:r>
                    <w:proofErr w:type="spellStart"/>
                    <w:r w:rsidRPr="00E006E9">
                      <w:rPr>
                        <w:rFonts w:ascii="Cambria" w:hAnsi="Cambria"/>
                        <w:sz w:val="14"/>
                        <w:szCs w:val="14"/>
                      </w:rPr>
                      <w:t>Kebijakan</w:t>
                    </w:r>
                    <w:proofErr w:type="spellEnd"/>
                    <w:r w:rsidRPr="00E006E9">
                      <w:rPr>
                        <w:rFonts w:ascii="Cambria" w:hAnsi="Cambria"/>
                        <w:sz w:val="14"/>
                        <w:szCs w:val="14"/>
                      </w:rPr>
                      <w:t xml:space="preserve"> Publik</w:t>
                    </w:r>
                    <w:r w:rsidR="00E006E9">
                      <w:rPr>
                        <w:rFonts w:ascii="Cambria" w:hAnsi="Cambria"/>
                        <w:sz w:val="14"/>
                        <w:szCs w:val="14"/>
                      </w:rPr>
                      <w:t xml:space="preserve"> </w:t>
                    </w:r>
                    <w:r w:rsidR="00F56CA0">
                      <w:rPr>
                        <w:rFonts w:ascii="Cambria" w:hAnsi="Cambria"/>
                        <w:sz w:val="14"/>
                        <w:szCs w:val="14"/>
                      </w:rPr>
                      <w:t xml:space="preserve">Vol. x </w:t>
                    </w:r>
                    <w:proofErr w:type="spellStart"/>
                    <w:r w:rsidR="00F56CA0">
                      <w:rPr>
                        <w:rFonts w:ascii="Cambria" w:hAnsi="Cambria"/>
                        <w:sz w:val="14"/>
                        <w:szCs w:val="14"/>
                      </w:rPr>
                      <w:t>No.x</w:t>
                    </w:r>
                    <w:proofErr w:type="spellEnd"/>
                    <w:r w:rsidR="00F56CA0">
                      <w:rPr>
                        <w:rFonts w:ascii="Cambria" w:hAnsi="Cambria"/>
                        <w:sz w:val="14"/>
                        <w:szCs w:val="14"/>
                      </w:rPr>
                      <w:t>, year, pp-pp</w:t>
                    </w:r>
                  </w:p>
                  <w:p w14:paraId="45B862E4" w14:textId="6EECF749" w:rsidR="008938DD" w:rsidRDefault="008938DD" w:rsidP="00E006E9">
                    <w:pPr>
                      <w:spacing w:after="0" w:line="240" w:lineRule="auto"/>
                      <w:ind w:left="426"/>
                      <w:rPr>
                        <w:rFonts w:ascii="Cambria" w:hAnsi="Cambria"/>
                        <w:sz w:val="14"/>
                        <w:szCs w:val="14"/>
                      </w:rPr>
                    </w:pPr>
                  </w:p>
                </w:txbxContent>
              </v:textbox>
              <w10:wrap anchorx="page"/>
            </v:shape>
          </w:pict>
        </mc:Fallback>
      </mc:AlternateContent>
    </w:r>
    <w:r w:rsidR="00783E6B">
      <w:rPr>
        <w:noProof/>
      </w:rPr>
      <mc:AlternateContent>
        <mc:Choice Requires="wps">
          <w:drawing>
            <wp:anchor distT="0" distB="0" distL="0" distR="0" simplePos="0" relativeHeight="251661312" behindDoc="1" locked="0" layoutInCell="1" hidden="0" allowOverlap="1" wp14:anchorId="5B4963EF" wp14:editId="109A89AB">
              <wp:simplePos x="0" y="0"/>
              <wp:positionH relativeFrom="column">
                <wp:posOffset>3492500</wp:posOffset>
              </wp:positionH>
              <wp:positionV relativeFrom="paragraph">
                <wp:posOffset>9944100</wp:posOffset>
              </wp:positionV>
              <wp:extent cx="1641475" cy="169545"/>
              <wp:effectExtent l="0" t="0" r="0" b="0"/>
              <wp:wrapNone/>
              <wp:docPr id="1128368034" name="Rectangle 1128368034"/>
              <wp:cNvGraphicFramePr/>
              <a:graphic xmlns:a="http://schemas.openxmlformats.org/drawingml/2006/main">
                <a:graphicData uri="http://schemas.microsoft.com/office/word/2010/wordprocessingShape">
                  <wps:wsp>
                    <wps:cNvSpPr/>
                    <wps:spPr>
                      <a:xfrm>
                        <a:off x="4530025" y="3699990"/>
                        <a:ext cx="1631950" cy="160020"/>
                      </a:xfrm>
                      <a:prstGeom prst="rect">
                        <a:avLst/>
                      </a:prstGeom>
                      <a:noFill/>
                      <a:ln>
                        <a:noFill/>
                      </a:ln>
                    </wps:spPr>
                    <wps:txbx>
                      <w:txbxContent>
                        <w:p w14:paraId="4E3F5131" w14:textId="77777777" w:rsidR="003A2EF3" w:rsidRDefault="00783E6B">
                          <w:pPr>
                            <w:spacing w:line="234" w:lineRule="auto"/>
                            <w:ind w:left="20" w:firstLine="20"/>
                            <w:textDirection w:val="btLr"/>
                          </w:pPr>
                          <w:r>
                            <w:rPr>
                              <w:color w:val="7E7E7E"/>
                              <w:sz w:val="21"/>
                            </w:rPr>
                            <w:t xml:space="preserve">Vol X, </w:t>
                          </w:r>
                          <w:proofErr w:type="spellStart"/>
                          <w:r>
                            <w:rPr>
                              <w:color w:val="7E7E7E"/>
                              <w:sz w:val="21"/>
                            </w:rPr>
                            <w:t>Nomor</w:t>
                          </w:r>
                          <w:proofErr w:type="spellEnd"/>
                          <w:r>
                            <w:rPr>
                              <w:color w:val="7E7E7E"/>
                              <w:sz w:val="21"/>
                            </w:rPr>
                            <w:t xml:space="preserve"> X, Bulan 202X</w:t>
                          </w:r>
                        </w:p>
                      </w:txbxContent>
                    </wps:txbx>
                    <wps:bodyPr spcFirstLastPara="1" wrap="square" lIns="0" tIns="0" rIns="0" bIns="0" anchor="t" anchorCtr="0">
                      <a:noAutofit/>
                    </wps:bodyPr>
                  </wps:wsp>
                </a:graphicData>
              </a:graphic>
            </wp:anchor>
          </w:drawing>
        </mc:Choice>
        <mc:Fallback>
          <w:pict>
            <v:rect w14:anchorId="5B4963EF" id="Rectangle 1128368034" o:spid="_x0000_s1029" style="position:absolute;left:0;text-align:left;margin-left:275pt;margin-top:783pt;width:129.25pt;height:13.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" filled="f" stroked="f">
              <v:textbox inset="0,0,0,0">
                <w:txbxContent>
                  <w:p w14:paraId="4E3F5131" w14:textId="77777777" w:rsidR="003A2EF3" w:rsidRDefault="00783E6B">
                    <w:pPr>
                      <w:spacing w:line="234" w:lineRule="auto"/>
                      <w:ind w:left="20" w:firstLine="20"/>
                      <w:textDirection w:val="btLr"/>
                    </w:pPr>
                    <w:r>
                      <w:rPr>
                        <w:color w:val="7E7E7E"/>
                        <w:sz w:val="21"/>
                      </w:rPr>
                      <w:t xml:space="preserve">Vol X, </w:t>
                    </w:r>
                    <w:proofErr w:type="spellStart"/>
                    <w:r>
                      <w:rPr>
                        <w:color w:val="7E7E7E"/>
                        <w:sz w:val="21"/>
                      </w:rPr>
                      <w:t>Nomor</w:t>
                    </w:r>
                    <w:proofErr w:type="spellEnd"/>
                    <w:r>
                      <w:rPr>
                        <w:color w:val="7E7E7E"/>
                        <w:sz w:val="21"/>
                      </w:rPr>
                      <w:t xml:space="preserve"> X, Bulan 202X</w:t>
                    </w:r>
                  </w:p>
                </w:txbxContent>
              </v:textbox>
            </v:rect>
          </w:pict>
        </mc:Fallback>
      </mc:AlternateContent>
    </w:r>
  </w:p>
  <w:p w14:paraId="16D909EC" w14:textId="44C11095" w:rsidR="008938DD" w:rsidRPr="008938DD" w:rsidRDefault="008938DD" w:rsidP="008938DD">
    <w:pPr>
      <w:pBdr>
        <w:left w:val="nil"/>
        <w:bottom w:val="nil"/>
        <w:right w:val="nil"/>
        <w:between w:val="nil"/>
      </w:pBdr>
      <w:tabs>
        <w:tab w:val="center" w:pos="4513"/>
        <w:tab w:val="right" w:pos="9026"/>
      </w:tabs>
      <w:spacing w:after="0" w:line="240" w:lineRule="auto"/>
      <w:jc w:val="right"/>
      <w:rPr>
        <w:rFonts w:ascii="Cambria" w:hAnsi="Cambria"/>
        <w:color w:val="000000"/>
        <w:sz w:val="24"/>
        <w:szCs w:val="24"/>
      </w:rPr>
    </w:pPr>
    <w:r w:rsidRPr="008938DD">
      <w:rPr>
        <w:rFonts w:ascii="Cambria" w:hAnsi="Cambria"/>
        <w:color w:val="000000"/>
        <w:sz w:val="24"/>
        <w:szCs w:val="24"/>
      </w:rPr>
      <w:fldChar w:fldCharType="begin"/>
    </w:r>
    <w:r w:rsidRPr="008938DD">
      <w:rPr>
        <w:rFonts w:ascii="Cambria" w:hAnsi="Cambria"/>
        <w:color w:val="000000"/>
        <w:sz w:val="24"/>
        <w:szCs w:val="24"/>
      </w:rPr>
      <w:instrText xml:space="preserve"> PAGE   \* MERGEFORMAT </w:instrText>
    </w:r>
    <w:r w:rsidRPr="008938DD">
      <w:rPr>
        <w:rFonts w:ascii="Cambria" w:hAnsi="Cambria"/>
        <w:color w:val="000000"/>
        <w:sz w:val="24"/>
        <w:szCs w:val="24"/>
      </w:rPr>
      <w:fldChar w:fldCharType="separate"/>
    </w:r>
    <w:r w:rsidRPr="008938DD">
      <w:rPr>
        <w:rFonts w:ascii="Cambria" w:hAnsi="Cambria"/>
        <w:noProof/>
        <w:color w:val="000000"/>
        <w:sz w:val="24"/>
        <w:szCs w:val="24"/>
      </w:rPr>
      <w:t>1</w:t>
    </w:r>
    <w:r w:rsidRPr="008938DD">
      <w:rPr>
        <w:rFonts w:ascii="Cambria" w:hAnsi="Cambria"/>
        <w:noProof/>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B3A" w14:textId="19BEFCBE" w:rsidR="008938DD" w:rsidRDefault="008938DD" w:rsidP="008938DD">
    <w:pPr>
      <w:pStyle w:val="Footer"/>
      <w:pBdr>
        <w:bottom w:val="single" w:sz="6" w:space="1" w:color="auto"/>
      </w:pBdr>
      <w:tabs>
        <w:tab w:val="clear" w:pos="4513"/>
        <w:tab w:val="clear" w:pos="9026"/>
      </w:tabs>
    </w:pPr>
  </w:p>
  <w:p w14:paraId="1B282DEB" w14:textId="6F764FE8" w:rsidR="008938DD" w:rsidRPr="00E006E9" w:rsidRDefault="008938DD" w:rsidP="008938DD">
    <w:pPr>
      <w:pStyle w:val="Footer"/>
      <w:tabs>
        <w:tab w:val="clear" w:pos="4513"/>
        <w:tab w:val="clear" w:pos="9026"/>
      </w:tabs>
      <w:rPr>
        <w:rFonts w:ascii="Cambria" w:hAnsi="Cambria"/>
        <w:noProof/>
        <w:sz w:val="24"/>
        <w:szCs w:val="24"/>
      </w:rPr>
    </w:pPr>
    <w:r w:rsidRPr="00E006E9">
      <w:rPr>
        <w:rFonts w:ascii="Cambria" w:hAnsi="Cambria"/>
        <w:sz w:val="24"/>
        <w:szCs w:val="24"/>
      </w:rPr>
      <w:fldChar w:fldCharType="begin"/>
    </w:r>
    <w:r w:rsidRPr="00E006E9">
      <w:rPr>
        <w:rFonts w:ascii="Cambria" w:hAnsi="Cambria"/>
        <w:sz w:val="24"/>
        <w:szCs w:val="24"/>
      </w:rPr>
      <w:instrText xml:space="preserve"> PAGE   \* MERGEFORMAT </w:instrText>
    </w:r>
    <w:r w:rsidRPr="00E006E9">
      <w:rPr>
        <w:rFonts w:ascii="Cambria" w:hAnsi="Cambria"/>
        <w:sz w:val="24"/>
        <w:szCs w:val="24"/>
      </w:rPr>
      <w:fldChar w:fldCharType="separate"/>
    </w:r>
    <w:r w:rsidRPr="00E006E9">
      <w:rPr>
        <w:rFonts w:ascii="Cambria" w:hAnsi="Cambria"/>
        <w:noProof/>
        <w:sz w:val="24"/>
        <w:szCs w:val="24"/>
      </w:rPr>
      <w:t>1</w:t>
    </w:r>
    <w:r w:rsidRPr="00E006E9">
      <w:rPr>
        <w:rFonts w:ascii="Cambria" w:hAnsi="Cambria"/>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C9D9" w14:textId="77777777" w:rsidR="003F0AB7" w:rsidRDefault="003F0AB7">
      <w:pPr>
        <w:spacing w:after="0" w:line="240" w:lineRule="auto"/>
      </w:pPr>
      <w:r>
        <w:separator/>
      </w:r>
    </w:p>
  </w:footnote>
  <w:footnote w:type="continuationSeparator" w:id="0">
    <w:p w14:paraId="72530A71" w14:textId="77777777" w:rsidR="003F0AB7" w:rsidRDefault="003F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3C9C" w14:textId="77777777" w:rsidR="00783E6B" w:rsidRDefault="00783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79A5" w14:textId="22865BB5" w:rsidR="003A2EF3" w:rsidRPr="006545B7" w:rsidRDefault="00E006E9" w:rsidP="006545B7">
    <w:pPr>
      <w:pBdr>
        <w:top w:val="nil"/>
        <w:left w:val="nil"/>
        <w:bottom w:val="nil"/>
        <w:right w:val="nil"/>
        <w:between w:val="nil"/>
      </w:pBdr>
      <w:spacing w:after="0" w:line="240" w:lineRule="auto"/>
      <w:jc w:val="right"/>
      <w:rPr>
        <w:rFonts w:ascii="Cambria" w:eastAsia="Bell MT" w:hAnsi="Cambria" w:cs="Bell MT"/>
        <w:sz w:val="18"/>
        <w:szCs w:val="18"/>
      </w:rPr>
    </w:pPr>
    <w:r w:rsidRPr="006545B7">
      <w:rPr>
        <w:rFonts w:ascii="Cambria" w:eastAsia="Bell MT" w:hAnsi="Cambria" w:cs="Bell MT"/>
        <w:sz w:val="18"/>
        <w:szCs w:val="18"/>
      </w:rPr>
      <w:t>1</w:t>
    </w:r>
    <w:r w:rsidRPr="006545B7">
      <w:rPr>
        <w:rFonts w:ascii="Cambria" w:eastAsia="Bell MT" w:hAnsi="Cambria" w:cs="Bell MT"/>
        <w:sz w:val="18"/>
        <w:szCs w:val="18"/>
        <w:vertAlign w:val="superscript"/>
      </w:rPr>
      <w:t>st</w:t>
    </w:r>
    <w:r w:rsidRPr="006545B7">
      <w:rPr>
        <w:rFonts w:ascii="Cambria" w:eastAsia="Bell MT" w:hAnsi="Cambria" w:cs="Bell MT"/>
        <w:sz w:val="18"/>
        <w:szCs w:val="18"/>
      </w:rPr>
      <w:t xml:space="preserve"> Author last name et al</w:t>
    </w:r>
  </w:p>
  <w:p w14:paraId="51862799" w14:textId="22AA0AB3" w:rsidR="00F56CA0" w:rsidRPr="006545B7" w:rsidRDefault="00E006E9" w:rsidP="006545B7">
    <w:pPr>
      <w:spacing w:after="0" w:line="240" w:lineRule="auto"/>
      <w:jc w:val="right"/>
      <w:rPr>
        <w:rFonts w:ascii="Cambria" w:eastAsia="Helvetica Neue" w:hAnsi="Cambria" w:cs="Helvetica Neue"/>
        <w:color w:val="000000" w:themeColor="text1"/>
        <w:sz w:val="18"/>
        <w:szCs w:val="18"/>
        <w:highlight w:val="white"/>
      </w:rPr>
    </w:pPr>
    <w:r w:rsidRPr="006545B7">
      <w:rPr>
        <w:rFonts w:ascii="Cambria" w:eastAsia="Helvetica Neue" w:hAnsi="Cambria" w:cs="Helvetica Neue"/>
        <w:color w:val="000000" w:themeColor="text1"/>
        <w:sz w:val="18"/>
        <w:szCs w:val="18"/>
        <w:highlight w:val="white"/>
      </w:rPr>
      <w:t>Title of Manuscript (Cambria, 9 pt, Capitalize Each Word)</w:t>
    </w:r>
  </w:p>
  <w:p w14:paraId="3BF6362E" w14:textId="4009FBBE" w:rsidR="00F56CA0" w:rsidRDefault="00F56CA0" w:rsidP="006545B7">
    <w:pPr>
      <w:spacing w:after="0" w:line="240" w:lineRule="auto"/>
      <w:jc w:val="right"/>
      <w:rPr>
        <w:rFonts w:ascii="Cambria" w:eastAsia="Bell MT" w:hAnsi="Cambria" w:cs="Bell MT"/>
        <w:color w:val="4472C4"/>
        <w:sz w:val="18"/>
        <w:szCs w:val="18"/>
      </w:rPr>
    </w:pPr>
    <w:r w:rsidRPr="006545B7">
      <w:rPr>
        <w:rFonts w:ascii="Cambria" w:eastAsia="Helvetica Neue" w:hAnsi="Cambria" w:cs="Helvetica Neue"/>
        <w:color w:val="000000" w:themeColor="text1"/>
        <w:sz w:val="18"/>
        <w:szCs w:val="18"/>
        <w:highlight w:val="white"/>
      </w:rPr>
      <w:t xml:space="preserve">DOI: </w:t>
    </w:r>
    <w:hyperlink r:id="rId1">
      <w:r w:rsidRPr="006545B7">
        <w:rPr>
          <w:rFonts w:ascii="Cambria" w:eastAsia="Bell MT" w:hAnsi="Cambria" w:cs="Bell MT"/>
          <w:color w:val="4472C4"/>
          <w:sz w:val="18"/>
          <w:szCs w:val="18"/>
        </w:rPr>
        <w:t>10.14710/gp.10.</w:t>
      </w:r>
      <w:proofErr w:type="gramStart"/>
      <w:r w:rsidRPr="006545B7">
        <w:rPr>
          <w:rFonts w:ascii="Cambria" w:eastAsia="Bell MT" w:hAnsi="Cambria" w:cs="Bell MT"/>
          <w:color w:val="4472C4"/>
          <w:sz w:val="18"/>
          <w:szCs w:val="18"/>
        </w:rPr>
        <w:t>2.pp</w:t>
      </w:r>
      <w:proofErr w:type="gramEnd"/>
      <w:r w:rsidRPr="006545B7">
        <w:rPr>
          <w:rFonts w:ascii="Cambria" w:eastAsia="Bell MT" w:hAnsi="Cambria" w:cs="Bell MT"/>
          <w:color w:val="4472C4"/>
          <w:sz w:val="18"/>
          <w:szCs w:val="18"/>
        </w:rPr>
        <w:t>-</w:t>
      </w:r>
    </w:hyperlink>
    <w:r w:rsidRPr="006545B7">
      <w:rPr>
        <w:rFonts w:ascii="Cambria" w:eastAsia="Bell MT" w:hAnsi="Cambria" w:cs="Bell MT"/>
        <w:color w:val="4472C4"/>
        <w:sz w:val="18"/>
        <w:szCs w:val="18"/>
      </w:rPr>
      <w:t>pp</w:t>
    </w:r>
  </w:p>
  <w:p w14:paraId="1D0AB604" w14:textId="77777777" w:rsidR="006545B7" w:rsidRPr="006545B7" w:rsidRDefault="006545B7" w:rsidP="006545B7">
    <w:pPr>
      <w:spacing w:after="0" w:line="240" w:lineRule="auto"/>
      <w:jc w:val="right"/>
      <w:rPr>
        <w:rFonts w:ascii="Cambria" w:eastAsia="Helvetica Neue" w:hAnsi="Cambria" w:cs="Helvetica Neue"/>
        <w:color w:val="000000" w:themeColor="text1"/>
        <w:sz w:val="18"/>
        <w:szCs w:val="1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512D" w14:textId="77777777" w:rsidR="00783E6B" w:rsidRDefault="0078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37833"/>
    <w:multiLevelType w:val="multilevel"/>
    <w:tmpl w:val="4088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45505"/>
    <w:multiLevelType w:val="hybridMultilevel"/>
    <w:tmpl w:val="012AFE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6410085">
    <w:abstractNumId w:val="1"/>
  </w:num>
  <w:num w:numId="2" w16cid:durableId="41254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F3"/>
    <w:rsid w:val="002640A1"/>
    <w:rsid w:val="002F7B6B"/>
    <w:rsid w:val="003A2EF3"/>
    <w:rsid w:val="003F0AB7"/>
    <w:rsid w:val="006545B7"/>
    <w:rsid w:val="00783E6B"/>
    <w:rsid w:val="007A34B8"/>
    <w:rsid w:val="0084512B"/>
    <w:rsid w:val="008938DD"/>
    <w:rsid w:val="00AE5006"/>
    <w:rsid w:val="00B04C8C"/>
    <w:rsid w:val="00B82DF0"/>
    <w:rsid w:val="00B9241B"/>
    <w:rsid w:val="00DD3799"/>
    <w:rsid w:val="00E006E9"/>
    <w:rsid w:val="00F5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BED2"/>
  <w15:docId w15:val="{EF1030A6-380B-4730-BE17-3E541A8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E34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4856D4"/>
    <w:pPr>
      <w:tabs>
        <w:tab w:val="center" w:pos="4513"/>
        <w:tab w:val="right" w:pos="9026"/>
      </w:tabs>
      <w:spacing w:after="0" w:line="240" w:lineRule="auto"/>
    </w:pPr>
  </w:style>
  <w:style w:type="character" w:customStyle="1" w:styleId="HeaderKAR">
    <w:name w:val="Header KAR"/>
    <w:basedOn w:val="FontParagrafDefault"/>
    <w:link w:val="Header"/>
    <w:uiPriority w:val="99"/>
    <w:rsid w:val="004856D4"/>
  </w:style>
  <w:style w:type="paragraph" w:styleId="Footer">
    <w:name w:val="footer"/>
    <w:basedOn w:val="Normal"/>
    <w:link w:val="FooterKAR"/>
    <w:uiPriority w:val="99"/>
    <w:unhideWhenUsed/>
    <w:rsid w:val="004856D4"/>
    <w:pPr>
      <w:tabs>
        <w:tab w:val="center" w:pos="4513"/>
        <w:tab w:val="right" w:pos="9026"/>
      </w:tabs>
      <w:spacing w:after="0" w:line="240" w:lineRule="auto"/>
    </w:pPr>
  </w:style>
  <w:style w:type="character" w:customStyle="1" w:styleId="FooterKAR">
    <w:name w:val="Footer KAR"/>
    <w:basedOn w:val="FontParagrafDefault"/>
    <w:link w:val="Footer"/>
    <w:uiPriority w:val="99"/>
    <w:rsid w:val="004856D4"/>
  </w:style>
  <w:style w:type="paragraph" w:styleId="NormalWeb">
    <w:name w:val="Normal (Web)"/>
    <w:basedOn w:val="Normal"/>
    <w:uiPriority w:val="99"/>
    <w:unhideWhenUsed/>
    <w:rsid w:val="004856D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TeksIsi">
    <w:name w:val="Body Text"/>
    <w:basedOn w:val="Normal"/>
    <w:link w:val="TeksIsiKAR"/>
    <w:uiPriority w:val="1"/>
    <w:qFormat/>
    <w:rsid w:val="00E17248"/>
    <w:pPr>
      <w:widowControl w:val="0"/>
      <w:autoSpaceDE w:val="0"/>
      <w:autoSpaceDN w:val="0"/>
      <w:spacing w:after="0" w:line="240" w:lineRule="auto"/>
      <w:ind w:left="928"/>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17248"/>
    <w:rPr>
      <w:rFonts w:ascii="Times New Roman" w:eastAsia="Times New Roman" w:hAnsi="Times New Roman" w:cs="Times New Roman"/>
      <w:kern w:val="0"/>
      <w:sz w:val="24"/>
      <w:szCs w:val="24"/>
      <w:lang w:val="id"/>
    </w:rPr>
  </w:style>
  <w:style w:type="character" w:styleId="Hyperlink">
    <w:name w:val="Hyperlink"/>
    <w:basedOn w:val="FontParagrafDefault"/>
    <w:uiPriority w:val="99"/>
    <w:unhideWhenUsed/>
    <w:rsid w:val="00E17248"/>
    <w:rPr>
      <w:color w:val="0000FF"/>
      <w:u w:val="single"/>
    </w:rPr>
  </w:style>
  <w:style w:type="character" w:styleId="SebutanYangBelumTerselesaikan">
    <w:name w:val="Unresolved Mention"/>
    <w:basedOn w:val="FontParagrafDefault"/>
    <w:uiPriority w:val="99"/>
    <w:semiHidden/>
    <w:unhideWhenUsed/>
    <w:rsid w:val="00E17248"/>
    <w:rPr>
      <w:color w:val="605E5C"/>
      <w:shd w:val="clear" w:color="auto" w:fill="E1DFDD"/>
    </w:rPr>
  </w:style>
  <w:style w:type="paragraph" w:customStyle="1" w:styleId="Caption1">
    <w:name w:val="Caption1"/>
    <w:link w:val="CaptionChar"/>
    <w:qFormat/>
    <w:rsid w:val="00876282"/>
    <w:pPr>
      <w:spacing w:before="240" w:after="120" w:line="240" w:lineRule="auto"/>
      <w:jc w:val="center"/>
    </w:pPr>
    <w:rPr>
      <w:rFonts w:ascii="Times New Roman" w:eastAsia="Times" w:hAnsi="Times New Roman" w:cs="Times New Roman"/>
      <w:noProof/>
      <w:color w:val="000000"/>
      <w:sz w:val="18"/>
      <w:szCs w:val="20"/>
      <w:lang w:val="sk-SK" w:eastAsia="sk-SK"/>
    </w:rPr>
  </w:style>
  <w:style w:type="character" w:customStyle="1" w:styleId="CaptionChar">
    <w:name w:val="Caption Char"/>
    <w:basedOn w:val="FontParagrafDefault"/>
    <w:link w:val="Caption1"/>
    <w:rsid w:val="00876282"/>
    <w:rPr>
      <w:rFonts w:ascii="Times New Roman" w:eastAsia="Times" w:hAnsi="Times New Roman" w:cs="Times New Roman"/>
      <w:noProof/>
      <w:color w:val="000000"/>
      <w:kern w:val="0"/>
      <w:sz w:val="18"/>
      <w:szCs w:val="20"/>
      <w:lang w:val="sk-SK" w:eastAsia="sk-SK"/>
    </w:rPr>
  </w:style>
  <w:style w:type="table" w:styleId="KisiTabel">
    <w:name w:val="Table Grid"/>
    <w:basedOn w:val="TabelNormal"/>
    <w:uiPriority w:val="39"/>
    <w:qFormat/>
    <w:rsid w:val="00876282"/>
    <w:pPr>
      <w:spacing w:after="0" w:line="240" w:lineRule="auto"/>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1 Char"/>
    <w:basedOn w:val="FontParagrafDefault"/>
    <w:link w:val="Heading1"/>
    <w:locked/>
    <w:rsid w:val="006E3431"/>
    <w:rPr>
      <w:rFonts w:ascii="Times New Roman" w:eastAsia="Times" w:hAnsi="Times New Roman" w:cs="Times New Roman"/>
      <w:b/>
      <w:color w:val="000000"/>
      <w:kern w:val="0"/>
      <w:sz w:val="24"/>
      <w:szCs w:val="24"/>
      <w:lang w:val="sk-SK" w:eastAsia="sk-SK"/>
    </w:rPr>
  </w:style>
  <w:style w:type="paragraph" w:customStyle="1" w:styleId="Heading1">
    <w:name w:val="Heading1"/>
    <w:basedOn w:val="Judul1"/>
    <w:next w:val="Normal"/>
    <w:link w:val="Heading1Char"/>
    <w:qFormat/>
    <w:rsid w:val="006E3431"/>
    <w:pPr>
      <w:tabs>
        <w:tab w:val="left" w:pos="454"/>
      </w:tabs>
      <w:spacing w:before="360" w:after="240" w:line="300" w:lineRule="atLeast"/>
      <w:ind w:left="454" w:right="567" w:hanging="454"/>
      <w:contextualSpacing/>
    </w:pPr>
    <w:rPr>
      <w:rFonts w:ascii="Times New Roman" w:eastAsia="Times" w:hAnsi="Times New Roman" w:cs="Times New Roman"/>
      <w:b/>
      <w:color w:val="000000"/>
      <w:sz w:val="24"/>
      <w:szCs w:val="24"/>
      <w:lang w:val="sk-SK" w:eastAsia="sk-SK"/>
    </w:rPr>
  </w:style>
  <w:style w:type="character" w:customStyle="1" w:styleId="Judul1KAR">
    <w:name w:val="Judul 1 KAR"/>
    <w:basedOn w:val="FontParagrafDefault"/>
    <w:link w:val="Judul1"/>
    <w:uiPriority w:val="9"/>
    <w:rsid w:val="006E3431"/>
    <w:rPr>
      <w:rFonts w:asciiTheme="majorHAnsi" w:eastAsiaTheme="majorEastAsia" w:hAnsiTheme="majorHAnsi" w:cstheme="majorBidi"/>
      <w:color w:val="2F5496" w:themeColor="accent1" w:themeShade="BF"/>
      <w:sz w:val="32"/>
      <w:szCs w:val="32"/>
    </w:rPr>
  </w:style>
  <w:style w:type="paragraph" w:styleId="DaftarParagraf">
    <w:name w:val="List Paragraph"/>
    <w:basedOn w:val="Normal"/>
    <w:uiPriority w:val="34"/>
    <w:qFormat/>
    <w:rsid w:val="006E3431"/>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reativecommons.org/licenses/by-nc-sa/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10.14710/geoplanning.8.1.6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53zuTx2Bhrfy1d5aRLhESju8g==">CgMxLjAyCGguZ2pkZ3hzOAByITF3TGRmc0dXSzgtRmNIZlZHMWsyXzRNdEVyYnZrOGp3cQ==</go:docsCustomData>
</go:gDocsCustomXmlDataStorage>
</file>

<file path=customXml/itemProps1.xml><?xml version="1.0" encoding="utf-8"?>
<ds:datastoreItem xmlns:ds="http://schemas.openxmlformats.org/officeDocument/2006/customXml" ds:itemID="{3AC6DD0B-DDA5-458C-9628-CECB55C6F8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12</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rifky alfarez</dc:creator>
  <cp:lastModifiedBy>walidumar</cp:lastModifiedBy>
  <cp:revision>3</cp:revision>
  <cp:lastPrinted>2025-09-09T09:44:00Z</cp:lastPrinted>
  <dcterms:created xsi:type="dcterms:W3CDTF">2025-09-10T07:57:00Z</dcterms:created>
  <dcterms:modified xsi:type="dcterms:W3CDTF">2025-10-13T11:29:00Z</dcterms:modified>
</cp:coreProperties>
</file>