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1B8B" w14:textId="01F3B071" w:rsidR="00A54E21" w:rsidRPr="00F07C98" w:rsidRDefault="009B676D" w:rsidP="00F07C98">
      <w:pPr>
        <w:spacing w:line="480" w:lineRule="auto"/>
        <w:jc w:val="center"/>
        <w:rPr>
          <w:rFonts w:ascii="Arial" w:hAnsi="Arial" w:cs="Arial"/>
          <w:sz w:val="22"/>
          <w:szCs w:val="22"/>
        </w:rPr>
      </w:pPr>
      <w:r w:rsidRPr="00F07C98">
        <w:rPr>
          <w:rFonts w:ascii="Arial" w:hAnsi="Arial" w:cs="Arial"/>
          <w:sz w:val="22"/>
          <w:szCs w:val="22"/>
        </w:rPr>
        <w:t>Organic carbo</w:t>
      </w:r>
      <w:r w:rsidR="00C42FE3" w:rsidRPr="00F07C98">
        <w:rPr>
          <w:rFonts w:ascii="Arial" w:hAnsi="Arial" w:cs="Arial"/>
          <w:sz w:val="22"/>
          <w:szCs w:val="22"/>
        </w:rPr>
        <w:t>n source and C/N ratio affect inorganic nitrogen profile</w:t>
      </w:r>
      <w:r w:rsidRPr="00F07C98">
        <w:rPr>
          <w:rFonts w:ascii="Arial" w:hAnsi="Arial" w:cs="Arial"/>
          <w:sz w:val="22"/>
          <w:szCs w:val="22"/>
        </w:rPr>
        <w:t xml:space="preserve"> in </w:t>
      </w:r>
      <w:r w:rsidR="003C0DE3" w:rsidRPr="00F07C98">
        <w:rPr>
          <w:rFonts w:ascii="Arial" w:hAnsi="Arial" w:cs="Arial"/>
          <w:sz w:val="22"/>
          <w:szCs w:val="22"/>
        </w:rPr>
        <w:t xml:space="preserve">the </w:t>
      </w:r>
      <w:proofErr w:type="spellStart"/>
      <w:r w:rsidR="003C0DE3" w:rsidRPr="00F07C98">
        <w:rPr>
          <w:rFonts w:ascii="Arial" w:hAnsi="Arial" w:cs="Arial"/>
          <w:sz w:val="22"/>
          <w:szCs w:val="22"/>
        </w:rPr>
        <w:t>biofloc</w:t>
      </w:r>
      <w:proofErr w:type="spellEnd"/>
      <w:r w:rsidR="003C0DE3" w:rsidRPr="00F07C98">
        <w:rPr>
          <w:rFonts w:ascii="Arial" w:hAnsi="Arial" w:cs="Arial"/>
          <w:sz w:val="22"/>
          <w:szCs w:val="22"/>
        </w:rPr>
        <w:t>-</w:t>
      </w:r>
      <w:r w:rsidR="00C42FE3" w:rsidRPr="00F07C98">
        <w:rPr>
          <w:rFonts w:ascii="Arial" w:hAnsi="Arial" w:cs="Arial"/>
          <w:sz w:val="22"/>
          <w:szCs w:val="22"/>
        </w:rPr>
        <w:t xml:space="preserve">based </w:t>
      </w:r>
      <w:r w:rsidRPr="00F07C98">
        <w:rPr>
          <w:rFonts w:ascii="Arial" w:hAnsi="Arial" w:cs="Arial"/>
          <w:sz w:val="22"/>
          <w:szCs w:val="22"/>
        </w:rPr>
        <w:t>culture media of Pacific white shrimp</w:t>
      </w:r>
    </w:p>
    <w:p w14:paraId="487E91CA" w14:textId="77777777" w:rsidR="009B676D" w:rsidRPr="00F07C98" w:rsidRDefault="009B676D" w:rsidP="00F07C98">
      <w:pPr>
        <w:spacing w:line="480" w:lineRule="auto"/>
        <w:jc w:val="both"/>
        <w:rPr>
          <w:rFonts w:ascii="Arial" w:hAnsi="Arial" w:cs="Arial"/>
          <w:sz w:val="22"/>
          <w:szCs w:val="22"/>
        </w:rPr>
      </w:pPr>
    </w:p>
    <w:p w14:paraId="3AABDA9C" w14:textId="7D2E1193" w:rsidR="009B676D" w:rsidRPr="00F07C98" w:rsidRDefault="00B6026E" w:rsidP="00F07C98">
      <w:pPr>
        <w:spacing w:line="480" w:lineRule="auto"/>
        <w:jc w:val="center"/>
        <w:rPr>
          <w:rFonts w:ascii="Arial" w:hAnsi="Arial" w:cs="Arial"/>
          <w:sz w:val="22"/>
          <w:szCs w:val="22"/>
        </w:rPr>
      </w:pPr>
      <w:r w:rsidRPr="00F07C98">
        <w:rPr>
          <w:rFonts w:ascii="Arial" w:hAnsi="Arial" w:cs="Arial"/>
          <w:sz w:val="22"/>
          <w:szCs w:val="22"/>
        </w:rPr>
        <w:t>Muhammad</w:t>
      </w:r>
      <w:r w:rsidR="009B676D" w:rsidRPr="00F07C98">
        <w:rPr>
          <w:rFonts w:ascii="Arial" w:hAnsi="Arial" w:cs="Arial"/>
          <w:sz w:val="22"/>
          <w:szCs w:val="22"/>
        </w:rPr>
        <w:t xml:space="preserve"> </w:t>
      </w:r>
      <w:proofErr w:type="spellStart"/>
      <w:r w:rsidR="009B676D" w:rsidRPr="00F07C98">
        <w:rPr>
          <w:rFonts w:ascii="Arial" w:hAnsi="Arial" w:cs="Arial"/>
          <w:sz w:val="22"/>
          <w:szCs w:val="22"/>
        </w:rPr>
        <w:t>Hanif</w:t>
      </w:r>
      <w:proofErr w:type="spellEnd"/>
      <w:r w:rsidR="009B676D" w:rsidRPr="00F07C98">
        <w:rPr>
          <w:rFonts w:ascii="Arial" w:hAnsi="Arial" w:cs="Arial"/>
          <w:sz w:val="22"/>
          <w:szCs w:val="22"/>
        </w:rPr>
        <w:t xml:space="preserve"> </w:t>
      </w:r>
      <w:proofErr w:type="spellStart"/>
      <w:r w:rsidR="009B676D" w:rsidRPr="00F07C98">
        <w:rPr>
          <w:rFonts w:ascii="Arial" w:hAnsi="Arial" w:cs="Arial"/>
          <w:sz w:val="22"/>
          <w:szCs w:val="22"/>
        </w:rPr>
        <w:t>Azhar</w:t>
      </w:r>
      <w:proofErr w:type="spellEnd"/>
      <w:r w:rsidR="009B676D" w:rsidRPr="00F07C98">
        <w:rPr>
          <w:rFonts w:ascii="Arial" w:hAnsi="Arial" w:cs="Arial"/>
          <w:sz w:val="22"/>
          <w:szCs w:val="22"/>
        </w:rPr>
        <w:t xml:space="preserve">, Eddy </w:t>
      </w:r>
      <w:proofErr w:type="spellStart"/>
      <w:r w:rsidR="009B676D" w:rsidRPr="00F07C98">
        <w:rPr>
          <w:rFonts w:ascii="Arial" w:hAnsi="Arial" w:cs="Arial"/>
          <w:sz w:val="22"/>
          <w:szCs w:val="22"/>
        </w:rPr>
        <w:t>Supriyono</w:t>
      </w:r>
      <w:proofErr w:type="spellEnd"/>
      <w:r w:rsidR="009B676D" w:rsidRPr="00F07C98">
        <w:rPr>
          <w:rFonts w:ascii="Arial" w:hAnsi="Arial" w:cs="Arial"/>
          <w:sz w:val="22"/>
          <w:szCs w:val="22"/>
        </w:rPr>
        <w:t xml:space="preserve">, </w:t>
      </w:r>
      <w:proofErr w:type="spellStart"/>
      <w:r w:rsidR="009B676D" w:rsidRPr="00F07C98">
        <w:rPr>
          <w:rFonts w:ascii="Arial" w:hAnsi="Arial" w:cs="Arial"/>
          <w:sz w:val="22"/>
          <w:szCs w:val="22"/>
        </w:rPr>
        <w:t>Kukuh</w:t>
      </w:r>
      <w:proofErr w:type="spellEnd"/>
      <w:r w:rsidR="009B676D" w:rsidRPr="00F07C98">
        <w:rPr>
          <w:rFonts w:ascii="Arial" w:hAnsi="Arial" w:cs="Arial"/>
          <w:sz w:val="22"/>
          <w:szCs w:val="22"/>
        </w:rPr>
        <w:t xml:space="preserve"> </w:t>
      </w:r>
      <w:proofErr w:type="spellStart"/>
      <w:r w:rsidR="009B676D" w:rsidRPr="00F07C98">
        <w:rPr>
          <w:rFonts w:ascii="Arial" w:hAnsi="Arial" w:cs="Arial"/>
          <w:sz w:val="22"/>
          <w:szCs w:val="22"/>
        </w:rPr>
        <w:t>Nirmala</w:t>
      </w:r>
      <w:proofErr w:type="spellEnd"/>
      <w:r w:rsidR="003C0DE3" w:rsidRPr="00F07C98">
        <w:rPr>
          <w:rFonts w:ascii="Arial" w:hAnsi="Arial" w:cs="Arial"/>
          <w:sz w:val="22"/>
          <w:szCs w:val="22"/>
        </w:rPr>
        <w:t xml:space="preserve">, Julie </w:t>
      </w:r>
      <w:proofErr w:type="spellStart"/>
      <w:r w:rsidR="003C0DE3" w:rsidRPr="00F07C98">
        <w:rPr>
          <w:rFonts w:ascii="Arial" w:hAnsi="Arial" w:cs="Arial"/>
          <w:sz w:val="22"/>
          <w:szCs w:val="22"/>
        </w:rPr>
        <w:t>Ekasari</w:t>
      </w:r>
      <w:proofErr w:type="spellEnd"/>
      <w:r w:rsidR="003C0DE3" w:rsidRPr="00F07C98">
        <w:rPr>
          <w:rFonts w:ascii="Arial" w:hAnsi="Arial" w:cs="Arial"/>
          <w:sz w:val="22"/>
          <w:szCs w:val="22"/>
        </w:rPr>
        <w:t>,</w:t>
      </w:r>
    </w:p>
    <w:p w14:paraId="7692B560" w14:textId="77777777" w:rsidR="0068627E" w:rsidRPr="00F07C98" w:rsidRDefault="0068627E" w:rsidP="00F07C98">
      <w:pPr>
        <w:spacing w:line="480" w:lineRule="auto"/>
        <w:jc w:val="both"/>
        <w:rPr>
          <w:rFonts w:ascii="Arial" w:hAnsi="Arial" w:cs="Arial"/>
          <w:sz w:val="22"/>
          <w:szCs w:val="22"/>
        </w:rPr>
      </w:pPr>
    </w:p>
    <w:p w14:paraId="6DEE5F8C" w14:textId="7E4B9840" w:rsidR="009B676D" w:rsidRPr="00F07C98" w:rsidRDefault="0068627E" w:rsidP="00F07C98">
      <w:pPr>
        <w:spacing w:line="480" w:lineRule="auto"/>
        <w:jc w:val="center"/>
        <w:rPr>
          <w:rFonts w:ascii="Arial" w:hAnsi="Arial" w:cs="Arial"/>
          <w:sz w:val="22"/>
          <w:szCs w:val="22"/>
        </w:rPr>
      </w:pPr>
      <w:r w:rsidRPr="00F07C98">
        <w:rPr>
          <w:rFonts w:ascii="Arial" w:hAnsi="Arial" w:cs="Arial"/>
          <w:sz w:val="22"/>
          <w:szCs w:val="22"/>
        </w:rPr>
        <w:t>Department of Aquaculture, Faculty of Fisheries and Marine Science, Bogor Agricultural University</w:t>
      </w:r>
    </w:p>
    <w:p w14:paraId="04B96308" w14:textId="77777777" w:rsidR="0068627E" w:rsidRPr="00F07C98" w:rsidRDefault="0068627E" w:rsidP="00F07C98">
      <w:pPr>
        <w:spacing w:line="480" w:lineRule="auto"/>
        <w:jc w:val="both"/>
        <w:rPr>
          <w:rFonts w:ascii="Arial" w:hAnsi="Arial" w:cs="Arial"/>
          <w:sz w:val="22"/>
          <w:szCs w:val="22"/>
        </w:rPr>
      </w:pPr>
    </w:p>
    <w:p w14:paraId="6CD465A2" w14:textId="77777777" w:rsidR="009B676D" w:rsidRPr="00F07C98" w:rsidRDefault="009B676D" w:rsidP="00F07C98">
      <w:pPr>
        <w:spacing w:line="480" w:lineRule="auto"/>
        <w:jc w:val="both"/>
        <w:rPr>
          <w:rFonts w:ascii="Arial" w:hAnsi="Arial" w:cs="Arial"/>
          <w:b/>
          <w:sz w:val="22"/>
          <w:szCs w:val="22"/>
        </w:rPr>
      </w:pPr>
      <w:r w:rsidRPr="00F07C98">
        <w:rPr>
          <w:rFonts w:ascii="Arial" w:hAnsi="Arial" w:cs="Arial"/>
          <w:b/>
          <w:sz w:val="22"/>
          <w:szCs w:val="22"/>
        </w:rPr>
        <w:t>Abstract</w:t>
      </w:r>
    </w:p>
    <w:p w14:paraId="2B4BE7B9" w14:textId="77777777" w:rsidR="009B676D" w:rsidRPr="00F07C98" w:rsidRDefault="009B676D" w:rsidP="00F07C98">
      <w:pPr>
        <w:spacing w:line="480" w:lineRule="auto"/>
        <w:jc w:val="both"/>
        <w:rPr>
          <w:rFonts w:ascii="Arial" w:hAnsi="Arial" w:cs="Arial"/>
          <w:sz w:val="22"/>
          <w:szCs w:val="22"/>
        </w:rPr>
      </w:pPr>
    </w:p>
    <w:p w14:paraId="4CEBE853" w14:textId="69B58672" w:rsidR="00A44300" w:rsidRPr="00F07C98" w:rsidRDefault="006C7DFD" w:rsidP="00F07C98">
      <w:pPr>
        <w:spacing w:line="480" w:lineRule="auto"/>
        <w:jc w:val="both"/>
        <w:rPr>
          <w:rFonts w:ascii="Arial" w:hAnsi="Arial" w:cs="Arial"/>
          <w:sz w:val="22"/>
          <w:szCs w:val="22"/>
        </w:rPr>
      </w:pPr>
      <w:r w:rsidRPr="00F07C98">
        <w:rPr>
          <w:rFonts w:ascii="Arial" w:hAnsi="Arial" w:cs="Arial"/>
          <w:sz w:val="22"/>
          <w:szCs w:val="22"/>
        </w:rPr>
        <w:t xml:space="preserve">Organic carbon source and C/N ratio play an important role in aquaculture system with </w:t>
      </w:r>
      <w:proofErr w:type="spellStart"/>
      <w:r w:rsidRPr="00F07C98">
        <w:rPr>
          <w:rFonts w:ascii="Arial" w:hAnsi="Arial" w:cs="Arial"/>
          <w:sz w:val="22"/>
          <w:szCs w:val="22"/>
        </w:rPr>
        <w:t>biof</w:t>
      </w:r>
      <w:r w:rsidR="00AC5703" w:rsidRPr="00F07C98">
        <w:rPr>
          <w:rFonts w:ascii="Arial" w:hAnsi="Arial" w:cs="Arial"/>
          <w:sz w:val="22"/>
          <w:szCs w:val="22"/>
        </w:rPr>
        <w:t>loc</w:t>
      </w:r>
      <w:proofErr w:type="spellEnd"/>
      <w:r w:rsidR="00AC5703" w:rsidRPr="00F07C98">
        <w:rPr>
          <w:rFonts w:ascii="Arial" w:hAnsi="Arial" w:cs="Arial"/>
          <w:sz w:val="22"/>
          <w:szCs w:val="22"/>
        </w:rPr>
        <w:t xml:space="preserve"> technology application. </w:t>
      </w:r>
      <w:r w:rsidR="003C0DE3" w:rsidRPr="00F07C98">
        <w:rPr>
          <w:rFonts w:ascii="Arial" w:hAnsi="Arial" w:cs="Arial"/>
          <w:sz w:val="22"/>
          <w:szCs w:val="22"/>
        </w:rPr>
        <w:t>The study</w:t>
      </w:r>
      <w:r w:rsidRPr="00F07C98">
        <w:rPr>
          <w:rFonts w:ascii="Arial" w:hAnsi="Arial" w:cs="Arial"/>
          <w:sz w:val="22"/>
          <w:szCs w:val="22"/>
        </w:rPr>
        <w:t xml:space="preserve"> investigated the effect molasses, tapioca, tapioca by product and rice bran as carbon sources in a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media at three different C/N ratios i.e. 10, 15, and 20 </w:t>
      </w:r>
      <w:r w:rsidR="00342478" w:rsidRPr="00F07C98">
        <w:rPr>
          <w:rFonts w:ascii="Arial" w:hAnsi="Arial" w:cs="Arial"/>
          <w:sz w:val="22"/>
          <w:szCs w:val="22"/>
        </w:rPr>
        <w:t xml:space="preserve">on total ammonia reduction in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media.</w:t>
      </w:r>
      <w:r w:rsidR="00342478" w:rsidRPr="00F07C98">
        <w:rPr>
          <w:rFonts w:ascii="Arial" w:hAnsi="Arial" w:cs="Arial"/>
          <w:sz w:val="22"/>
          <w:szCs w:val="22"/>
        </w:rPr>
        <w:t xml:space="preserve"> </w:t>
      </w:r>
      <w:r w:rsidRPr="00F07C98">
        <w:rPr>
          <w:rFonts w:ascii="Arial" w:hAnsi="Arial" w:cs="Arial"/>
          <w:sz w:val="22"/>
          <w:szCs w:val="22"/>
        </w:rPr>
        <w:t xml:space="preserve"> Five liters of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media in a conical tank was prepared for each replicate, which consisted of 500 mL of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suspension collected from a shrimp culture unit with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technology application and 4.5 L seawater. </w:t>
      </w:r>
      <w:r w:rsidR="00AC5703" w:rsidRPr="00F07C98">
        <w:rPr>
          <w:rFonts w:ascii="Arial" w:hAnsi="Arial" w:cs="Arial"/>
          <w:sz w:val="22"/>
          <w:szCs w:val="22"/>
        </w:rPr>
        <w:t xml:space="preserve">Pacific white shrimp culture was performed in 40L glass aquaria at a shrimp density of 30/aquarium. </w:t>
      </w:r>
      <w:r w:rsidRPr="00F07C98">
        <w:rPr>
          <w:rFonts w:ascii="Arial" w:hAnsi="Arial" w:cs="Arial"/>
          <w:sz w:val="22"/>
          <w:szCs w:val="22"/>
        </w:rPr>
        <w:t>There was a significant interaction between carbon source and the C/N ratio applied (P&lt;0.05). The use of molasses resulted in the highest reduction rate irrespective to the C/N ratio</w:t>
      </w:r>
      <w:r w:rsidR="00E8218F" w:rsidRPr="00F07C98">
        <w:rPr>
          <w:rFonts w:ascii="Arial" w:hAnsi="Arial" w:cs="Arial"/>
          <w:sz w:val="22"/>
          <w:szCs w:val="22"/>
        </w:rPr>
        <w:t>.</w:t>
      </w:r>
    </w:p>
    <w:p w14:paraId="5D4BFCD7" w14:textId="77777777" w:rsidR="00A44300" w:rsidRPr="00F07C98" w:rsidRDefault="00A44300" w:rsidP="00F07C98">
      <w:pPr>
        <w:spacing w:line="480" w:lineRule="auto"/>
        <w:jc w:val="both"/>
        <w:rPr>
          <w:rFonts w:ascii="Arial" w:hAnsi="Arial" w:cs="Arial"/>
          <w:sz w:val="22"/>
          <w:szCs w:val="22"/>
        </w:rPr>
      </w:pPr>
    </w:p>
    <w:p w14:paraId="1A055F07" w14:textId="587BBE46" w:rsidR="009B676D" w:rsidRPr="00F07C98" w:rsidRDefault="009B676D" w:rsidP="00F07C98">
      <w:pPr>
        <w:spacing w:line="480" w:lineRule="auto"/>
        <w:jc w:val="both"/>
        <w:rPr>
          <w:rFonts w:ascii="Arial" w:hAnsi="Arial" w:cs="Arial"/>
          <w:sz w:val="22"/>
          <w:szCs w:val="22"/>
        </w:rPr>
      </w:pPr>
      <w:r w:rsidRPr="00F07C98">
        <w:rPr>
          <w:rFonts w:ascii="Arial" w:hAnsi="Arial" w:cs="Arial"/>
          <w:sz w:val="22"/>
          <w:szCs w:val="22"/>
        </w:rPr>
        <w:t>Keywords</w:t>
      </w:r>
      <w:r w:rsidR="00E8218F" w:rsidRPr="00F07C98">
        <w:rPr>
          <w:rFonts w:ascii="Arial" w:hAnsi="Arial" w:cs="Arial"/>
          <w:sz w:val="22"/>
          <w:szCs w:val="22"/>
        </w:rPr>
        <w:t xml:space="preserve">: molasses, tapioca, tapioca by product, rice bran, </w:t>
      </w:r>
      <w:proofErr w:type="spellStart"/>
      <w:r w:rsidR="00E8218F" w:rsidRPr="00F07C98">
        <w:rPr>
          <w:rFonts w:ascii="Arial" w:hAnsi="Arial" w:cs="Arial"/>
          <w:sz w:val="22"/>
          <w:szCs w:val="22"/>
        </w:rPr>
        <w:t>biofloc</w:t>
      </w:r>
      <w:proofErr w:type="spellEnd"/>
      <w:r w:rsidR="00E8218F" w:rsidRPr="00F07C98">
        <w:rPr>
          <w:rFonts w:ascii="Arial" w:hAnsi="Arial" w:cs="Arial"/>
          <w:sz w:val="22"/>
          <w:szCs w:val="22"/>
        </w:rPr>
        <w:t>, total ammonia nitrogen</w:t>
      </w:r>
    </w:p>
    <w:p w14:paraId="5B1B5992" w14:textId="77777777" w:rsidR="009B676D" w:rsidRPr="00F07C98" w:rsidRDefault="009B676D" w:rsidP="00F07C98">
      <w:pPr>
        <w:spacing w:line="480" w:lineRule="auto"/>
        <w:jc w:val="both"/>
        <w:rPr>
          <w:rFonts w:ascii="Arial" w:hAnsi="Arial" w:cs="Arial"/>
          <w:sz w:val="22"/>
          <w:szCs w:val="22"/>
        </w:rPr>
      </w:pPr>
    </w:p>
    <w:p w14:paraId="413C5DE4" w14:textId="073C3C89" w:rsidR="009B676D" w:rsidRPr="00F07C98" w:rsidRDefault="009B676D" w:rsidP="00F07C98">
      <w:pPr>
        <w:spacing w:line="480" w:lineRule="auto"/>
        <w:jc w:val="both"/>
        <w:rPr>
          <w:rFonts w:ascii="Arial" w:hAnsi="Arial" w:cs="Arial"/>
          <w:b/>
          <w:sz w:val="22"/>
          <w:szCs w:val="22"/>
        </w:rPr>
      </w:pPr>
      <w:r w:rsidRPr="00F07C98">
        <w:rPr>
          <w:rFonts w:ascii="Arial" w:hAnsi="Arial" w:cs="Arial"/>
          <w:b/>
          <w:sz w:val="22"/>
          <w:szCs w:val="22"/>
        </w:rPr>
        <w:t>Introduction</w:t>
      </w:r>
    </w:p>
    <w:p w14:paraId="1FB8ECB8" w14:textId="77777777" w:rsidR="00F813A8" w:rsidRPr="00F07C98" w:rsidRDefault="00555B9D" w:rsidP="00F07C98">
      <w:pPr>
        <w:spacing w:line="480" w:lineRule="auto"/>
        <w:ind w:firstLine="567"/>
        <w:jc w:val="both"/>
        <w:rPr>
          <w:rFonts w:ascii="Arial" w:hAnsi="Arial" w:cs="Arial"/>
          <w:sz w:val="22"/>
          <w:szCs w:val="22"/>
        </w:rPr>
      </w:pPr>
      <w:r w:rsidRPr="00F07C98">
        <w:rPr>
          <w:rFonts w:ascii="Arial" w:hAnsi="Arial" w:cs="Arial"/>
          <w:sz w:val="22"/>
          <w:szCs w:val="22"/>
        </w:rPr>
        <w:t xml:space="preserve">As the demand of aquaculture product increases and the availability of resources in particular land and water becomes limited, intensification of aquaculture production is inevitable. Intensifying aquaculture production however is not easy, as it will need not only higher input such as feed, seed, and energy, but also higher management and higher impact to the environment. Intensive aquaculture system is characterized by the high density of animal per unit area thus higher feed input, which generally contains high protein, will be added to the </w:t>
      </w:r>
      <w:r w:rsidRPr="00F07C98">
        <w:rPr>
          <w:rFonts w:ascii="Arial" w:hAnsi="Arial" w:cs="Arial"/>
          <w:sz w:val="22"/>
          <w:szCs w:val="22"/>
        </w:rPr>
        <w:lastRenderedPageBreak/>
        <w:t>system. Protein in shrimp feed is an important major nutrient not only because of its important role in the shrimp growth and survival, but also its impact to water quality</w:t>
      </w:r>
      <w:r w:rsidR="00D614CA" w:rsidRPr="00F07C98">
        <w:rPr>
          <w:rFonts w:ascii="Arial" w:hAnsi="Arial" w:cs="Arial"/>
          <w:sz w:val="22"/>
          <w:szCs w:val="22"/>
        </w:rPr>
        <w:t xml:space="preserve"> as the main nitrogen source</w:t>
      </w:r>
      <w:r w:rsidRPr="00F07C98">
        <w:rPr>
          <w:rFonts w:ascii="Arial" w:hAnsi="Arial" w:cs="Arial"/>
          <w:sz w:val="22"/>
          <w:szCs w:val="22"/>
        </w:rPr>
        <w:t>. As shrimp could only retained 10 –</w:t>
      </w:r>
      <w:r w:rsidR="00D614CA" w:rsidRPr="00F07C98">
        <w:rPr>
          <w:rFonts w:ascii="Arial" w:hAnsi="Arial" w:cs="Arial"/>
          <w:sz w:val="22"/>
          <w:szCs w:val="22"/>
        </w:rPr>
        <w:t xml:space="preserve"> 20% of the nitrogen of the total nitrogen in the feed</w:t>
      </w:r>
      <w:r w:rsidRPr="00F07C98">
        <w:rPr>
          <w:rFonts w:ascii="Arial" w:hAnsi="Arial" w:cs="Arial"/>
          <w:sz w:val="22"/>
          <w:szCs w:val="22"/>
        </w:rPr>
        <w:t>, the r</w:t>
      </w:r>
      <w:r w:rsidR="00D614CA" w:rsidRPr="00F07C98">
        <w:rPr>
          <w:rFonts w:ascii="Arial" w:hAnsi="Arial" w:cs="Arial"/>
          <w:sz w:val="22"/>
          <w:szCs w:val="22"/>
        </w:rPr>
        <w:t>emaining will be in the water as</w:t>
      </w:r>
      <w:r w:rsidRPr="00F07C98">
        <w:rPr>
          <w:rFonts w:ascii="Arial" w:hAnsi="Arial" w:cs="Arial"/>
          <w:sz w:val="22"/>
          <w:szCs w:val="22"/>
        </w:rPr>
        <w:t xml:space="preserve"> </w:t>
      </w:r>
      <w:r w:rsidR="00D614CA" w:rsidRPr="00F07C98">
        <w:rPr>
          <w:rFonts w:ascii="Arial" w:hAnsi="Arial" w:cs="Arial"/>
          <w:sz w:val="22"/>
          <w:szCs w:val="22"/>
        </w:rPr>
        <w:t>the results of protein metabolism by the shrimp and the mineralization of protein by the decomposing microorganisms, both in the form of ammonia or ammonium depending on the pH and water temperature</w:t>
      </w:r>
      <w:r w:rsidR="00F813A8" w:rsidRPr="00F07C98">
        <w:rPr>
          <w:rFonts w:ascii="Arial" w:hAnsi="Arial" w:cs="Arial"/>
          <w:sz w:val="22"/>
          <w:szCs w:val="22"/>
        </w:rPr>
        <w:t xml:space="preserve"> (Crab et al 2007, </w:t>
      </w:r>
      <w:proofErr w:type="spellStart"/>
      <w:r w:rsidR="00F813A8" w:rsidRPr="00F07C98">
        <w:rPr>
          <w:rFonts w:ascii="Arial" w:hAnsi="Arial" w:cs="Arial"/>
          <w:sz w:val="22"/>
          <w:szCs w:val="22"/>
        </w:rPr>
        <w:t>Avnimelech</w:t>
      </w:r>
      <w:proofErr w:type="spellEnd"/>
      <w:r w:rsidR="00F813A8" w:rsidRPr="00F07C98">
        <w:rPr>
          <w:rFonts w:ascii="Arial" w:hAnsi="Arial" w:cs="Arial"/>
          <w:sz w:val="22"/>
          <w:szCs w:val="22"/>
        </w:rPr>
        <w:t xml:space="preserve"> 2012)</w:t>
      </w:r>
      <w:r w:rsidR="00D614CA" w:rsidRPr="00F07C98">
        <w:rPr>
          <w:rFonts w:ascii="Arial" w:hAnsi="Arial" w:cs="Arial"/>
          <w:sz w:val="22"/>
          <w:szCs w:val="22"/>
        </w:rPr>
        <w:t xml:space="preserve">. Ammonia on the other hand is highly toxic for most aquatic organisms, therefore its control in an aquaculture system is very important. </w:t>
      </w:r>
    </w:p>
    <w:p w14:paraId="0E4342FF" w14:textId="268E8C40" w:rsidR="00555B9D" w:rsidRPr="00F07C98" w:rsidRDefault="00F813A8" w:rsidP="00F07C98">
      <w:pPr>
        <w:spacing w:line="480" w:lineRule="auto"/>
        <w:ind w:firstLine="567"/>
        <w:jc w:val="both"/>
        <w:rPr>
          <w:rFonts w:ascii="Arial" w:hAnsi="Arial" w:cs="Arial"/>
          <w:sz w:val="22"/>
          <w:szCs w:val="22"/>
        </w:rPr>
      </w:pPr>
      <w:r w:rsidRPr="00F07C98">
        <w:rPr>
          <w:rFonts w:ascii="Arial" w:hAnsi="Arial" w:cs="Arial"/>
          <w:sz w:val="22"/>
          <w:szCs w:val="22"/>
        </w:rPr>
        <w:t>In order t</w:t>
      </w:r>
      <w:r w:rsidR="00D614CA" w:rsidRPr="00F07C98">
        <w:rPr>
          <w:rFonts w:ascii="Arial" w:hAnsi="Arial" w:cs="Arial"/>
          <w:sz w:val="22"/>
          <w:szCs w:val="22"/>
        </w:rPr>
        <w:t>o control ammonia level in an aquaculture system</w:t>
      </w:r>
      <w:r w:rsidRPr="00F07C98">
        <w:rPr>
          <w:rFonts w:ascii="Arial" w:hAnsi="Arial" w:cs="Arial"/>
          <w:sz w:val="22"/>
          <w:szCs w:val="22"/>
        </w:rPr>
        <w:t>,</w:t>
      </w:r>
      <w:r w:rsidR="00D614CA" w:rsidRPr="00F07C98">
        <w:rPr>
          <w:rFonts w:ascii="Arial" w:hAnsi="Arial" w:cs="Arial"/>
          <w:sz w:val="22"/>
          <w:szCs w:val="22"/>
        </w:rPr>
        <w:t xml:space="preserve"> the most common procedure applied by farmers is regular water exchange,</w:t>
      </w:r>
      <w:r w:rsidRPr="00F07C98">
        <w:rPr>
          <w:rFonts w:ascii="Arial" w:hAnsi="Arial" w:cs="Arial"/>
          <w:sz w:val="22"/>
          <w:szCs w:val="22"/>
        </w:rPr>
        <w:t xml:space="preserve"> i.e.</w:t>
      </w:r>
      <w:r w:rsidR="00D614CA" w:rsidRPr="00F07C98">
        <w:rPr>
          <w:rFonts w:ascii="Arial" w:hAnsi="Arial" w:cs="Arial"/>
          <w:sz w:val="22"/>
          <w:szCs w:val="22"/>
        </w:rPr>
        <w:t xml:space="preserve"> by discharging part of the water and replacing it with new clean water thus diluting the concentration of ammonia. </w:t>
      </w:r>
      <w:r w:rsidRPr="00F07C98">
        <w:rPr>
          <w:rFonts w:ascii="Arial" w:hAnsi="Arial" w:cs="Arial"/>
          <w:sz w:val="22"/>
          <w:szCs w:val="22"/>
        </w:rPr>
        <w:t>W</w:t>
      </w:r>
      <w:r w:rsidR="00D614CA" w:rsidRPr="00F07C98">
        <w:rPr>
          <w:rFonts w:ascii="Arial" w:hAnsi="Arial" w:cs="Arial"/>
          <w:sz w:val="22"/>
          <w:szCs w:val="22"/>
        </w:rPr>
        <w:t>hen</w:t>
      </w:r>
      <w:r w:rsidRPr="00F07C98">
        <w:rPr>
          <w:rFonts w:ascii="Arial" w:hAnsi="Arial" w:cs="Arial"/>
          <w:sz w:val="22"/>
          <w:szCs w:val="22"/>
        </w:rPr>
        <w:t xml:space="preserve"> the wastewater is</w:t>
      </w:r>
      <w:r w:rsidR="00D614CA" w:rsidRPr="00F07C98">
        <w:rPr>
          <w:rFonts w:ascii="Arial" w:hAnsi="Arial" w:cs="Arial"/>
          <w:sz w:val="22"/>
          <w:szCs w:val="22"/>
        </w:rPr>
        <w:t xml:space="preserve"> directly discharged into the surrounding water bodies, </w:t>
      </w:r>
      <w:r w:rsidR="00B22E98" w:rsidRPr="00F07C98">
        <w:rPr>
          <w:rFonts w:ascii="Arial" w:hAnsi="Arial" w:cs="Arial"/>
          <w:sz w:val="22"/>
          <w:szCs w:val="22"/>
        </w:rPr>
        <w:t>the</w:t>
      </w:r>
      <w:r w:rsidR="00D614CA" w:rsidRPr="00F07C98">
        <w:rPr>
          <w:rFonts w:ascii="Arial" w:hAnsi="Arial" w:cs="Arial"/>
          <w:sz w:val="22"/>
          <w:szCs w:val="22"/>
        </w:rPr>
        <w:t xml:space="preserve"> nutrient rich water from an aquaculture unit will contribute to eutrophication and </w:t>
      </w:r>
      <w:r w:rsidR="00B22E98" w:rsidRPr="00F07C98">
        <w:rPr>
          <w:rFonts w:ascii="Arial" w:hAnsi="Arial" w:cs="Arial"/>
          <w:sz w:val="22"/>
          <w:szCs w:val="22"/>
        </w:rPr>
        <w:t>therefore</w:t>
      </w:r>
      <w:r w:rsidRPr="00F07C98">
        <w:rPr>
          <w:rFonts w:ascii="Arial" w:hAnsi="Arial" w:cs="Arial"/>
          <w:sz w:val="22"/>
          <w:szCs w:val="22"/>
        </w:rPr>
        <w:t xml:space="preserve"> might negatively affect</w:t>
      </w:r>
      <w:r w:rsidR="00B22E98" w:rsidRPr="00F07C98">
        <w:rPr>
          <w:rFonts w:ascii="Arial" w:hAnsi="Arial" w:cs="Arial"/>
          <w:sz w:val="22"/>
          <w:szCs w:val="22"/>
        </w:rPr>
        <w:t xml:space="preserve"> natural water ecology</w:t>
      </w:r>
      <w:r w:rsidRPr="00F07C98">
        <w:rPr>
          <w:rFonts w:ascii="Arial" w:hAnsi="Arial" w:cs="Arial"/>
          <w:sz w:val="22"/>
          <w:szCs w:val="22"/>
        </w:rPr>
        <w:t xml:space="preserve"> (Crab et al 2007)</w:t>
      </w:r>
      <w:r w:rsidR="00B22E98" w:rsidRPr="00F07C98">
        <w:rPr>
          <w:rFonts w:ascii="Arial" w:hAnsi="Arial" w:cs="Arial"/>
          <w:sz w:val="22"/>
          <w:szCs w:val="22"/>
        </w:rPr>
        <w:t>. Furthermore, water exchange will also reduce the biosecurity and hence increasing the risk of disease introduction to the aquaculture unit. To overcome this situation, several water quality management</w:t>
      </w:r>
      <w:r w:rsidR="004E2D61" w:rsidRPr="00F07C98">
        <w:rPr>
          <w:rFonts w:ascii="Arial" w:hAnsi="Arial" w:cs="Arial"/>
          <w:sz w:val="22"/>
          <w:szCs w:val="22"/>
        </w:rPr>
        <w:t>s</w:t>
      </w:r>
      <w:r w:rsidR="00B22E98" w:rsidRPr="00F07C98">
        <w:rPr>
          <w:rFonts w:ascii="Arial" w:hAnsi="Arial" w:cs="Arial"/>
          <w:sz w:val="22"/>
          <w:szCs w:val="22"/>
        </w:rPr>
        <w:t xml:space="preserve"> have been introduced and applied including </w:t>
      </w:r>
      <w:proofErr w:type="spellStart"/>
      <w:r w:rsidR="00B22E98" w:rsidRPr="00F07C98">
        <w:rPr>
          <w:rFonts w:ascii="Arial" w:hAnsi="Arial" w:cs="Arial"/>
          <w:sz w:val="22"/>
          <w:szCs w:val="22"/>
        </w:rPr>
        <w:t>biofloc</w:t>
      </w:r>
      <w:proofErr w:type="spellEnd"/>
      <w:r w:rsidR="00B22E98" w:rsidRPr="00F07C98">
        <w:rPr>
          <w:rFonts w:ascii="Arial" w:hAnsi="Arial" w:cs="Arial"/>
          <w:sz w:val="22"/>
          <w:szCs w:val="22"/>
        </w:rPr>
        <w:t xml:space="preserve"> technology.</w:t>
      </w:r>
    </w:p>
    <w:p w14:paraId="16A8315A" w14:textId="287D9315" w:rsidR="00124587" w:rsidRPr="00F07C98" w:rsidRDefault="00124587" w:rsidP="00F07C98">
      <w:pPr>
        <w:spacing w:line="480" w:lineRule="auto"/>
        <w:ind w:firstLine="567"/>
        <w:jc w:val="both"/>
        <w:rPr>
          <w:rFonts w:ascii="Arial" w:hAnsi="Arial" w:cs="Arial"/>
          <w:sz w:val="22"/>
          <w:szCs w:val="22"/>
        </w:rPr>
      </w:pPr>
      <w:proofErr w:type="spellStart"/>
      <w:r w:rsidRPr="00F07C98">
        <w:rPr>
          <w:rFonts w:ascii="Arial" w:hAnsi="Arial" w:cs="Arial"/>
          <w:sz w:val="22"/>
          <w:szCs w:val="22"/>
        </w:rPr>
        <w:t>Biofloc</w:t>
      </w:r>
      <w:proofErr w:type="spellEnd"/>
      <w:r w:rsidRPr="00F07C98">
        <w:rPr>
          <w:rFonts w:ascii="Arial" w:hAnsi="Arial" w:cs="Arial"/>
          <w:sz w:val="22"/>
          <w:szCs w:val="22"/>
        </w:rPr>
        <w:t xml:space="preserve"> technology is a water quality management technique which is based on the capacity of heterotrophic bacteria in utilizing organic and inorganic nitrogen in the wat</w:t>
      </w:r>
      <w:r w:rsidR="00B22E98" w:rsidRPr="00F07C98">
        <w:rPr>
          <w:rFonts w:ascii="Arial" w:hAnsi="Arial" w:cs="Arial"/>
          <w:sz w:val="22"/>
          <w:szCs w:val="22"/>
        </w:rPr>
        <w:t>er and convert them into new microbial biomass which can be harvested by the cultured animal itself</w:t>
      </w:r>
      <w:r w:rsidR="00B6026E" w:rsidRPr="00F07C98">
        <w:rPr>
          <w:rFonts w:ascii="Arial" w:hAnsi="Arial" w:cs="Arial"/>
          <w:sz w:val="22"/>
          <w:szCs w:val="22"/>
        </w:rPr>
        <w:t xml:space="preserve"> (</w:t>
      </w:r>
      <w:proofErr w:type="spellStart"/>
      <w:r w:rsidR="00B6026E" w:rsidRPr="00F07C98">
        <w:rPr>
          <w:rFonts w:ascii="Arial" w:hAnsi="Arial" w:cs="Arial"/>
          <w:sz w:val="22"/>
          <w:szCs w:val="22"/>
        </w:rPr>
        <w:t>Avnimelech</w:t>
      </w:r>
      <w:proofErr w:type="spellEnd"/>
      <w:r w:rsidR="00B6026E" w:rsidRPr="00F07C98">
        <w:rPr>
          <w:rFonts w:ascii="Arial" w:hAnsi="Arial" w:cs="Arial"/>
          <w:sz w:val="22"/>
          <w:szCs w:val="22"/>
        </w:rPr>
        <w:t xml:space="preserve"> 1999; De </w:t>
      </w:r>
      <w:proofErr w:type="spellStart"/>
      <w:r w:rsidR="00B6026E" w:rsidRPr="00F07C98">
        <w:rPr>
          <w:rFonts w:ascii="Arial" w:hAnsi="Arial" w:cs="Arial"/>
          <w:sz w:val="22"/>
          <w:szCs w:val="22"/>
        </w:rPr>
        <w:t>Schryver</w:t>
      </w:r>
      <w:proofErr w:type="spellEnd"/>
      <w:r w:rsidR="00B6026E" w:rsidRPr="00F07C98">
        <w:rPr>
          <w:rFonts w:ascii="Arial" w:hAnsi="Arial" w:cs="Arial"/>
          <w:sz w:val="22"/>
          <w:szCs w:val="22"/>
        </w:rPr>
        <w:t xml:space="preserve"> et al. 2008)</w:t>
      </w:r>
      <w:r w:rsidR="00F813A8" w:rsidRPr="00F07C98">
        <w:rPr>
          <w:rFonts w:ascii="Arial" w:hAnsi="Arial" w:cs="Arial"/>
          <w:sz w:val="22"/>
          <w:szCs w:val="22"/>
        </w:rPr>
        <w:t>. This technology applies</w:t>
      </w:r>
      <w:r w:rsidR="00B22E98" w:rsidRPr="00F07C98">
        <w:rPr>
          <w:rFonts w:ascii="Arial" w:hAnsi="Arial" w:cs="Arial"/>
          <w:sz w:val="22"/>
          <w:szCs w:val="22"/>
        </w:rPr>
        <w:t xml:space="preserve"> a particular</w:t>
      </w:r>
      <w:r w:rsidR="00F813A8" w:rsidRPr="00F07C98">
        <w:rPr>
          <w:rFonts w:ascii="Arial" w:hAnsi="Arial" w:cs="Arial"/>
          <w:sz w:val="22"/>
          <w:szCs w:val="22"/>
        </w:rPr>
        <w:t xml:space="preserve"> C/N ratio in the water to facilitate</w:t>
      </w:r>
      <w:r w:rsidR="00B22E98" w:rsidRPr="00F07C98">
        <w:rPr>
          <w:rFonts w:ascii="Arial" w:hAnsi="Arial" w:cs="Arial"/>
          <w:sz w:val="22"/>
          <w:szCs w:val="22"/>
        </w:rPr>
        <w:t xml:space="preserve"> the heterotrophic bacteria </w:t>
      </w:r>
      <w:r w:rsidR="00F813A8" w:rsidRPr="00F07C98">
        <w:rPr>
          <w:rFonts w:ascii="Arial" w:hAnsi="Arial" w:cs="Arial"/>
          <w:sz w:val="22"/>
          <w:szCs w:val="22"/>
        </w:rPr>
        <w:t>in the water to utilize</w:t>
      </w:r>
      <w:r w:rsidR="00B22E98" w:rsidRPr="00F07C98">
        <w:rPr>
          <w:rFonts w:ascii="Arial" w:hAnsi="Arial" w:cs="Arial"/>
          <w:sz w:val="22"/>
          <w:szCs w:val="22"/>
        </w:rPr>
        <w:t xml:space="preserve"> the excess nitrogen in an aquaculture system by the addition of organic carbon source. Previous research (</w:t>
      </w:r>
      <w:proofErr w:type="spellStart"/>
      <w:r w:rsidR="00B22E98" w:rsidRPr="00F07C98">
        <w:rPr>
          <w:rFonts w:ascii="Arial" w:hAnsi="Arial" w:cs="Arial"/>
          <w:sz w:val="22"/>
          <w:szCs w:val="22"/>
        </w:rPr>
        <w:t>Avnimelech</w:t>
      </w:r>
      <w:proofErr w:type="spellEnd"/>
      <w:r w:rsidR="00B22E98" w:rsidRPr="00F07C98">
        <w:rPr>
          <w:rFonts w:ascii="Arial" w:hAnsi="Arial" w:cs="Arial"/>
          <w:sz w:val="22"/>
          <w:szCs w:val="22"/>
        </w:rPr>
        <w:t xml:space="preserve"> 2009; De </w:t>
      </w:r>
      <w:proofErr w:type="spellStart"/>
      <w:r w:rsidR="00B22E98" w:rsidRPr="00F07C98">
        <w:rPr>
          <w:rFonts w:ascii="Arial" w:hAnsi="Arial" w:cs="Arial"/>
          <w:sz w:val="22"/>
          <w:szCs w:val="22"/>
        </w:rPr>
        <w:t>Schryver</w:t>
      </w:r>
      <w:proofErr w:type="spellEnd"/>
      <w:r w:rsidR="00B22E98" w:rsidRPr="00F07C98">
        <w:rPr>
          <w:rFonts w:ascii="Arial" w:hAnsi="Arial" w:cs="Arial"/>
          <w:sz w:val="22"/>
          <w:szCs w:val="22"/>
        </w:rPr>
        <w:t xml:space="preserve"> et al 2008) suggested that carbon source used in a </w:t>
      </w:r>
      <w:proofErr w:type="spellStart"/>
      <w:r w:rsidR="00B22E98" w:rsidRPr="00F07C98">
        <w:rPr>
          <w:rFonts w:ascii="Arial" w:hAnsi="Arial" w:cs="Arial"/>
          <w:sz w:val="22"/>
          <w:szCs w:val="22"/>
        </w:rPr>
        <w:t>biofloc</w:t>
      </w:r>
      <w:proofErr w:type="spellEnd"/>
      <w:r w:rsidR="00B22E98" w:rsidRPr="00F07C98">
        <w:rPr>
          <w:rFonts w:ascii="Arial" w:hAnsi="Arial" w:cs="Arial"/>
          <w:sz w:val="22"/>
          <w:szCs w:val="22"/>
        </w:rPr>
        <w:t xml:space="preserve"> system might influence the quality and quantity of the </w:t>
      </w:r>
      <w:proofErr w:type="spellStart"/>
      <w:r w:rsidR="00B22E98" w:rsidRPr="00F07C98">
        <w:rPr>
          <w:rFonts w:ascii="Arial" w:hAnsi="Arial" w:cs="Arial"/>
          <w:sz w:val="22"/>
          <w:szCs w:val="22"/>
        </w:rPr>
        <w:t>floc</w:t>
      </w:r>
      <w:proofErr w:type="spellEnd"/>
      <w:r w:rsidR="00B22E98" w:rsidRPr="00F07C98">
        <w:rPr>
          <w:rFonts w:ascii="Arial" w:hAnsi="Arial" w:cs="Arial"/>
          <w:sz w:val="22"/>
          <w:szCs w:val="22"/>
        </w:rPr>
        <w:t xml:space="preserve"> and most importantly the capacity of ammonia removal from the water. </w:t>
      </w:r>
    </w:p>
    <w:p w14:paraId="3F0808AD" w14:textId="4B2AC8F0" w:rsidR="00B22E98" w:rsidRPr="00F07C98" w:rsidRDefault="00B22E98" w:rsidP="00F07C98">
      <w:pPr>
        <w:spacing w:line="480" w:lineRule="auto"/>
        <w:ind w:firstLine="567"/>
        <w:jc w:val="both"/>
        <w:rPr>
          <w:rFonts w:ascii="Arial" w:hAnsi="Arial" w:cs="Arial"/>
          <w:sz w:val="22"/>
          <w:szCs w:val="22"/>
        </w:rPr>
      </w:pPr>
      <w:r w:rsidRPr="00F07C98">
        <w:rPr>
          <w:rFonts w:ascii="Arial" w:hAnsi="Arial" w:cs="Arial"/>
          <w:sz w:val="22"/>
          <w:szCs w:val="22"/>
        </w:rPr>
        <w:t xml:space="preserve">The objective of this study is to investigate the effect of </w:t>
      </w:r>
      <w:r w:rsidR="00A4615A" w:rsidRPr="00F07C98">
        <w:rPr>
          <w:rFonts w:ascii="Arial" w:hAnsi="Arial" w:cs="Arial"/>
          <w:sz w:val="22"/>
          <w:szCs w:val="22"/>
        </w:rPr>
        <w:t xml:space="preserve">four </w:t>
      </w:r>
      <w:r w:rsidR="00F813A8" w:rsidRPr="00F07C98">
        <w:rPr>
          <w:rFonts w:ascii="Arial" w:hAnsi="Arial" w:cs="Arial"/>
          <w:sz w:val="22"/>
          <w:szCs w:val="22"/>
        </w:rPr>
        <w:t>locally based</w:t>
      </w:r>
      <w:r w:rsidRPr="00F07C98">
        <w:rPr>
          <w:rFonts w:ascii="Arial" w:hAnsi="Arial" w:cs="Arial"/>
          <w:sz w:val="22"/>
          <w:szCs w:val="22"/>
        </w:rPr>
        <w:t xml:space="preserve"> organic carbon source</w:t>
      </w:r>
      <w:r w:rsidR="00A4615A" w:rsidRPr="00F07C98">
        <w:rPr>
          <w:rFonts w:ascii="Arial" w:hAnsi="Arial" w:cs="Arial"/>
          <w:sz w:val="22"/>
          <w:szCs w:val="22"/>
        </w:rPr>
        <w:t>, molasses, tapioca, rice bran, and tapioca by-product,</w:t>
      </w:r>
      <w:r w:rsidRPr="00F07C98">
        <w:rPr>
          <w:rFonts w:ascii="Arial" w:hAnsi="Arial" w:cs="Arial"/>
          <w:sz w:val="22"/>
          <w:szCs w:val="22"/>
        </w:rPr>
        <w:t xml:space="preserve"> on total ammonia ni</w:t>
      </w:r>
      <w:r w:rsidR="00F813A8" w:rsidRPr="00F07C98">
        <w:rPr>
          <w:rFonts w:ascii="Arial" w:hAnsi="Arial" w:cs="Arial"/>
          <w:sz w:val="22"/>
          <w:szCs w:val="22"/>
        </w:rPr>
        <w:t xml:space="preserve">trogen (TAN) removal in </w:t>
      </w:r>
      <w:proofErr w:type="spellStart"/>
      <w:r w:rsidR="00F813A8" w:rsidRPr="00F07C98">
        <w:rPr>
          <w:rFonts w:ascii="Arial" w:hAnsi="Arial" w:cs="Arial"/>
          <w:sz w:val="22"/>
          <w:szCs w:val="22"/>
        </w:rPr>
        <w:t>biofloc</w:t>
      </w:r>
      <w:proofErr w:type="spellEnd"/>
      <w:r w:rsidR="00F813A8" w:rsidRPr="00F07C98">
        <w:rPr>
          <w:rFonts w:ascii="Arial" w:hAnsi="Arial" w:cs="Arial"/>
          <w:sz w:val="22"/>
          <w:szCs w:val="22"/>
        </w:rPr>
        <w:t xml:space="preserve"> medium</w:t>
      </w:r>
      <w:r w:rsidRPr="00F07C98">
        <w:rPr>
          <w:rFonts w:ascii="Arial" w:hAnsi="Arial" w:cs="Arial"/>
          <w:sz w:val="22"/>
          <w:szCs w:val="22"/>
        </w:rPr>
        <w:t xml:space="preserve"> at laboratory condition</w:t>
      </w:r>
      <w:r w:rsidR="00A4615A" w:rsidRPr="00F07C98">
        <w:rPr>
          <w:rFonts w:ascii="Arial" w:hAnsi="Arial" w:cs="Arial"/>
          <w:sz w:val="22"/>
          <w:szCs w:val="22"/>
        </w:rPr>
        <w:t>.</w:t>
      </w:r>
    </w:p>
    <w:p w14:paraId="1B23E027" w14:textId="77777777" w:rsidR="00124587" w:rsidRPr="00F07C98" w:rsidRDefault="00124587" w:rsidP="00F07C98">
      <w:pPr>
        <w:spacing w:line="480" w:lineRule="auto"/>
        <w:jc w:val="both"/>
        <w:rPr>
          <w:rFonts w:ascii="Arial" w:hAnsi="Arial" w:cs="Arial"/>
          <w:sz w:val="22"/>
          <w:szCs w:val="22"/>
        </w:rPr>
      </w:pPr>
    </w:p>
    <w:p w14:paraId="21F75581" w14:textId="65BACA89" w:rsidR="00A4615A" w:rsidRPr="00F07C98" w:rsidRDefault="009B676D" w:rsidP="00F07C98">
      <w:pPr>
        <w:spacing w:line="480" w:lineRule="auto"/>
        <w:jc w:val="both"/>
        <w:rPr>
          <w:rFonts w:ascii="Arial" w:hAnsi="Arial" w:cs="Arial"/>
          <w:b/>
          <w:sz w:val="22"/>
          <w:szCs w:val="22"/>
        </w:rPr>
      </w:pPr>
      <w:r w:rsidRPr="00F07C98">
        <w:rPr>
          <w:rFonts w:ascii="Arial" w:hAnsi="Arial" w:cs="Arial"/>
          <w:b/>
          <w:sz w:val="22"/>
          <w:szCs w:val="22"/>
        </w:rPr>
        <w:t>Materials and Methods</w:t>
      </w:r>
    </w:p>
    <w:p w14:paraId="7AF80F2C" w14:textId="382E7824" w:rsidR="00A4615A" w:rsidRPr="00F07C98" w:rsidRDefault="00A4615A" w:rsidP="00F07C98">
      <w:pPr>
        <w:spacing w:line="480" w:lineRule="auto"/>
        <w:jc w:val="both"/>
        <w:rPr>
          <w:rFonts w:ascii="Arial" w:hAnsi="Arial" w:cs="Arial"/>
          <w:b/>
          <w:sz w:val="22"/>
          <w:szCs w:val="22"/>
        </w:rPr>
      </w:pPr>
      <w:r w:rsidRPr="00F07C98">
        <w:rPr>
          <w:rFonts w:ascii="Arial" w:hAnsi="Arial" w:cs="Arial"/>
          <w:b/>
          <w:sz w:val="22"/>
          <w:szCs w:val="22"/>
        </w:rPr>
        <w:t>First experiment</w:t>
      </w:r>
    </w:p>
    <w:p w14:paraId="3C413E25" w14:textId="63567B53" w:rsidR="00866C50" w:rsidRPr="00F07C98" w:rsidRDefault="00866C50" w:rsidP="00F07C98">
      <w:pPr>
        <w:spacing w:line="480" w:lineRule="auto"/>
        <w:ind w:firstLine="567"/>
        <w:jc w:val="both"/>
        <w:rPr>
          <w:rFonts w:ascii="Arial" w:hAnsi="Arial" w:cs="Arial"/>
          <w:sz w:val="22"/>
          <w:szCs w:val="22"/>
        </w:rPr>
      </w:pPr>
      <w:r w:rsidRPr="00F07C98">
        <w:rPr>
          <w:rFonts w:ascii="Arial" w:hAnsi="Arial" w:cs="Arial"/>
          <w:sz w:val="22"/>
          <w:szCs w:val="22"/>
        </w:rPr>
        <w:t xml:space="preserve">A two factor experimental design was applied with organic carbon source and C/N ratio as the variables with three replicates. </w:t>
      </w:r>
      <w:r w:rsidR="0064038A" w:rsidRPr="00F07C98">
        <w:rPr>
          <w:rFonts w:ascii="Arial" w:hAnsi="Arial" w:cs="Arial"/>
          <w:sz w:val="22"/>
          <w:szCs w:val="22"/>
        </w:rPr>
        <w:t>Four organic carbon sources were used, i.e. molasses, tapioca, ta</w:t>
      </w:r>
      <w:r w:rsidR="00342478" w:rsidRPr="00F07C98">
        <w:rPr>
          <w:rFonts w:ascii="Arial" w:hAnsi="Arial" w:cs="Arial"/>
          <w:sz w:val="22"/>
          <w:szCs w:val="22"/>
        </w:rPr>
        <w:t>pioca by product, and rice bran</w:t>
      </w:r>
      <w:r w:rsidR="001D1E8E" w:rsidRPr="00F07C98">
        <w:rPr>
          <w:rFonts w:ascii="Arial" w:hAnsi="Arial" w:cs="Arial"/>
          <w:sz w:val="22"/>
          <w:szCs w:val="22"/>
        </w:rPr>
        <w:t>.</w:t>
      </w:r>
      <w:r w:rsidR="0064038A" w:rsidRPr="00F07C98">
        <w:rPr>
          <w:rFonts w:ascii="Arial" w:hAnsi="Arial" w:cs="Arial"/>
          <w:sz w:val="22"/>
          <w:szCs w:val="22"/>
        </w:rPr>
        <w:t xml:space="preserve"> </w:t>
      </w:r>
      <w:r w:rsidR="00342478" w:rsidRPr="00F07C98">
        <w:rPr>
          <w:rFonts w:ascii="Arial" w:hAnsi="Arial" w:cs="Arial"/>
          <w:sz w:val="22"/>
          <w:szCs w:val="22"/>
        </w:rPr>
        <w:t>Thirty-six</w:t>
      </w:r>
      <w:r w:rsidR="001D1E8E" w:rsidRPr="00F07C98">
        <w:rPr>
          <w:rFonts w:ascii="Arial" w:hAnsi="Arial" w:cs="Arial"/>
          <w:sz w:val="22"/>
          <w:szCs w:val="22"/>
        </w:rPr>
        <w:t xml:space="preserve"> units of conical tanks (18L) </w:t>
      </w:r>
      <w:r w:rsidR="002C6D8C" w:rsidRPr="00F07C98">
        <w:rPr>
          <w:rFonts w:ascii="Arial" w:hAnsi="Arial" w:cs="Arial"/>
          <w:sz w:val="22"/>
          <w:szCs w:val="22"/>
        </w:rPr>
        <w:t xml:space="preserve">each equipped with an aeration line </w:t>
      </w:r>
      <w:r w:rsidR="001D1E8E" w:rsidRPr="00F07C98">
        <w:rPr>
          <w:rFonts w:ascii="Arial" w:hAnsi="Arial" w:cs="Arial"/>
          <w:sz w:val="22"/>
          <w:szCs w:val="22"/>
        </w:rPr>
        <w:t>we</w:t>
      </w:r>
      <w:r w:rsidR="002C6D8C" w:rsidRPr="00F07C98">
        <w:rPr>
          <w:rFonts w:ascii="Arial" w:hAnsi="Arial" w:cs="Arial"/>
          <w:sz w:val="22"/>
          <w:szCs w:val="22"/>
        </w:rPr>
        <w:t xml:space="preserve">re filled with 4.5 L of chlorinated seawater and 500 mL of </w:t>
      </w:r>
      <w:proofErr w:type="spellStart"/>
      <w:r w:rsidR="002C6D8C" w:rsidRPr="00F07C98">
        <w:rPr>
          <w:rFonts w:ascii="Arial" w:hAnsi="Arial" w:cs="Arial"/>
          <w:sz w:val="22"/>
          <w:szCs w:val="22"/>
        </w:rPr>
        <w:t>biofloc</w:t>
      </w:r>
      <w:proofErr w:type="spellEnd"/>
      <w:r w:rsidR="002C6D8C" w:rsidRPr="00F07C98">
        <w:rPr>
          <w:rFonts w:ascii="Arial" w:hAnsi="Arial" w:cs="Arial"/>
          <w:sz w:val="22"/>
          <w:szCs w:val="22"/>
        </w:rPr>
        <w:t xml:space="preserve"> suspension collected from a shrimp culture unit with </w:t>
      </w:r>
      <w:proofErr w:type="spellStart"/>
      <w:r w:rsidR="002C6D8C" w:rsidRPr="00F07C98">
        <w:rPr>
          <w:rFonts w:ascii="Arial" w:hAnsi="Arial" w:cs="Arial"/>
          <w:sz w:val="22"/>
          <w:szCs w:val="22"/>
        </w:rPr>
        <w:t>biofloc</w:t>
      </w:r>
      <w:proofErr w:type="spellEnd"/>
      <w:r w:rsidR="002C6D8C" w:rsidRPr="00F07C98">
        <w:rPr>
          <w:rFonts w:ascii="Arial" w:hAnsi="Arial" w:cs="Arial"/>
          <w:sz w:val="22"/>
          <w:szCs w:val="22"/>
        </w:rPr>
        <w:t xml:space="preserve"> system. To simulate nitrogen loading in an aquaculture system NH</w:t>
      </w:r>
      <w:r w:rsidR="002C6D8C" w:rsidRPr="00F07C98">
        <w:rPr>
          <w:rFonts w:ascii="Arial" w:hAnsi="Arial" w:cs="Arial"/>
          <w:sz w:val="22"/>
          <w:szCs w:val="22"/>
          <w:vertAlign w:val="subscript"/>
        </w:rPr>
        <w:t>4</w:t>
      </w:r>
      <w:r w:rsidR="002C6D8C" w:rsidRPr="00F07C98">
        <w:rPr>
          <w:rFonts w:ascii="Arial" w:hAnsi="Arial" w:cs="Arial"/>
          <w:sz w:val="22"/>
          <w:szCs w:val="22"/>
        </w:rPr>
        <w:t>Cl</w:t>
      </w:r>
      <w:r w:rsidR="002C6D8C" w:rsidRPr="00F07C98">
        <w:rPr>
          <w:rFonts w:ascii="Arial" w:hAnsi="Arial" w:cs="Arial"/>
          <w:sz w:val="22"/>
          <w:szCs w:val="22"/>
        </w:rPr>
        <w:softHyphen/>
        <w:t>,  KH</w:t>
      </w:r>
      <w:r w:rsidR="002C6D8C" w:rsidRPr="00F07C98">
        <w:rPr>
          <w:rFonts w:ascii="Arial" w:hAnsi="Arial" w:cs="Arial"/>
          <w:sz w:val="22"/>
          <w:szCs w:val="22"/>
          <w:vertAlign w:val="subscript"/>
        </w:rPr>
        <w:t>2</w:t>
      </w:r>
      <w:r w:rsidR="002C6D8C" w:rsidRPr="00F07C98">
        <w:rPr>
          <w:rFonts w:ascii="Arial" w:hAnsi="Arial" w:cs="Arial"/>
          <w:sz w:val="22"/>
          <w:szCs w:val="22"/>
        </w:rPr>
        <w:t>PO</w:t>
      </w:r>
      <w:r w:rsidR="002C6D8C" w:rsidRPr="00F07C98">
        <w:rPr>
          <w:rFonts w:ascii="Arial" w:hAnsi="Arial" w:cs="Arial"/>
          <w:sz w:val="22"/>
          <w:szCs w:val="22"/>
          <w:vertAlign w:val="subscript"/>
        </w:rPr>
        <w:t>4</w:t>
      </w:r>
      <w:r w:rsidR="002C6D8C" w:rsidRPr="00F07C98">
        <w:rPr>
          <w:rFonts w:ascii="Arial" w:hAnsi="Arial" w:cs="Arial"/>
          <w:sz w:val="22"/>
          <w:szCs w:val="22"/>
        </w:rPr>
        <w:t xml:space="preserve"> and Na</w:t>
      </w:r>
      <w:r w:rsidR="002C6D8C" w:rsidRPr="00F07C98">
        <w:rPr>
          <w:rFonts w:ascii="Arial" w:hAnsi="Arial" w:cs="Arial"/>
          <w:sz w:val="22"/>
          <w:szCs w:val="22"/>
        </w:rPr>
        <w:softHyphen/>
      </w:r>
      <w:r w:rsidR="002C6D8C" w:rsidRPr="00F07C98">
        <w:rPr>
          <w:rFonts w:ascii="Arial" w:hAnsi="Arial" w:cs="Arial"/>
          <w:sz w:val="22"/>
          <w:szCs w:val="22"/>
          <w:vertAlign w:val="subscript"/>
        </w:rPr>
        <w:t>2</w:t>
      </w:r>
      <w:r w:rsidR="002C6D8C" w:rsidRPr="00F07C98">
        <w:rPr>
          <w:rFonts w:ascii="Arial" w:hAnsi="Arial" w:cs="Arial"/>
          <w:sz w:val="22"/>
          <w:szCs w:val="22"/>
        </w:rPr>
        <w:t>HPO</w:t>
      </w:r>
      <w:r w:rsidR="002C6D8C" w:rsidRPr="00F07C98">
        <w:rPr>
          <w:rFonts w:ascii="Arial" w:hAnsi="Arial" w:cs="Arial"/>
          <w:sz w:val="22"/>
          <w:szCs w:val="22"/>
          <w:vertAlign w:val="subscript"/>
        </w:rPr>
        <w:t>4</w:t>
      </w:r>
      <w:r w:rsidR="002C6D8C" w:rsidRPr="00F07C98">
        <w:rPr>
          <w:rFonts w:ascii="Arial" w:hAnsi="Arial" w:cs="Arial"/>
          <w:sz w:val="22"/>
          <w:szCs w:val="22"/>
        </w:rPr>
        <w:t xml:space="preserve"> were added to each tank at 95,54 mg/L, 31 mg/L and 63,7 mg/L, respectively (Ekasari 2010). Organic carbon source was added to each tank according to </w:t>
      </w:r>
      <w:r w:rsidR="005C1CCA" w:rsidRPr="00F07C98">
        <w:rPr>
          <w:rFonts w:ascii="Arial" w:hAnsi="Arial" w:cs="Arial"/>
          <w:sz w:val="22"/>
          <w:szCs w:val="22"/>
        </w:rPr>
        <w:t>the C/N ratio, i.e. 10, 15 or 20. Total ammonia concentration was observed every 2 h for 28 h. For this purpose, 25 mL of water sample was collected from each tank for TAN analysis.</w:t>
      </w:r>
      <w:r w:rsidR="00EB6261" w:rsidRPr="00F07C98">
        <w:rPr>
          <w:rFonts w:ascii="Arial" w:hAnsi="Arial" w:cs="Arial"/>
          <w:sz w:val="22"/>
          <w:szCs w:val="22"/>
        </w:rPr>
        <w:t xml:space="preserve"> Other water quality parameters were observed on the initi</w:t>
      </w:r>
      <w:r w:rsidR="00200EEF" w:rsidRPr="00F07C98">
        <w:rPr>
          <w:rFonts w:ascii="Arial" w:hAnsi="Arial" w:cs="Arial"/>
          <w:sz w:val="22"/>
          <w:szCs w:val="22"/>
        </w:rPr>
        <w:t>al and final sampling time. T</w:t>
      </w:r>
      <w:r w:rsidR="00EB6261" w:rsidRPr="00F07C98">
        <w:rPr>
          <w:rFonts w:ascii="Arial" w:hAnsi="Arial" w:cs="Arial"/>
          <w:sz w:val="22"/>
          <w:szCs w:val="22"/>
        </w:rPr>
        <w:t xml:space="preserve">hese parameters </w:t>
      </w:r>
      <w:r w:rsidR="00200EEF" w:rsidRPr="00F07C98">
        <w:rPr>
          <w:rFonts w:ascii="Arial" w:hAnsi="Arial" w:cs="Arial"/>
          <w:sz w:val="22"/>
          <w:szCs w:val="22"/>
        </w:rPr>
        <w:t xml:space="preserve">were found to </w:t>
      </w:r>
      <w:r w:rsidR="00F813A8" w:rsidRPr="00F07C98">
        <w:rPr>
          <w:rFonts w:ascii="Arial" w:hAnsi="Arial" w:cs="Arial"/>
          <w:sz w:val="22"/>
          <w:szCs w:val="22"/>
        </w:rPr>
        <w:t>be in acceptable ranges (Table 1</w:t>
      </w:r>
      <w:r w:rsidR="00200EEF" w:rsidRPr="00F07C98">
        <w:rPr>
          <w:rFonts w:ascii="Arial" w:hAnsi="Arial" w:cs="Arial"/>
          <w:sz w:val="22"/>
          <w:szCs w:val="22"/>
        </w:rPr>
        <w:t xml:space="preserve">). </w:t>
      </w:r>
    </w:p>
    <w:p w14:paraId="2F275225" w14:textId="77777777" w:rsidR="00342478" w:rsidRPr="00F07C98" w:rsidRDefault="00342478" w:rsidP="00F07C98">
      <w:pPr>
        <w:spacing w:line="480" w:lineRule="auto"/>
        <w:jc w:val="both"/>
        <w:rPr>
          <w:rFonts w:ascii="Arial" w:hAnsi="Arial" w:cs="Arial"/>
          <w:b/>
          <w:sz w:val="22"/>
          <w:szCs w:val="22"/>
        </w:rPr>
      </w:pPr>
    </w:p>
    <w:p w14:paraId="1E00805B" w14:textId="1448F209" w:rsidR="005C1CCA" w:rsidRPr="00F07C98" w:rsidRDefault="005C1CCA" w:rsidP="00F07C98">
      <w:pPr>
        <w:spacing w:line="480" w:lineRule="auto"/>
        <w:jc w:val="both"/>
        <w:rPr>
          <w:rFonts w:ascii="Arial" w:hAnsi="Arial" w:cs="Arial"/>
          <w:b/>
          <w:sz w:val="22"/>
          <w:szCs w:val="22"/>
        </w:rPr>
      </w:pPr>
      <w:r w:rsidRPr="00F07C98">
        <w:rPr>
          <w:rFonts w:ascii="Arial" w:hAnsi="Arial" w:cs="Arial"/>
          <w:b/>
          <w:sz w:val="22"/>
          <w:szCs w:val="22"/>
        </w:rPr>
        <w:t>Chemical analyses</w:t>
      </w:r>
    </w:p>
    <w:p w14:paraId="3F288B86" w14:textId="6E1D9801" w:rsidR="00342478" w:rsidRPr="00F07C98" w:rsidRDefault="00866C50" w:rsidP="00F07C98">
      <w:pPr>
        <w:spacing w:line="480" w:lineRule="auto"/>
        <w:ind w:firstLine="567"/>
        <w:jc w:val="both"/>
        <w:rPr>
          <w:rFonts w:ascii="Arial" w:hAnsi="Arial" w:cs="Arial"/>
          <w:sz w:val="22"/>
          <w:szCs w:val="22"/>
        </w:rPr>
      </w:pPr>
      <w:r w:rsidRPr="00F07C98">
        <w:rPr>
          <w:rFonts w:ascii="Arial" w:hAnsi="Arial" w:cs="Arial"/>
          <w:sz w:val="22"/>
          <w:szCs w:val="22"/>
        </w:rPr>
        <w:t>C</w:t>
      </w:r>
      <w:r w:rsidR="003259F4" w:rsidRPr="00F07C98">
        <w:rPr>
          <w:rFonts w:ascii="Arial" w:hAnsi="Arial" w:cs="Arial"/>
          <w:sz w:val="22"/>
          <w:szCs w:val="22"/>
        </w:rPr>
        <w:t>arbon</w:t>
      </w:r>
      <w:r w:rsidRPr="00F07C98">
        <w:rPr>
          <w:rFonts w:ascii="Arial" w:hAnsi="Arial" w:cs="Arial"/>
          <w:sz w:val="22"/>
          <w:szCs w:val="22"/>
        </w:rPr>
        <w:t xml:space="preserve"> content</w:t>
      </w:r>
      <w:r w:rsidR="003259F4" w:rsidRPr="00F07C98">
        <w:rPr>
          <w:rFonts w:ascii="Arial" w:hAnsi="Arial" w:cs="Arial"/>
          <w:sz w:val="22"/>
          <w:szCs w:val="22"/>
        </w:rPr>
        <w:t xml:space="preserve"> was determined according to </w:t>
      </w:r>
      <w:proofErr w:type="spellStart"/>
      <w:r w:rsidR="003259F4" w:rsidRPr="00F07C98">
        <w:rPr>
          <w:rFonts w:ascii="Arial" w:hAnsi="Arial" w:cs="Arial"/>
          <w:sz w:val="22"/>
          <w:szCs w:val="22"/>
        </w:rPr>
        <w:t>Walkley</w:t>
      </w:r>
      <w:proofErr w:type="spellEnd"/>
      <w:r w:rsidR="003259F4" w:rsidRPr="00F07C98">
        <w:rPr>
          <w:rFonts w:ascii="Arial" w:hAnsi="Arial" w:cs="Arial"/>
          <w:sz w:val="22"/>
          <w:szCs w:val="22"/>
        </w:rPr>
        <w:t xml:space="preserve"> and Black (1934).  </w:t>
      </w:r>
      <w:r w:rsidR="005C1CCA" w:rsidRPr="00F07C98">
        <w:rPr>
          <w:rFonts w:ascii="Arial" w:hAnsi="Arial" w:cs="Arial"/>
          <w:sz w:val="22"/>
          <w:szCs w:val="22"/>
        </w:rPr>
        <w:t>T</w:t>
      </w:r>
      <w:r w:rsidR="003259F4" w:rsidRPr="00F07C98">
        <w:rPr>
          <w:rFonts w:ascii="Arial" w:hAnsi="Arial" w:cs="Arial"/>
          <w:sz w:val="22"/>
          <w:szCs w:val="22"/>
        </w:rPr>
        <w:t>otal ammonia nitrogen</w:t>
      </w:r>
      <w:r w:rsidR="005C1CCA" w:rsidRPr="00F07C98">
        <w:rPr>
          <w:rFonts w:ascii="Arial" w:hAnsi="Arial" w:cs="Arial"/>
          <w:sz w:val="22"/>
          <w:szCs w:val="22"/>
        </w:rPr>
        <w:t xml:space="preserve"> concentration</w:t>
      </w:r>
      <w:r w:rsidRPr="00F07C98">
        <w:rPr>
          <w:rFonts w:ascii="Arial" w:hAnsi="Arial" w:cs="Arial"/>
          <w:sz w:val="22"/>
          <w:szCs w:val="22"/>
        </w:rPr>
        <w:t xml:space="preserve"> and other water quality parameters were measured with the</w:t>
      </w:r>
      <w:r w:rsidR="005C1CCA" w:rsidRPr="00F07C98">
        <w:rPr>
          <w:rFonts w:ascii="Arial" w:hAnsi="Arial" w:cs="Arial"/>
          <w:sz w:val="22"/>
          <w:szCs w:val="22"/>
        </w:rPr>
        <w:t xml:space="preserve"> procedure</w:t>
      </w:r>
      <w:r w:rsidRPr="00F07C98">
        <w:rPr>
          <w:rFonts w:ascii="Arial" w:hAnsi="Arial" w:cs="Arial"/>
          <w:sz w:val="22"/>
          <w:szCs w:val="22"/>
        </w:rPr>
        <w:t>s</w:t>
      </w:r>
      <w:r w:rsidR="005C1CCA" w:rsidRPr="00F07C98">
        <w:rPr>
          <w:rFonts w:ascii="Arial" w:hAnsi="Arial" w:cs="Arial"/>
          <w:sz w:val="22"/>
          <w:szCs w:val="22"/>
        </w:rPr>
        <w:t xml:space="preserve"> according to APHA (2005).</w:t>
      </w:r>
      <w:r w:rsidR="00EB6261" w:rsidRPr="00F07C98">
        <w:rPr>
          <w:rFonts w:ascii="Arial" w:hAnsi="Arial" w:cs="Arial"/>
          <w:sz w:val="22"/>
          <w:szCs w:val="22"/>
        </w:rPr>
        <w:t xml:space="preserve"> </w:t>
      </w:r>
    </w:p>
    <w:p w14:paraId="2190AE6F" w14:textId="77777777" w:rsidR="00342478" w:rsidRPr="00F07C98" w:rsidRDefault="00342478" w:rsidP="00F07C98">
      <w:pPr>
        <w:spacing w:line="480" w:lineRule="auto"/>
        <w:ind w:firstLine="567"/>
        <w:jc w:val="both"/>
        <w:rPr>
          <w:rFonts w:ascii="Arial" w:hAnsi="Arial" w:cs="Arial"/>
          <w:sz w:val="22"/>
          <w:szCs w:val="22"/>
        </w:rPr>
      </w:pPr>
    </w:p>
    <w:p w14:paraId="22C6757A" w14:textId="5A0BC4BF" w:rsidR="00EB6261" w:rsidRPr="00F07C98" w:rsidRDefault="00342478" w:rsidP="00F07C98">
      <w:pPr>
        <w:spacing w:line="480" w:lineRule="auto"/>
        <w:jc w:val="both"/>
        <w:rPr>
          <w:rFonts w:ascii="Arial" w:hAnsi="Arial" w:cs="Arial"/>
          <w:sz w:val="22"/>
          <w:szCs w:val="22"/>
        </w:rPr>
      </w:pPr>
      <w:r w:rsidRPr="00F07C98">
        <w:rPr>
          <w:rFonts w:ascii="Arial" w:hAnsi="Arial" w:cs="Arial"/>
          <w:sz w:val="22"/>
          <w:szCs w:val="22"/>
        </w:rPr>
        <w:t>Table 1</w:t>
      </w:r>
      <w:r w:rsidR="00EB6261" w:rsidRPr="00F07C98">
        <w:rPr>
          <w:rFonts w:ascii="Arial" w:hAnsi="Arial" w:cs="Arial"/>
          <w:sz w:val="22"/>
          <w:szCs w:val="22"/>
        </w:rPr>
        <w:t xml:space="preserve">. Water temperature, dissolved oxygen, pH and salinity of </w:t>
      </w:r>
      <w:proofErr w:type="spellStart"/>
      <w:r w:rsidR="00EB6261" w:rsidRPr="00F07C98">
        <w:rPr>
          <w:rFonts w:ascii="Arial" w:hAnsi="Arial" w:cs="Arial"/>
          <w:sz w:val="22"/>
          <w:szCs w:val="22"/>
        </w:rPr>
        <w:t>biofloc</w:t>
      </w:r>
      <w:proofErr w:type="spellEnd"/>
      <w:r w:rsidR="00EB6261" w:rsidRPr="00F07C98">
        <w:rPr>
          <w:rFonts w:ascii="Arial" w:hAnsi="Arial" w:cs="Arial"/>
          <w:sz w:val="22"/>
          <w:szCs w:val="22"/>
        </w:rPr>
        <w:t xml:space="preserve"> medium with different organic carbon source</w:t>
      </w:r>
    </w:p>
    <w:tbl>
      <w:tblPr>
        <w:tblW w:w="8520" w:type="dxa"/>
        <w:tblInd w:w="93" w:type="dxa"/>
        <w:tblLayout w:type="fixed"/>
        <w:tblLook w:val="04A0" w:firstRow="1" w:lastRow="0" w:firstColumn="1" w:lastColumn="0" w:noHBand="0" w:noVBand="1"/>
      </w:tblPr>
      <w:tblGrid>
        <w:gridCol w:w="2283"/>
        <w:gridCol w:w="1323"/>
        <w:gridCol w:w="1323"/>
        <w:gridCol w:w="1391"/>
        <w:gridCol w:w="2200"/>
      </w:tblGrid>
      <w:tr w:rsidR="00EB6261" w:rsidRPr="00F07C98" w14:paraId="721BE177" w14:textId="77777777" w:rsidTr="00EB6261">
        <w:trPr>
          <w:trHeight w:val="300"/>
        </w:trPr>
        <w:tc>
          <w:tcPr>
            <w:tcW w:w="2283" w:type="dxa"/>
            <w:vMerge w:val="restart"/>
            <w:tcBorders>
              <w:top w:val="single" w:sz="4" w:space="0" w:color="auto"/>
              <w:left w:val="nil"/>
              <w:bottom w:val="single" w:sz="4" w:space="0" w:color="000000"/>
              <w:right w:val="nil"/>
            </w:tcBorders>
            <w:shd w:val="clear" w:color="auto" w:fill="auto"/>
            <w:noWrap/>
            <w:vAlign w:val="center"/>
            <w:hideMark/>
          </w:tcPr>
          <w:p w14:paraId="329597EC" w14:textId="77777777" w:rsidR="00EB6261" w:rsidRPr="00F07C98" w:rsidRDefault="00EB6261" w:rsidP="00F07C98">
            <w:pPr>
              <w:spacing w:line="480" w:lineRule="auto"/>
              <w:jc w:val="both"/>
              <w:rPr>
                <w:rFonts w:ascii="Arial" w:hAnsi="Arial" w:cs="Arial"/>
                <w:color w:val="000000"/>
                <w:sz w:val="22"/>
                <w:szCs w:val="22"/>
              </w:rPr>
            </w:pPr>
          </w:p>
        </w:tc>
        <w:tc>
          <w:tcPr>
            <w:tcW w:w="6237" w:type="dxa"/>
            <w:gridSpan w:val="4"/>
            <w:tcBorders>
              <w:top w:val="single" w:sz="4" w:space="0" w:color="auto"/>
              <w:left w:val="nil"/>
              <w:bottom w:val="single" w:sz="4" w:space="0" w:color="auto"/>
              <w:right w:val="nil"/>
            </w:tcBorders>
            <w:shd w:val="clear" w:color="auto" w:fill="auto"/>
            <w:noWrap/>
            <w:vAlign w:val="bottom"/>
            <w:hideMark/>
          </w:tcPr>
          <w:p w14:paraId="2FF200F7" w14:textId="1FB9CA28" w:rsidR="00EB6261" w:rsidRPr="00F07C98" w:rsidRDefault="008F0C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Organic C source</w:t>
            </w:r>
          </w:p>
        </w:tc>
      </w:tr>
      <w:tr w:rsidR="00EB6261" w:rsidRPr="00F07C98" w14:paraId="76E7E224" w14:textId="77777777" w:rsidTr="00EB6261">
        <w:trPr>
          <w:trHeight w:val="300"/>
        </w:trPr>
        <w:tc>
          <w:tcPr>
            <w:tcW w:w="2283" w:type="dxa"/>
            <w:vMerge/>
            <w:tcBorders>
              <w:top w:val="single" w:sz="4" w:space="0" w:color="auto"/>
              <w:left w:val="nil"/>
              <w:bottom w:val="single" w:sz="4" w:space="0" w:color="000000"/>
              <w:right w:val="nil"/>
            </w:tcBorders>
            <w:vAlign w:val="center"/>
            <w:hideMark/>
          </w:tcPr>
          <w:p w14:paraId="32A574FD" w14:textId="77777777" w:rsidR="00EB6261" w:rsidRPr="00F07C98" w:rsidRDefault="00EB6261" w:rsidP="00F07C98">
            <w:pPr>
              <w:spacing w:line="480" w:lineRule="auto"/>
              <w:jc w:val="both"/>
              <w:rPr>
                <w:rFonts w:ascii="Arial" w:hAnsi="Arial" w:cs="Arial"/>
                <w:color w:val="000000"/>
                <w:sz w:val="22"/>
                <w:szCs w:val="22"/>
              </w:rPr>
            </w:pPr>
          </w:p>
        </w:tc>
        <w:tc>
          <w:tcPr>
            <w:tcW w:w="1323" w:type="dxa"/>
            <w:tcBorders>
              <w:top w:val="nil"/>
              <w:left w:val="nil"/>
              <w:bottom w:val="single" w:sz="4" w:space="0" w:color="auto"/>
              <w:right w:val="nil"/>
            </w:tcBorders>
            <w:shd w:val="clear" w:color="auto" w:fill="auto"/>
            <w:noWrap/>
            <w:vAlign w:val="bottom"/>
            <w:hideMark/>
          </w:tcPr>
          <w:p w14:paraId="1085D0F9"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Molasses</w:t>
            </w:r>
          </w:p>
        </w:tc>
        <w:tc>
          <w:tcPr>
            <w:tcW w:w="1323" w:type="dxa"/>
            <w:tcBorders>
              <w:top w:val="nil"/>
              <w:left w:val="nil"/>
              <w:bottom w:val="single" w:sz="4" w:space="0" w:color="auto"/>
              <w:right w:val="nil"/>
            </w:tcBorders>
            <w:shd w:val="clear" w:color="auto" w:fill="auto"/>
            <w:noWrap/>
            <w:vAlign w:val="bottom"/>
            <w:hideMark/>
          </w:tcPr>
          <w:p w14:paraId="78AEA9BC"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Tapioca</w:t>
            </w:r>
          </w:p>
        </w:tc>
        <w:tc>
          <w:tcPr>
            <w:tcW w:w="1391" w:type="dxa"/>
            <w:tcBorders>
              <w:top w:val="nil"/>
              <w:left w:val="nil"/>
              <w:bottom w:val="single" w:sz="4" w:space="0" w:color="auto"/>
              <w:right w:val="nil"/>
            </w:tcBorders>
            <w:shd w:val="clear" w:color="auto" w:fill="auto"/>
            <w:noWrap/>
            <w:vAlign w:val="bottom"/>
            <w:hideMark/>
          </w:tcPr>
          <w:p w14:paraId="5FB283DC"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Rice bran</w:t>
            </w:r>
          </w:p>
        </w:tc>
        <w:tc>
          <w:tcPr>
            <w:tcW w:w="2200" w:type="dxa"/>
            <w:tcBorders>
              <w:top w:val="nil"/>
              <w:left w:val="nil"/>
              <w:bottom w:val="single" w:sz="4" w:space="0" w:color="auto"/>
              <w:right w:val="nil"/>
            </w:tcBorders>
            <w:shd w:val="clear" w:color="auto" w:fill="auto"/>
            <w:noWrap/>
            <w:vAlign w:val="bottom"/>
            <w:hideMark/>
          </w:tcPr>
          <w:p w14:paraId="5E7984C8"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Tapioca by-product</w:t>
            </w:r>
          </w:p>
        </w:tc>
      </w:tr>
      <w:tr w:rsidR="00EB6261" w:rsidRPr="00F07C98" w14:paraId="5D416B03" w14:textId="77777777" w:rsidTr="00EB6261">
        <w:trPr>
          <w:trHeight w:val="300"/>
        </w:trPr>
        <w:tc>
          <w:tcPr>
            <w:tcW w:w="2283" w:type="dxa"/>
            <w:tcBorders>
              <w:top w:val="nil"/>
              <w:left w:val="nil"/>
              <w:bottom w:val="nil"/>
              <w:right w:val="nil"/>
            </w:tcBorders>
            <w:shd w:val="clear" w:color="auto" w:fill="auto"/>
            <w:noWrap/>
            <w:vAlign w:val="bottom"/>
            <w:hideMark/>
          </w:tcPr>
          <w:p w14:paraId="38DB7817"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Temperature</w:t>
            </w:r>
          </w:p>
        </w:tc>
        <w:tc>
          <w:tcPr>
            <w:tcW w:w="1323" w:type="dxa"/>
            <w:tcBorders>
              <w:top w:val="nil"/>
              <w:left w:val="nil"/>
              <w:bottom w:val="nil"/>
              <w:right w:val="nil"/>
            </w:tcBorders>
            <w:shd w:val="clear" w:color="auto" w:fill="auto"/>
            <w:noWrap/>
            <w:vAlign w:val="bottom"/>
            <w:hideMark/>
          </w:tcPr>
          <w:p w14:paraId="569ACB51"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26.2 – 27.6</w:t>
            </w:r>
          </w:p>
        </w:tc>
        <w:tc>
          <w:tcPr>
            <w:tcW w:w="1323" w:type="dxa"/>
            <w:tcBorders>
              <w:top w:val="nil"/>
              <w:left w:val="nil"/>
              <w:bottom w:val="nil"/>
              <w:right w:val="nil"/>
            </w:tcBorders>
            <w:shd w:val="clear" w:color="auto" w:fill="auto"/>
            <w:noWrap/>
            <w:vAlign w:val="bottom"/>
            <w:hideMark/>
          </w:tcPr>
          <w:p w14:paraId="0B76CEC7"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26.2 – 27.1</w:t>
            </w:r>
          </w:p>
        </w:tc>
        <w:tc>
          <w:tcPr>
            <w:tcW w:w="1391" w:type="dxa"/>
            <w:tcBorders>
              <w:top w:val="nil"/>
              <w:left w:val="nil"/>
              <w:bottom w:val="nil"/>
              <w:right w:val="nil"/>
            </w:tcBorders>
            <w:shd w:val="clear" w:color="auto" w:fill="auto"/>
            <w:noWrap/>
            <w:vAlign w:val="bottom"/>
            <w:hideMark/>
          </w:tcPr>
          <w:p w14:paraId="67E74E6E"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 xml:space="preserve">26.4 – 27.5 </w:t>
            </w:r>
          </w:p>
        </w:tc>
        <w:tc>
          <w:tcPr>
            <w:tcW w:w="2200" w:type="dxa"/>
            <w:tcBorders>
              <w:top w:val="nil"/>
              <w:left w:val="nil"/>
              <w:bottom w:val="nil"/>
              <w:right w:val="nil"/>
            </w:tcBorders>
            <w:shd w:val="clear" w:color="auto" w:fill="auto"/>
            <w:noWrap/>
            <w:vAlign w:val="bottom"/>
            <w:hideMark/>
          </w:tcPr>
          <w:p w14:paraId="2FB8BD42"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 xml:space="preserve">26.1 – 27.7 </w:t>
            </w:r>
          </w:p>
        </w:tc>
      </w:tr>
      <w:tr w:rsidR="00EB6261" w:rsidRPr="00F07C98" w14:paraId="4DDEEB4E" w14:textId="77777777" w:rsidTr="00EB6261">
        <w:trPr>
          <w:trHeight w:val="300"/>
        </w:trPr>
        <w:tc>
          <w:tcPr>
            <w:tcW w:w="2283" w:type="dxa"/>
            <w:tcBorders>
              <w:top w:val="nil"/>
              <w:left w:val="nil"/>
              <w:bottom w:val="nil"/>
              <w:right w:val="nil"/>
            </w:tcBorders>
            <w:shd w:val="clear" w:color="auto" w:fill="auto"/>
            <w:noWrap/>
            <w:vAlign w:val="bottom"/>
            <w:hideMark/>
          </w:tcPr>
          <w:p w14:paraId="31B32A5B"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Dissolved oxygen</w:t>
            </w:r>
          </w:p>
        </w:tc>
        <w:tc>
          <w:tcPr>
            <w:tcW w:w="1323" w:type="dxa"/>
            <w:tcBorders>
              <w:top w:val="nil"/>
              <w:left w:val="nil"/>
              <w:bottom w:val="nil"/>
              <w:right w:val="nil"/>
            </w:tcBorders>
            <w:shd w:val="clear" w:color="auto" w:fill="auto"/>
            <w:noWrap/>
            <w:vAlign w:val="bottom"/>
            <w:hideMark/>
          </w:tcPr>
          <w:p w14:paraId="416CBDD9"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4.9 – 5.9</w:t>
            </w:r>
          </w:p>
        </w:tc>
        <w:tc>
          <w:tcPr>
            <w:tcW w:w="1323" w:type="dxa"/>
            <w:tcBorders>
              <w:top w:val="nil"/>
              <w:left w:val="nil"/>
              <w:bottom w:val="nil"/>
              <w:right w:val="nil"/>
            </w:tcBorders>
            <w:shd w:val="clear" w:color="auto" w:fill="auto"/>
            <w:noWrap/>
            <w:vAlign w:val="bottom"/>
            <w:hideMark/>
          </w:tcPr>
          <w:p w14:paraId="03BC110B"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4.9 – 5.8</w:t>
            </w:r>
          </w:p>
        </w:tc>
        <w:tc>
          <w:tcPr>
            <w:tcW w:w="1391" w:type="dxa"/>
            <w:tcBorders>
              <w:top w:val="nil"/>
              <w:left w:val="nil"/>
              <w:bottom w:val="nil"/>
              <w:right w:val="nil"/>
            </w:tcBorders>
            <w:shd w:val="clear" w:color="auto" w:fill="auto"/>
            <w:noWrap/>
            <w:vAlign w:val="bottom"/>
            <w:hideMark/>
          </w:tcPr>
          <w:p w14:paraId="60E672FD"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5.0 – 5.8</w:t>
            </w:r>
          </w:p>
        </w:tc>
        <w:tc>
          <w:tcPr>
            <w:tcW w:w="2200" w:type="dxa"/>
            <w:tcBorders>
              <w:top w:val="nil"/>
              <w:left w:val="nil"/>
              <w:bottom w:val="nil"/>
              <w:right w:val="nil"/>
            </w:tcBorders>
            <w:shd w:val="clear" w:color="auto" w:fill="auto"/>
            <w:noWrap/>
            <w:vAlign w:val="bottom"/>
            <w:hideMark/>
          </w:tcPr>
          <w:p w14:paraId="03D64342"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4.9 – 5.8</w:t>
            </w:r>
          </w:p>
        </w:tc>
      </w:tr>
      <w:tr w:rsidR="00EB6261" w:rsidRPr="00F07C98" w14:paraId="0C851B09" w14:textId="77777777" w:rsidTr="00EB6261">
        <w:trPr>
          <w:trHeight w:val="300"/>
        </w:trPr>
        <w:tc>
          <w:tcPr>
            <w:tcW w:w="2283" w:type="dxa"/>
            <w:tcBorders>
              <w:top w:val="nil"/>
              <w:left w:val="nil"/>
              <w:right w:val="nil"/>
            </w:tcBorders>
            <w:shd w:val="clear" w:color="auto" w:fill="auto"/>
            <w:noWrap/>
            <w:vAlign w:val="bottom"/>
            <w:hideMark/>
          </w:tcPr>
          <w:p w14:paraId="7BF5EF3E"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pH</w:t>
            </w:r>
          </w:p>
        </w:tc>
        <w:tc>
          <w:tcPr>
            <w:tcW w:w="1323" w:type="dxa"/>
            <w:tcBorders>
              <w:top w:val="nil"/>
              <w:left w:val="nil"/>
              <w:right w:val="nil"/>
            </w:tcBorders>
            <w:shd w:val="clear" w:color="auto" w:fill="auto"/>
            <w:noWrap/>
            <w:vAlign w:val="bottom"/>
            <w:hideMark/>
          </w:tcPr>
          <w:p w14:paraId="24E80A8C"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7.91 – 8.56</w:t>
            </w:r>
          </w:p>
        </w:tc>
        <w:tc>
          <w:tcPr>
            <w:tcW w:w="1323" w:type="dxa"/>
            <w:tcBorders>
              <w:top w:val="nil"/>
              <w:left w:val="nil"/>
              <w:right w:val="nil"/>
            </w:tcBorders>
            <w:shd w:val="clear" w:color="auto" w:fill="auto"/>
            <w:noWrap/>
            <w:vAlign w:val="bottom"/>
            <w:hideMark/>
          </w:tcPr>
          <w:p w14:paraId="74E95B6C"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8.32 – 8.56</w:t>
            </w:r>
          </w:p>
        </w:tc>
        <w:tc>
          <w:tcPr>
            <w:tcW w:w="1391" w:type="dxa"/>
            <w:tcBorders>
              <w:top w:val="nil"/>
              <w:left w:val="nil"/>
              <w:right w:val="nil"/>
            </w:tcBorders>
            <w:shd w:val="clear" w:color="auto" w:fill="auto"/>
            <w:noWrap/>
            <w:vAlign w:val="bottom"/>
            <w:hideMark/>
          </w:tcPr>
          <w:p w14:paraId="376531C6"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8.25 – 8.52</w:t>
            </w:r>
          </w:p>
        </w:tc>
        <w:tc>
          <w:tcPr>
            <w:tcW w:w="2200" w:type="dxa"/>
            <w:tcBorders>
              <w:top w:val="nil"/>
              <w:left w:val="nil"/>
              <w:right w:val="nil"/>
            </w:tcBorders>
            <w:shd w:val="clear" w:color="auto" w:fill="auto"/>
            <w:noWrap/>
            <w:vAlign w:val="bottom"/>
            <w:hideMark/>
          </w:tcPr>
          <w:p w14:paraId="4033565E"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8.36 – 8.59</w:t>
            </w:r>
          </w:p>
        </w:tc>
      </w:tr>
      <w:tr w:rsidR="00EB6261" w:rsidRPr="00F07C98" w14:paraId="77212EDF" w14:textId="77777777" w:rsidTr="00EB6261">
        <w:trPr>
          <w:trHeight w:val="300"/>
        </w:trPr>
        <w:tc>
          <w:tcPr>
            <w:tcW w:w="2283" w:type="dxa"/>
            <w:tcBorders>
              <w:top w:val="nil"/>
              <w:left w:val="nil"/>
              <w:bottom w:val="single" w:sz="4" w:space="0" w:color="auto"/>
              <w:right w:val="nil"/>
            </w:tcBorders>
            <w:shd w:val="clear" w:color="auto" w:fill="auto"/>
            <w:noWrap/>
            <w:vAlign w:val="bottom"/>
            <w:hideMark/>
          </w:tcPr>
          <w:p w14:paraId="696AD54D"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Salinity</w:t>
            </w:r>
          </w:p>
        </w:tc>
        <w:tc>
          <w:tcPr>
            <w:tcW w:w="1323" w:type="dxa"/>
            <w:tcBorders>
              <w:top w:val="nil"/>
              <w:left w:val="nil"/>
              <w:bottom w:val="single" w:sz="4" w:space="0" w:color="auto"/>
              <w:right w:val="nil"/>
            </w:tcBorders>
            <w:shd w:val="clear" w:color="auto" w:fill="auto"/>
            <w:noWrap/>
            <w:vAlign w:val="bottom"/>
            <w:hideMark/>
          </w:tcPr>
          <w:p w14:paraId="4285CB2E"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30.0 – 30.6</w:t>
            </w:r>
          </w:p>
        </w:tc>
        <w:tc>
          <w:tcPr>
            <w:tcW w:w="1323" w:type="dxa"/>
            <w:tcBorders>
              <w:top w:val="nil"/>
              <w:left w:val="nil"/>
              <w:bottom w:val="single" w:sz="4" w:space="0" w:color="auto"/>
              <w:right w:val="nil"/>
            </w:tcBorders>
            <w:shd w:val="clear" w:color="auto" w:fill="auto"/>
            <w:noWrap/>
            <w:vAlign w:val="bottom"/>
            <w:hideMark/>
          </w:tcPr>
          <w:p w14:paraId="21D0863E"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30.1 – 30.5</w:t>
            </w:r>
          </w:p>
        </w:tc>
        <w:tc>
          <w:tcPr>
            <w:tcW w:w="1391" w:type="dxa"/>
            <w:tcBorders>
              <w:top w:val="nil"/>
              <w:left w:val="nil"/>
              <w:bottom w:val="single" w:sz="4" w:space="0" w:color="auto"/>
              <w:right w:val="nil"/>
            </w:tcBorders>
            <w:shd w:val="clear" w:color="auto" w:fill="auto"/>
            <w:noWrap/>
            <w:vAlign w:val="bottom"/>
            <w:hideMark/>
          </w:tcPr>
          <w:p w14:paraId="57BACCE4"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30.0 – 30.6</w:t>
            </w:r>
          </w:p>
        </w:tc>
        <w:tc>
          <w:tcPr>
            <w:tcW w:w="2200" w:type="dxa"/>
            <w:tcBorders>
              <w:top w:val="nil"/>
              <w:left w:val="nil"/>
              <w:bottom w:val="single" w:sz="4" w:space="0" w:color="auto"/>
              <w:right w:val="nil"/>
            </w:tcBorders>
            <w:shd w:val="clear" w:color="auto" w:fill="auto"/>
            <w:noWrap/>
            <w:vAlign w:val="bottom"/>
            <w:hideMark/>
          </w:tcPr>
          <w:p w14:paraId="345334E6" w14:textId="77777777" w:rsidR="00EB6261" w:rsidRPr="00F07C98" w:rsidRDefault="00EB6261" w:rsidP="00F07C98">
            <w:pPr>
              <w:spacing w:line="480" w:lineRule="auto"/>
              <w:jc w:val="both"/>
              <w:rPr>
                <w:rFonts w:ascii="Arial" w:hAnsi="Arial" w:cs="Arial"/>
                <w:color w:val="000000"/>
                <w:sz w:val="22"/>
                <w:szCs w:val="22"/>
              </w:rPr>
            </w:pPr>
            <w:r w:rsidRPr="00F07C98">
              <w:rPr>
                <w:rFonts w:ascii="Arial" w:hAnsi="Arial" w:cs="Arial"/>
                <w:color w:val="000000"/>
                <w:sz w:val="22"/>
                <w:szCs w:val="22"/>
              </w:rPr>
              <w:t>30.0 – 30.6</w:t>
            </w:r>
          </w:p>
        </w:tc>
      </w:tr>
    </w:tbl>
    <w:p w14:paraId="3BE4D960" w14:textId="77777777" w:rsidR="0068627E" w:rsidRPr="00F07C98" w:rsidRDefault="0068627E" w:rsidP="00F07C98">
      <w:pPr>
        <w:spacing w:line="480" w:lineRule="auto"/>
        <w:jc w:val="both"/>
        <w:rPr>
          <w:rFonts w:ascii="Arial" w:hAnsi="Arial" w:cs="Arial"/>
          <w:b/>
          <w:sz w:val="22"/>
          <w:szCs w:val="22"/>
        </w:rPr>
      </w:pPr>
    </w:p>
    <w:p w14:paraId="64E6FBCE" w14:textId="7F33304C" w:rsidR="00866C50" w:rsidRPr="00F07C98" w:rsidRDefault="00866C50" w:rsidP="00F07C98">
      <w:pPr>
        <w:spacing w:line="480" w:lineRule="auto"/>
        <w:jc w:val="both"/>
        <w:rPr>
          <w:rFonts w:ascii="Arial" w:hAnsi="Arial" w:cs="Arial"/>
          <w:b/>
          <w:sz w:val="22"/>
          <w:szCs w:val="22"/>
        </w:rPr>
      </w:pPr>
      <w:r w:rsidRPr="00F07C98">
        <w:rPr>
          <w:rFonts w:ascii="Arial" w:hAnsi="Arial" w:cs="Arial"/>
          <w:b/>
          <w:sz w:val="22"/>
          <w:szCs w:val="22"/>
        </w:rPr>
        <w:lastRenderedPageBreak/>
        <w:t>Statistical analyses</w:t>
      </w:r>
    </w:p>
    <w:p w14:paraId="29D52B7A" w14:textId="2B2A8E9F" w:rsidR="00C42FE3" w:rsidRPr="00F07C98" w:rsidRDefault="00342478" w:rsidP="00F07C98">
      <w:pPr>
        <w:spacing w:line="480" w:lineRule="auto"/>
        <w:ind w:firstLine="567"/>
        <w:jc w:val="both"/>
        <w:rPr>
          <w:rFonts w:ascii="Arial" w:hAnsi="Arial" w:cs="Arial"/>
          <w:sz w:val="22"/>
          <w:szCs w:val="22"/>
        </w:rPr>
      </w:pPr>
      <w:r w:rsidRPr="00F07C98">
        <w:rPr>
          <w:rFonts w:ascii="Arial" w:hAnsi="Arial" w:cs="Arial"/>
          <w:sz w:val="22"/>
          <w:szCs w:val="22"/>
        </w:rPr>
        <w:t>The results were</w:t>
      </w:r>
      <w:r w:rsidR="00866C50" w:rsidRPr="00F07C98">
        <w:rPr>
          <w:rFonts w:ascii="Arial" w:hAnsi="Arial" w:cs="Arial"/>
          <w:sz w:val="22"/>
          <w:szCs w:val="22"/>
        </w:rPr>
        <w:t xml:space="preserve"> analyzed using Two Way ANOVA at a confidence level of 95%. </w:t>
      </w:r>
      <w:proofErr w:type="spellStart"/>
      <w:r w:rsidR="00866C50" w:rsidRPr="00F07C98">
        <w:rPr>
          <w:rFonts w:ascii="Arial" w:hAnsi="Arial" w:cs="Arial"/>
          <w:sz w:val="22"/>
          <w:szCs w:val="22"/>
        </w:rPr>
        <w:t>Tukey</w:t>
      </w:r>
      <w:proofErr w:type="spellEnd"/>
      <w:r w:rsidR="00866C50" w:rsidRPr="00F07C98">
        <w:rPr>
          <w:rFonts w:ascii="Arial" w:hAnsi="Arial" w:cs="Arial"/>
          <w:sz w:val="22"/>
          <w:szCs w:val="22"/>
        </w:rPr>
        <w:t xml:space="preserve"> Post hoc test was subsequently performed to determine significant differences between treatments.</w:t>
      </w:r>
    </w:p>
    <w:p w14:paraId="6D0C7146" w14:textId="77777777" w:rsidR="000C080E" w:rsidRPr="00F07C98" w:rsidRDefault="000C080E" w:rsidP="00F07C98">
      <w:pPr>
        <w:spacing w:line="480" w:lineRule="auto"/>
        <w:jc w:val="both"/>
        <w:rPr>
          <w:rFonts w:ascii="Arial" w:hAnsi="Arial" w:cs="Arial"/>
          <w:b/>
          <w:sz w:val="22"/>
          <w:szCs w:val="22"/>
        </w:rPr>
      </w:pPr>
    </w:p>
    <w:p w14:paraId="2D735779" w14:textId="77777777" w:rsidR="009B676D" w:rsidRPr="00F07C98" w:rsidRDefault="009B676D" w:rsidP="00F07C98">
      <w:pPr>
        <w:spacing w:line="480" w:lineRule="auto"/>
        <w:jc w:val="both"/>
        <w:rPr>
          <w:rFonts w:ascii="Arial" w:hAnsi="Arial" w:cs="Arial"/>
          <w:b/>
          <w:sz w:val="22"/>
          <w:szCs w:val="22"/>
        </w:rPr>
      </w:pPr>
      <w:r w:rsidRPr="00F07C98">
        <w:rPr>
          <w:rFonts w:ascii="Arial" w:hAnsi="Arial" w:cs="Arial"/>
          <w:b/>
          <w:sz w:val="22"/>
          <w:szCs w:val="22"/>
        </w:rPr>
        <w:t xml:space="preserve">Results </w:t>
      </w:r>
    </w:p>
    <w:p w14:paraId="4354D631" w14:textId="05E52430" w:rsidR="00E31A80" w:rsidRPr="00F07C98" w:rsidRDefault="00B6026E" w:rsidP="00F07C98">
      <w:pPr>
        <w:spacing w:line="480" w:lineRule="auto"/>
        <w:ind w:firstLine="567"/>
        <w:jc w:val="both"/>
        <w:rPr>
          <w:rFonts w:ascii="Arial" w:hAnsi="Arial" w:cs="Arial"/>
          <w:sz w:val="22"/>
          <w:szCs w:val="22"/>
        </w:rPr>
      </w:pPr>
      <w:r w:rsidRPr="00F07C98">
        <w:rPr>
          <w:rFonts w:ascii="Arial" w:hAnsi="Arial" w:cs="Arial"/>
          <w:sz w:val="22"/>
          <w:szCs w:val="22"/>
        </w:rPr>
        <w:t xml:space="preserve">At </w:t>
      </w:r>
      <w:r w:rsidR="00F813A8" w:rsidRPr="00F07C98">
        <w:rPr>
          <w:rFonts w:ascii="Arial" w:hAnsi="Arial" w:cs="Arial"/>
          <w:sz w:val="22"/>
          <w:szCs w:val="22"/>
        </w:rPr>
        <w:t xml:space="preserve">a </w:t>
      </w:r>
      <w:r w:rsidRPr="00F07C98">
        <w:rPr>
          <w:rFonts w:ascii="Arial" w:hAnsi="Arial" w:cs="Arial"/>
          <w:sz w:val="22"/>
          <w:szCs w:val="22"/>
        </w:rPr>
        <w:t>C/N ratio of 10, molasses consistently showed the lowest concentration during each time of sampling. At this C/N ratio however, the lowest TAN concentration after 28 h was still about 5 mg/L, in con</w:t>
      </w:r>
      <w:r w:rsidR="00F813A8" w:rsidRPr="00F07C98">
        <w:rPr>
          <w:rFonts w:ascii="Arial" w:hAnsi="Arial" w:cs="Arial"/>
          <w:sz w:val="22"/>
          <w:szCs w:val="22"/>
        </w:rPr>
        <w:t xml:space="preserve">trast to C/N ratio of 15 and 20 </w:t>
      </w:r>
      <w:r w:rsidRPr="00F07C98">
        <w:rPr>
          <w:rFonts w:ascii="Arial" w:hAnsi="Arial" w:cs="Arial"/>
          <w:sz w:val="22"/>
          <w:szCs w:val="22"/>
        </w:rPr>
        <w:t xml:space="preserve">which had reached 1.4 – 2.9 mg/L. During the first 12 h, it was clearly shown that at </w:t>
      </w:r>
      <w:r w:rsidR="00F813A8" w:rsidRPr="00F07C98">
        <w:rPr>
          <w:rFonts w:ascii="Arial" w:hAnsi="Arial" w:cs="Arial"/>
          <w:sz w:val="22"/>
          <w:szCs w:val="22"/>
        </w:rPr>
        <w:t xml:space="preserve">a </w:t>
      </w:r>
      <w:r w:rsidRPr="00F07C98">
        <w:rPr>
          <w:rFonts w:ascii="Arial" w:hAnsi="Arial" w:cs="Arial"/>
          <w:sz w:val="22"/>
          <w:szCs w:val="22"/>
        </w:rPr>
        <w:t>C/N ratio of 10, TAN concentration decreased gradually to half of the initial concentration. On the other hand, at C/N ratio of 15 and 20 TAN reduction</w:t>
      </w:r>
      <w:r w:rsidR="00F813A8" w:rsidRPr="00F07C98">
        <w:rPr>
          <w:rFonts w:ascii="Arial" w:hAnsi="Arial" w:cs="Arial"/>
          <w:sz w:val="22"/>
          <w:szCs w:val="22"/>
        </w:rPr>
        <w:t>s</w:t>
      </w:r>
      <w:r w:rsidRPr="00F07C98">
        <w:rPr>
          <w:rFonts w:ascii="Arial" w:hAnsi="Arial" w:cs="Arial"/>
          <w:sz w:val="22"/>
          <w:szCs w:val="22"/>
        </w:rPr>
        <w:t xml:space="preserve"> occurred at higher level. </w:t>
      </w:r>
    </w:p>
    <w:p w14:paraId="3CEF923A" w14:textId="77777777" w:rsidR="0088195C" w:rsidRPr="00F07C98" w:rsidRDefault="006D5F67" w:rsidP="00F07C98">
      <w:pPr>
        <w:spacing w:line="480" w:lineRule="auto"/>
        <w:jc w:val="both"/>
        <w:rPr>
          <w:rFonts w:ascii="Arial" w:hAnsi="Arial" w:cs="Arial"/>
          <w:sz w:val="22"/>
          <w:szCs w:val="22"/>
        </w:rPr>
      </w:pPr>
      <w:r w:rsidRPr="00F07C98">
        <w:rPr>
          <w:rFonts w:ascii="Arial" w:hAnsi="Arial" w:cs="Arial"/>
          <w:noProof/>
          <w:sz w:val="22"/>
          <w:szCs w:val="22"/>
          <w:lang w:val="id-ID" w:eastAsia="id-ID"/>
        </w:rPr>
        <w:drawing>
          <wp:inline distT="0" distB="0" distL="0" distR="0" wp14:anchorId="04F3E348" wp14:editId="1B62F17D">
            <wp:extent cx="2616200" cy="5080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 at different cn ratio .png"/>
                    <pic:cNvPicPr/>
                  </pic:nvPicPr>
                  <pic:blipFill>
                    <a:blip r:embed="rId6">
                      <a:extLst>
                        <a:ext uri="{28A0092B-C50C-407E-A947-70E740481C1C}">
                          <a14:useLocalDpi xmlns:a14="http://schemas.microsoft.com/office/drawing/2010/main" val="0"/>
                        </a:ext>
                      </a:extLst>
                    </a:blip>
                    <a:stretch>
                      <a:fillRect/>
                    </a:stretch>
                  </pic:blipFill>
                  <pic:spPr>
                    <a:xfrm>
                      <a:off x="0" y="0"/>
                      <a:ext cx="2616361" cy="5080595"/>
                    </a:xfrm>
                    <a:prstGeom prst="rect">
                      <a:avLst/>
                    </a:prstGeom>
                  </pic:spPr>
                </pic:pic>
              </a:graphicData>
            </a:graphic>
          </wp:inline>
        </w:drawing>
      </w:r>
    </w:p>
    <w:p w14:paraId="4DC989AB" w14:textId="22EB73BC" w:rsidR="006D5F67" w:rsidRPr="00F07C98" w:rsidRDefault="00866C50" w:rsidP="00F07C98">
      <w:pPr>
        <w:spacing w:line="480" w:lineRule="auto"/>
        <w:jc w:val="both"/>
        <w:rPr>
          <w:rFonts w:ascii="Arial" w:hAnsi="Arial" w:cs="Arial"/>
          <w:sz w:val="22"/>
          <w:szCs w:val="22"/>
        </w:rPr>
      </w:pPr>
      <w:r w:rsidRPr="00F07C98">
        <w:rPr>
          <w:rFonts w:ascii="Arial" w:hAnsi="Arial" w:cs="Arial"/>
          <w:sz w:val="22"/>
          <w:szCs w:val="22"/>
        </w:rPr>
        <w:lastRenderedPageBreak/>
        <w:t>Figure 1. Total ammonia nitrogen (TAN) conc</w:t>
      </w:r>
      <w:r w:rsidR="00B6026E" w:rsidRPr="00F07C98">
        <w:rPr>
          <w:rFonts w:ascii="Arial" w:hAnsi="Arial" w:cs="Arial"/>
          <w:sz w:val="22"/>
          <w:szCs w:val="22"/>
        </w:rPr>
        <w:t xml:space="preserve">entration of </w:t>
      </w:r>
      <w:proofErr w:type="spellStart"/>
      <w:r w:rsidR="00B6026E" w:rsidRPr="00F07C98">
        <w:rPr>
          <w:rFonts w:ascii="Arial" w:hAnsi="Arial" w:cs="Arial"/>
          <w:sz w:val="22"/>
          <w:szCs w:val="22"/>
        </w:rPr>
        <w:t>biofloc</w:t>
      </w:r>
      <w:proofErr w:type="spellEnd"/>
      <w:r w:rsidR="00B6026E" w:rsidRPr="00F07C98">
        <w:rPr>
          <w:rFonts w:ascii="Arial" w:hAnsi="Arial" w:cs="Arial"/>
          <w:sz w:val="22"/>
          <w:szCs w:val="22"/>
        </w:rPr>
        <w:t xml:space="preserve"> media with </w:t>
      </w:r>
      <w:r w:rsidRPr="00F07C98">
        <w:rPr>
          <w:rFonts w:ascii="Arial" w:hAnsi="Arial" w:cs="Arial"/>
          <w:sz w:val="22"/>
          <w:szCs w:val="22"/>
        </w:rPr>
        <w:t>different organic C source at C/N ratio of 10, 15, and 20</w:t>
      </w:r>
    </w:p>
    <w:p w14:paraId="7B44AE1B" w14:textId="28A98D38" w:rsidR="00866C50" w:rsidRPr="00F07C98" w:rsidRDefault="00872E76" w:rsidP="00F07C98">
      <w:pPr>
        <w:spacing w:line="480" w:lineRule="auto"/>
        <w:ind w:firstLine="567"/>
        <w:jc w:val="both"/>
        <w:rPr>
          <w:rFonts w:ascii="Arial" w:hAnsi="Arial" w:cs="Arial"/>
          <w:sz w:val="22"/>
          <w:szCs w:val="22"/>
        </w:rPr>
      </w:pPr>
      <w:r w:rsidRPr="00F07C98">
        <w:rPr>
          <w:rFonts w:ascii="Arial" w:hAnsi="Arial" w:cs="Arial"/>
          <w:sz w:val="22"/>
          <w:szCs w:val="22"/>
        </w:rPr>
        <w:t xml:space="preserve">Figure 2 presents total ammonia nitrogen concentration of </w:t>
      </w:r>
      <w:proofErr w:type="spellStart"/>
      <w:r w:rsidRPr="00F07C98">
        <w:rPr>
          <w:rFonts w:ascii="Arial" w:hAnsi="Arial" w:cs="Arial"/>
          <w:sz w:val="22"/>
          <w:szCs w:val="22"/>
        </w:rPr>
        <w:t>of</w:t>
      </w:r>
      <w:proofErr w:type="spellEnd"/>
      <w:r w:rsidRPr="00F07C98">
        <w:rPr>
          <w:rFonts w:ascii="Arial" w:hAnsi="Arial" w:cs="Arial"/>
          <w:sz w:val="22"/>
          <w:szCs w:val="22"/>
        </w:rPr>
        <w:t xml:space="preserve">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media with different organic carbon source. It is clearly shown that at C/N ratio of 15 and 20, all carbon source</w:t>
      </w:r>
      <w:r w:rsidR="00F813A8" w:rsidRPr="00F07C98">
        <w:rPr>
          <w:rFonts w:ascii="Arial" w:hAnsi="Arial" w:cs="Arial"/>
          <w:sz w:val="22"/>
          <w:szCs w:val="22"/>
        </w:rPr>
        <w:t>s</w:t>
      </w:r>
      <w:r w:rsidRPr="00F07C98">
        <w:rPr>
          <w:rFonts w:ascii="Arial" w:hAnsi="Arial" w:cs="Arial"/>
          <w:sz w:val="22"/>
          <w:szCs w:val="22"/>
        </w:rPr>
        <w:t xml:space="preserve"> showed the same trend, i.e. sharply decreased on the first 12 h </w:t>
      </w:r>
      <w:r w:rsidR="00EB2F91" w:rsidRPr="00F07C98">
        <w:rPr>
          <w:rFonts w:ascii="Arial" w:hAnsi="Arial" w:cs="Arial"/>
          <w:sz w:val="22"/>
          <w:szCs w:val="22"/>
        </w:rPr>
        <w:t>and relatively stable afterward. For molasses, tapioca and tapioca by product, during the first 8 h there was relatively no difference in TAN reduction l</w:t>
      </w:r>
      <w:r w:rsidR="00F813A8" w:rsidRPr="00F07C98">
        <w:rPr>
          <w:rFonts w:ascii="Arial" w:hAnsi="Arial" w:cs="Arial"/>
          <w:sz w:val="22"/>
          <w:szCs w:val="22"/>
        </w:rPr>
        <w:t xml:space="preserve">evel, </w:t>
      </w:r>
      <w:r w:rsidR="00EB2F91" w:rsidRPr="00F07C98">
        <w:rPr>
          <w:rFonts w:ascii="Arial" w:hAnsi="Arial" w:cs="Arial"/>
          <w:sz w:val="22"/>
          <w:szCs w:val="22"/>
        </w:rPr>
        <w:t>substantial differen</w:t>
      </w:r>
      <w:r w:rsidR="00F813A8" w:rsidRPr="00F07C98">
        <w:rPr>
          <w:rFonts w:ascii="Arial" w:hAnsi="Arial" w:cs="Arial"/>
          <w:sz w:val="22"/>
          <w:szCs w:val="22"/>
        </w:rPr>
        <w:t>ces between C/N ratios were</w:t>
      </w:r>
      <w:r w:rsidR="00D33B3E" w:rsidRPr="00F07C98">
        <w:rPr>
          <w:rFonts w:ascii="Arial" w:hAnsi="Arial" w:cs="Arial"/>
          <w:sz w:val="22"/>
          <w:szCs w:val="22"/>
        </w:rPr>
        <w:t xml:space="preserve"> started after 12 h onward. </w:t>
      </w:r>
      <w:r w:rsidR="00DB353F" w:rsidRPr="00F07C98">
        <w:rPr>
          <w:rFonts w:ascii="Arial" w:hAnsi="Arial" w:cs="Arial"/>
          <w:sz w:val="22"/>
          <w:szCs w:val="22"/>
        </w:rPr>
        <w:t>However, w</w:t>
      </w:r>
      <w:r w:rsidR="00D33B3E" w:rsidRPr="00F07C98">
        <w:rPr>
          <w:rFonts w:ascii="Arial" w:hAnsi="Arial" w:cs="Arial"/>
          <w:sz w:val="22"/>
          <w:szCs w:val="22"/>
        </w:rPr>
        <w:t>hen rice bran was used</w:t>
      </w:r>
      <w:r w:rsidR="00DB353F" w:rsidRPr="00F07C98">
        <w:rPr>
          <w:rFonts w:ascii="Arial" w:hAnsi="Arial" w:cs="Arial"/>
          <w:sz w:val="22"/>
          <w:szCs w:val="22"/>
        </w:rPr>
        <w:t>, a different trend was shown</w:t>
      </w:r>
      <w:r w:rsidR="00D33B3E" w:rsidRPr="00F07C98">
        <w:rPr>
          <w:rFonts w:ascii="Arial" w:hAnsi="Arial" w:cs="Arial"/>
          <w:sz w:val="22"/>
          <w:szCs w:val="22"/>
        </w:rPr>
        <w:t xml:space="preserve"> by C/N ratio 10 where TAN concentration gradually decreased but at a slower rate than those of C/N ratio 15 and 20.  </w:t>
      </w:r>
    </w:p>
    <w:p w14:paraId="66BCBA95" w14:textId="77777777" w:rsidR="00F813A8" w:rsidRPr="00F07C98" w:rsidRDefault="00F813A8" w:rsidP="00F07C98">
      <w:pPr>
        <w:spacing w:line="480" w:lineRule="auto"/>
        <w:jc w:val="both"/>
        <w:rPr>
          <w:rFonts w:ascii="Arial" w:hAnsi="Arial" w:cs="Arial"/>
          <w:sz w:val="22"/>
          <w:szCs w:val="22"/>
        </w:rPr>
      </w:pPr>
      <w:r w:rsidRPr="00F07C98">
        <w:rPr>
          <w:rFonts w:ascii="Arial" w:hAnsi="Arial" w:cs="Arial"/>
          <w:noProof/>
          <w:sz w:val="22"/>
          <w:szCs w:val="22"/>
          <w:lang w:val="id-ID" w:eastAsia="id-ID"/>
        </w:rPr>
        <w:drawing>
          <wp:inline distT="0" distB="0" distL="0" distR="0" wp14:anchorId="7AB91E9E" wp14:editId="2AD88883">
            <wp:extent cx="5270500" cy="366395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 at different c source.png"/>
                    <pic:cNvPicPr/>
                  </pic:nvPicPr>
                  <pic:blipFill>
                    <a:blip r:embed="rId7">
                      <a:extLst>
                        <a:ext uri="{28A0092B-C50C-407E-A947-70E740481C1C}">
                          <a14:useLocalDpi xmlns:a14="http://schemas.microsoft.com/office/drawing/2010/main" val="0"/>
                        </a:ext>
                      </a:extLst>
                    </a:blip>
                    <a:stretch>
                      <a:fillRect/>
                    </a:stretch>
                  </pic:blipFill>
                  <pic:spPr>
                    <a:xfrm>
                      <a:off x="0" y="0"/>
                      <a:ext cx="5270500" cy="3663950"/>
                    </a:xfrm>
                    <a:prstGeom prst="rect">
                      <a:avLst/>
                    </a:prstGeom>
                  </pic:spPr>
                </pic:pic>
              </a:graphicData>
            </a:graphic>
          </wp:inline>
        </w:drawing>
      </w:r>
    </w:p>
    <w:p w14:paraId="714EE521" w14:textId="77777777" w:rsidR="00F813A8" w:rsidRPr="00F07C98" w:rsidRDefault="00F813A8" w:rsidP="00F07C98">
      <w:pPr>
        <w:spacing w:line="480" w:lineRule="auto"/>
        <w:jc w:val="both"/>
        <w:rPr>
          <w:rFonts w:ascii="Arial" w:hAnsi="Arial" w:cs="Arial"/>
          <w:sz w:val="22"/>
          <w:szCs w:val="22"/>
        </w:rPr>
      </w:pPr>
      <w:r w:rsidRPr="00F07C98">
        <w:rPr>
          <w:rFonts w:ascii="Arial" w:hAnsi="Arial" w:cs="Arial"/>
          <w:sz w:val="22"/>
          <w:szCs w:val="22"/>
        </w:rPr>
        <w:t xml:space="preserve">Figure 2. Total ammonia nitrogen concentration in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media with different C/N ratio in each organic carbon source tested</w:t>
      </w:r>
    </w:p>
    <w:p w14:paraId="2D1B469B" w14:textId="77777777" w:rsidR="00F813A8" w:rsidRDefault="00F813A8" w:rsidP="00F07C98">
      <w:pPr>
        <w:spacing w:line="480" w:lineRule="auto"/>
        <w:ind w:firstLine="567"/>
        <w:jc w:val="both"/>
        <w:rPr>
          <w:rFonts w:ascii="Arial" w:hAnsi="Arial" w:cs="Arial"/>
          <w:sz w:val="22"/>
          <w:szCs w:val="22"/>
        </w:rPr>
      </w:pPr>
    </w:p>
    <w:p w14:paraId="0603D899" w14:textId="77777777" w:rsidR="00F07C98" w:rsidRDefault="00F07C98" w:rsidP="00F07C98">
      <w:pPr>
        <w:spacing w:line="480" w:lineRule="auto"/>
        <w:ind w:firstLine="567"/>
        <w:jc w:val="both"/>
        <w:rPr>
          <w:rFonts w:ascii="Arial" w:hAnsi="Arial" w:cs="Arial"/>
          <w:sz w:val="22"/>
          <w:szCs w:val="22"/>
        </w:rPr>
      </w:pPr>
    </w:p>
    <w:p w14:paraId="2FBB824D" w14:textId="77777777" w:rsidR="00F07C98" w:rsidRDefault="00F07C98" w:rsidP="00F07C98">
      <w:pPr>
        <w:spacing w:line="480" w:lineRule="auto"/>
        <w:ind w:firstLine="567"/>
        <w:jc w:val="both"/>
        <w:rPr>
          <w:rFonts w:ascii="Arial" w:hAnsi="Arial" w:cs="Arial"/>
          <w:sz w:val="22"/>
          <w:szCs w:val="22"/>
        </w:rPr>
      </w:pPr>
    </w:p>
    <w:p w14:paraId="50901A3A" w14:textId="77777777" w:rsidR="00F07C98" w:rsidRPr="00F07C98" w:rsidRDefault="00F07C98" w:rsidP="00F07C98">
      <w:pPr>
        <w:spacing w:line="480" w:lineRule="auto"/>
        <w:ind w:firstLine="567"/>
        <w:jc w:val="both"/>
        <w:rPr>
          <w:rFonts w:ascii="Arial" w:hAnsi="Arial" w:cs="Arial"/>
          <w:sz w:val="22"/>
          <w:szCs w:val="22"/>
        </w:rPr>
      </w:pPr>
    </w:p>
    <w:p w14:paraId="54434BB3" w14:textId="0E10B6BF" w:rsidR="000D1015" w:rsidRPr="00F07C98" w:rsidRDefault="00E31A80" w:rsidP="00F07C98">
      <w:pPr>
        <w:spacing w:line="480" w:lineRule="auto"/>
        <w:jc w:val="both"/>
        <w:rPr>
          <w:rFonts w:ascii="Arial" w:hAnsi="Arial" w:cs="Arial"/>
          <w:sz w:val="22"/>
          <w:szCs w:val="22"/>
        </w:rPr>
      </w:pPr>
      <w:r w:rsidRPr="00F07C98">
        <w:rPr>
          <w:rFonts w:ascii="Arial" w:hAnsi="Arial" w:cs="Arial"/>
          <w:sz w:val="22"/>
          <w:szCs w:val="22"/>
        </w:rPr>
        <w:lastRenderedPageBreak/>
        <w:t>Table</w:t>
      </w:r>
      <w:r w:rsidR="00054285" w:rsidRPr="00F07C98">
        <w:rPr>
          <w:rFonts w:ascii="Arial" w:hAnsi="Arial" w:cs="Arial"/>
          <w:sz w:val="22"/>
          <w:szCs w:val="22"/>
        </w:rPr>
        <w:t xml:space="preserve"> 2. Total ammonia reduction (%)</w:t>
      </w:r>
      <w:r w:rsidRPr="00F07C98">
        <w:rPr>
          <w:rFonts w:ascii="Arial" w:hAnsi="Arial" w:cs="Arial"/>
          <w:sz w:val="22"/>
          <w:szCs w:val="22"/>
        </w:rPr>
        <w:t xml:space="preserve"> in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medium with different organic carbon source at C/N ratio of 10, 15, and 20</w:t>
      </w:r>
      <w:r w:rsidR="00F813A8" w:rsidRPr="00F07C98">
        <w:rPr>
          <w:rFonts w:ascii="Arial" w:hAnsi="Arial" w:cs="Arial"/>
          <w:sz w:val="22"/>
          <w:szCs w:val="22"/>
        </w:rPr>
        <w:t xml:space="preserve"> at 28 hours after carbon source addition</w:t>
      </w:r>
      <w:r w:rsidR="0068627E" w:rsidRPr="00F07C98">
        <w:rPr>
          <w:rFonts w:ascii="Arial" w:hAnsi="Arial" w:cs="Arial"/>
          <w:sz w:val="22"/>
          <w:szCs w:val="22"/>
        </w:rPr>
        <w:t>.</w:t>
      </w:r>
    </w:p>
    <w:tbl>
      <w:tblPr>
        <w:tblW w:w="6747" w:type="dxa"/>
        <w:tblInd w:w="93" w:type="dxa"/>
        <w:tblLayout w:type="fixed"/>
        <w:tblLook w:val="04A0" w:firstRow="1" w:lastRow="0" w:firstColumn="1" w:lastColumn="0" w:noHBand="0" w:noVBand="1"/>
      </w:tblPr>
      <w:tblGrid>
        <w:gridCol w:w="2567"/>
        <w:gridCol w:w="1394"/>
        <w:gridCol w:w="1393"/>
        <w:gridCol w:w="1393"/>
      </w:tblGrid>
      <w:tr w:rsidR="00752953" w:rsidRPr="00F07C98" w14:paraId="45CF2E53" w14:textId="77777777" w:rsidTr="00752953">
        <w:trPr>
          <w:trHeight w:val="300"/>
        </w:trPr>
        <w:tc>
          <w:tcPr>
            <w:tcW w:w="2567" w:type="dxa"/>
            <w:vMerge w:val="restart"/>
            <w:tcBorders>
              <w:top w:val="single" w:sz="4" w:space="0" w:color="auto"/>
              <w:left w:val="nil"/>
              <w:bottom w:val="single" w:sz="4" w:space="0" w:color="000000"/>
              <w:right w:val="nil"/>
            </w:tcBorders>
            <w:shd w:val="clear" w:color="auto" w:fill="auto"/>
            <w:noWrap/>
            <w:vAlign w:val="center"/>
            <w:hideMark/>
          </w:tcPr>
          <w:p w14:paraId="263353CE" w14:textId="77777777" w:rsidR="00752953" w:rsidRPr="00F07C98" w:rsidRDefault="00752953"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Organic C source</w:t>
            </w:r>
          </w:p>
        </w:tc>
        <w:tc>
          <w:tcPr>
            <w:tcW w:w="4180" w:type="dxa"/>
            <w:gridSpan w:val="3"/>
            <w:tcBorders>
              <w:top w:val="single" w:sz="4" w:space="0" w:color="auto"/>
              <w:left w:val="nil"/>
              <w:bottom w:val="single" w:sz="4" w:space="0" w:color="auto"/>
              <w:right w:val="nil"/>
            </w:tcBorders>
            <w:shd w:val="clear" w:color="auto" w:fill="auto"/>
            <w:noWrap/>
            <w:vAlign w:val="center"/>
            <w:hideMark/>
          </w:tcPr>
          <w:p w14:paraId="1A22D842" w14:textId="207A2106" w:rsidR="00752953" w:rsidRPr="00F07C98" w:rsidRDefault="00665004"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Reduction (%)</w:t>
            </w:r>
            <w:r w:rsidR="0068627E" w:rsidRPr="00F07C98">
              <w:rPr>
                <w:rFonts w:ascii="Arial" w:eastAsia="Times New Roman" w:hAnsi="Arial" w:cs="Arial"/>
                <w:color w:val="000000"/>
                <w:sz w:val="22"/>
                <w:szCs w:val="22"/>
              </w:rPr>
              <w:t>*</w:t>
            </w:r>
          </w:p>
        </w:tc>
      </w:tr>
      <w:tr w:rsidR="00752953" w:rsidRPr="00F07C98" w14:paraId="06D220ED" w14:textId="77777777" w:rsidTr="00752953">
        <w:trPr>
          <w:trHeight w:val="300"/>
        </w:trPr>
        <w:tc>
          <w:tcPr>
            <w:tcW w:w="2567" w:type="dxa"/>
            <w:vMerge/>
            <w:tcBorders>
              <w:top w:val="single" w:sz="4" w:space="0" w:color="auto"/>
              <w:left w:val="nil"/>
              <w:bottom w:val="single" w:sz="4" w:space="0" w:color="000000"/>
              <w:right w:val="nil"/>
            </w:tcBorders>
            <w:vAlign w:val="center"/>
            <w:hideMark/>
          </w:tcPr>
          <w:p w14:paraId="3830F188" w14:textId="77777777" w:rsidR="00752953" w:rsidRPr="00F07C98" w:rsidRDefault="00752953" w:rsidP="00F07C98">
            <w:pPr>
              <w:jc w:val="both"/>
              <w:rPr>
                <w:rFonts w:ascii="Arial" w:eastAsia="Times New Roman" w:hAnsi="Arial" w:cs="Arial"/>
                <w:color w:val="000000"/>
                <w:sz w:val="22"/>
                <w:szCs w:val="22"/>
              </w:rPr>
            </w:pPr>
          </w:p>
        </w:tc>
        <w:tc>
          <w:tcPr>
            <w:tcW w:w="1394" w:type="dxa"/>
            <w:tcBorders>
              <w:top w:val="nil"/>
              <w:left w:val="nil"/>
              <w:bottom w:val="single" w:sz="4" w:space="0" w:color="auto"/>
              <w:right w:val="nil"/>
            </w:tcBorders>
            <w:shd w:val="clear" w:color="auto" w:fill="auto"/>
            <w:noWrap/>
            <w:vAlign w:val="center"/>
            <w:hideMark/>
          </w:tcPr>
          <w:p w14:paraId="48AEBDE8" w14:textId="20A11B01" w:rsidR="00752953" w:rsidRPr="00F07C98" w:rsidRDefault="00752953"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C/N</w:t>
            </w:r>
            <w:r w:rsidR="00EB6261" w:rsidRPr="00F07C98">
              <w:rPr>
                <w:rFonts w:ascii="Arial" w:eastAsia="Times New Roman" w:hAnsi="Arial" w:cs="Arial"/>
                <w:color w:val="000000"/>
                <w:sz w:val="22"/>
                <w:szCs w:val="22"/>
              </w:rPr>
              <w:t xml:space="preserve"> </w:t>
            </w:r>
            <w:r w:rsidRPr="00F07C98">
              <w:rPr>
                <w:rFonts w:ascii="Arial" w:eastAsia="Times New Roman" w:hAnsi="Arial" w:cs="Arial"/>
                <w:color w:val="000000"/>
                <w:sz w:val="22"/>
                <w:szCs w:val="22"/>
              </w:rPr>
              <w:t>10</w:t>
            </w:r>
          </w:p>
        </w:tc>
        <w:tc>
          <w:tcPr>
            <w:tcW w:w="1393" w:type="dxa"/>
            <w:tcBorders>
              <w:top w:val="nil"/>
              <w:left w:val="nil"/>
              <w:bottom w:val="single" w:sz="4" w:space="0" w:color="auto"/>
              <w:right w:val="nil"/>
            </w:tcBorders>
            <w:shd w:val="clear" w:color="auto" w:fill="auto"/>
            <w:noWrap/>
            <w:vAlign w:val="center"/>
            <w:hideMark/>
          </w:tcPr>
          <w:p w14:paraId="72B83C67" w14:textId="14E84D01" w:rsidR="00752953" w:rsidRPr="00F07C98" w:rsidRDefault="00752953"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C/N</w:t>
            </w:r>
            <w:r w:rsidR="00EB6261" w:rsidRPr="00F07C98">
              <w:rPr>
                <w:rFonts w:ascii="Arial" w:eastAsia="Times New Roman" w:hAnsi="Arial" w:cs="Arial"/>
                <w:color w:val="000000"/>
                <w:sz w:val="22"/>
                <w:szCs w:val="22"/>
              </w:rPr>
              <w:t xml:space="preserve"> </w:t>
            </w:r>
            <w:r w:rsidRPr="00F07C98">
              <w:rPr>
                <w:rFonts w:ascii="Arial" w:eastAsia="Times New Roman" w:hAnsi="Arial" w:cs="Arial"/>
                <w:color w:val="000000"/>
                <w:sz w:val="22"/>
                <w:szCs w:val="22"/>
              </w:rPr>
              <w:t>15</w:t>
            </w:r>
          </w:p>
        </w:tc>
        <w:tc>
          <w:tcPr>
            <w:tcW w:w="1393" w:type="dxa"/>
            <w:tcBorders>
              <w:top w:val="nil"/>
              <w:left w:val="nil"/>
              <w:bottom w:val="single" w:sz="4" w:space="0" w:color="auto"/>
              <w:right w:val="nil"/>
            </w:tcBorders>
            <w:shd w:val="clear" w:color="auto" w:fill="auto"/>
            <w:noWrap/>
            <w:vAlign w:val="center"/>
            <w:hideMark/>
          </w:tcPr>
          <w:p w14:paraId="20F2346E" w14:textId="77777777" w:rsidR="00752953" w:rsidRPr="00F07C98" w:rsidRDefault="00752953"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C/N 20</w:t>
            </w:r>
          </w:p>
        </w:tc>
      </w:tr>
      <w:tr w:rsidR="00752953" w:rsidRPr="00F07C98" w14:paraId="022555DC" w14:textId="77777777" w:rsidTr="00752953">
        <w:trPr>
          <w:trHeight w:val="300"/>
        </w:trPr>
        <w:tc>
          <w:tcPr>
            <w:tcW w:w="2567" w:type="dxa"/>
            <w:tcBorders>
              <w:top w:val="nil"/>
              <w:left w:val="nil"/>
              <w:bottom w:val="nil"/>
              <w:right w:val="nil"/>
            </w:tcBorders>
            <w:shd w:val="clear" w:color="auto" w:fill="auto"/>
            <w:noWrap/>
            <w:vAlign w:val="center"/>
            <w:hideMark/>
          </w:tcPr>
          <w:p w14:paraId="4645EA15" w14:textId="77777777" w:rsidR="00752953" w:rsidRPr="00F07C98" w:rsidRDefault="00752953"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Molasses</w:t>
            </w:r>
          </w:p>
        </w:tc>
        <w:tc>
          <w:tcPr>
            <w:tcW w:w="1394" w:type="dxa"/>
            <w:tcBorders>
              <w:top w:val="nil"/>
              <w:left w:val="nil"/>
              <w:bottom w:val="nil"/>
              <w:right w:val="nil"/>
            </w:tcBorders>
            <w:shd w:val="clear" w:color="auto" w:fill="auto"/>
            <w:noWrap/>
            <w:vAlign w:val="center"/>
            <w:hideMark/>
          </w:tcPr>
          <w:p w14:paraId="0331F422" w14:textId="3F4F8AD0" w:rsidR="00752953" w:rsidRPr="00F07C98" w:rsidRDefault="008B603F"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73</w:t>
            </w:r>
            <w:r w:rsidR="000A0B34" w:rsidRPr="00F07C98">
              <w:rPr>
                <w:rFonts w:ascii="Arial" w:eastAsia="Times New Roman" w:hAnsi="Arial" w:cs="Arial"/>
                <w:color w:val="000000"/>
                <w:sz w:val="22"/>
                <w:szCs w:val="22"/>
              </w:rPr>
              <w:t>±2</w:t>
            </w:r>
            <w:r w:rsidR="006D0496"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2E6F8149" w14:textId="6F603BE3" w:rsidR="00752953" w:rsidRPr="00F07C98" w:rsidRDefault="008B603F"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91±2</w:t>
            </w:r>
            <w:r w:rsidR="006D0496"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06BFAB90" w14:textId="7951F478" w:rsidR="00752953" w:rsidRPr="00F07C98" w:rsidRDefault="000A0B34"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93</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1</w:t>
            </w:r>
            <w:r w:rsidR="006D0496"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r>
      <w:tr w:rsidR="00752953" w:rsidRPr="00F07C98" w14:paraId="4CEE6197" w14:textId="77777777" w:rsidTr="00752953">
        <w:trPr>
          <w:trHeight w:val="300"/>
        </w:trPr>
        <w:tc>
          <w:tcPr>
            <w:tcW w:w="2567" w:type="dxa"/>
            <w:tcBorders>
              <w:top w:val="nil"/>
              <w:left w:val="nil"/>
              <w:bottom w:val="nil"/>
              <w:right w:val="nil"/>
            </w:tcBorders>
            <w:shd w:val="clear" w:color="auto" w:fill="auto"/>
            <w:noWrap/>
            <w:vAlign w:val="center"/>
            <w:hideMark/>
          </w:tcPr>
          <w:p w14:paraId="6D5B8248" w14:textId="77777777" w:rsidR="00752953" w:rsidRPr="00F07C98" w:rsidRDefault="00752953"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Tapioca</w:t>
            </w:r>
          </w:p>
        </w:tc>
        <w:tc>
          <w:tcPr>
            <w:tcW w:w="1394" w:type="dxa"/>
            <w:tcBorders>
              <w:top w:val="nil"/>
              <w:left w:val="nil"/>
              <w:bottom w:val="nil"/>
              <w:right w:val="nil"/>
            </w:tcBorders>
            <w:shd w:val="clear" w:color="auto" w:fill="auto"/>
            <w:noWrap/>
            <w:vAlign w:val="center"/>
            <w:hideMark/>
          </w:tcPr>
          <w:p w14:paraId="6AA1E830" w14:textId="5A6526B9" w:rsidR="00752953" w:rsidRPr="00F07C98" w:rsidRDefault="000A0B34"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71±1</w:t>
            </w:r>
            <w:r w:rsidR="006D0496"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605556B9" w14:textId="043B9678" w:rsidR="00752953" w:rsidRPr="00F07C98" w:rsidRDefault="000A0B34"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87</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2</w:t>
            </w:r>
            <w:r w:rsidR="006D0496" w:rsidRPr="00F07C98">
              <w:rPr>
                <w:rFonts w:ascii="Arial" w:eastAsia="Times New Roman" w:hAnsi="Arial" w:cs="Arial"/>
                <w:color w:val="000000"/>
                <w:sz w:val="22"/>
                <w:szCs w:val="22"/>
                <w:vertAlign w:val="superscript"/>
              </w:rPr>
              <w:t>ab</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44ECD684" w14:textId="3B0C9BDD" w:rsidR="00752953" w:rsidRPr="00F07C98" w:rsidRDefault="000A0B34"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88</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2</w:t>
            </w:r>
            <w:r w:rsidR="006D0496" w:rsidRPr="00F07C98">
              <w:rPr>
                <w:rFonts w:ascii="Arial" w:eastAsia="Times New Roman" w:hAnsi="Arial" w:cs="Arial"/>
                <w:color w:val="000000"/>
                <w:sz w:val="22"/>
                <w:szCs w:val="22"/>
                <w:vertAlign w:val="superscript"/>
              </w:rPr>
              <w:t>b</w:t>
            </w:r>
            <w:r w:rsidR="000D1015" w:rsidRPr="00F07C98">
              <w:rPr>
                <w:rFonts w:ascii="Arial" w:eastAsia="Times New Roman" w:hAnsi="Arial" w:cs="Arial"/>
                <w:color w:val="000000"/>
                <w:sz w:val="22"/>
                <w:szCs w:val="22"/>
                <w:vertAlign w:val="superscript"/>
              </w:rPr>
              <w:t>‡</w:t>
            </w:r>
          </w:p>
        </w:tc>
      </w:tr>
      <w:tr w:rsidR="006D0496" w:rsidRPr="00F07C98" w14:paraId="674782AC" w14:textId="77777777" w:rsidTr="000D1015">
        <w:trPr>
          <w:trHeight w:val="300"/>
        </w:trPr>
        <w:tc>
          <w:tcPr>
            <w:tcW w:w="2567" w:type="dxa"/>
            <w:tcBorders>
              <w:top w:val="nil"/>
              <w:left w:val="nil"/>
              <w:bottom w:val="nil"/>
              <w:right w:val="nil"/>
            </w:tcBorders>
            <w:shd w:val="clear" w:color="auto" w:fill="auto"/>
            <w:noWrap/>
            <w:vAlign w:val="center"/>
            <w:hideMark/>
          </w:tcPr>
          <w:p w14:paraId="1A4A3E08" w14:textId="77777777" w:rsidR="006D0496" w:rsidRPr="00F07C98" w:rsidRDefault="006D0496"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Tapioca by product</w:t>
            </w:r>
          </w:p>
        </w:tc>
        <w:tc>
          <w:tcPr>
            <w:tcW w:w="1394" w:type="dxa"/>
            <w:tcBorders>
              <w:top w:val="nil"/>
              <w:left w:val="nil"/>
              <w:bottom w:val="nil"/>
              <w:right w:val="nil"/>
            </w:tcBorders>
            <w:shd w:val="clear" w:color="auto" w:fill="auto"/>
            <w:noWrap/>
            <w:vAlign w:val="center"/>
            <w:hideMark/>
          </w:tcPr>
          <w:p w14:paraId="2D3A7B98" w14:textId="1E1AAB1A" w:rsidR="006D0496" w:rsidRPr="00F07C98" w:rsidRDefault="006D0496"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69±4</w:t>
            </w:r>
            <w:r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37A44305" w14:textId="50998C63" w:rsidR="006D0496" w:rsidRPr="00F07C98" w:rsidRDefault="006D0496"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86±1</w:t>
            </w:r>
            <w:r w:rsidRPr="00F07C98">
              <w:rPr>
                <w:rFonts w:ascii="Arial" w:eastAsia="Times New Roman" w:hAnsi="Arial" w:cs="Arial"/>
                <w:color w:val="000000"/>
                <w:sz w:val="22"/>
                <w:szCs w:val="22"/>
                <w:vertAlign w:val="superscript"/>
              </w:rPr>
              <w:t>b</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nil"/>
              <w:right w:val="nil"/>
            </w:tcBorders>
            <w:shd w:val="clear" w:color="auto" w:fill="auto"/>
            <w:noWrap/>
            <w:vAlign w:val="center"/>
            <w:hideMark/>
          </w:tcPr>
          <w:p w14:paraId="33ABF7A0" w14:textId="6321D39C" w:rsidR="006D0496" w:rsidRPr="00F07C98" w:rsidRDefault="006D0496"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87±0</w:t>
            </w:r>
            <w:r w:rsidRPr="00F07C98">
              <w:rPr>
                <w:rFonts w:ascii="Arial" w:eastAsia="Times New Roman" w:hAnsi="Arial" w:cs="Arial"/>
                <w:color w:val="000000"/>
                <w:sz w:val="22"/>
                <w:szCs w:val="22"/>
                <w:vertAlign w:val="superscript"/>
              </w:rPr>
              <w:t>b</w:t>
            </w:r>
            <w:r w:rsidR="000D1015" w:rsidRPr="00F07C98">
              <w:rPr>
                <w:rFonts w:ascii="Arial" w:eastAsia="Times New Roman" w:hAnsi="Arial" w:cs="Arial"/>
                <w:color w:val="000000"/>
                <w:sz w:val="22"/>
                <w:szCs w:val="22"/>
                <w:vertAlign w:val="superscript"/>
              </w:rPr>
              <w:t>‡</w:t>
            </w:r>
          </w:p>
        </w:tc>
      </w:tr>
      <w:tr w:rsidR="00752953" w:rsidRPr="00F07C98" w14:paraId="5E4407D5" w14:textId="77777777" w:rsidTr="00752953">
        <w:trPr>
          <w:trHeight w:val="300"/>
        </w:trPr>
        <w:tc>
          <w:tcPr>
            <w:tcW w:w="2567" w:type="dxa"/>
            <w:tcBorders>
              <w:top w:val="nil"/>
              <w:left w:val="nil"/>
              <w:bottom w:val="single" w:sz="4" w:space="0" w:color="auto"/>
              <w:right w:val="nil"/>
            </w:tcBorders>
            <w:shd w:val="clear" w:color="auto" w:fill="auto"/>
            <w:noWrap/>
            <w:vAlign w:val="center"/>
            <w:hideMark/>
          </w:tcPr>
          <w:p w14:paraId="60EB10DE" w14:textId="77777777" w:rsidR="00752953" w:rsidRPr="00F07C98" w:rsidRDefault="00752953"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Rice bran</w:t>
            </w:r>
          </w:p>
        </w:tc>
        <w:tc>
          <w:tcPr>
            <w:tcW w:w="1394" w:type="dxa"/>
            <w:tcBorders>
              <w:top w:val="nil"/>
              <w:left w:val="nil"/>
              <w:bottom w:val="single" w:sz="4" w:space="0" w:color="auto"/>
              <w:right w:val="nil"/>
            </w:tcBorders>
            <w:shd w:val="clear" w:color="auto" w:fill="auto"/>
            <w:noWrap/>
            <w:vAlign w:val="center"/>
            <w:hideMark/>
          </w:tcPr>
          <w:p w14:paraId="34F30BCA" w14:textId="4799D1C3" w:rsidR="00752953" w:rsidRPr="00F07C98" w:rsidRDefault="00054285"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65</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6</w:t>
            </w:r>
            <w:r w:rsidR="006D0496" w:rsidRPr="00F07C98">
              <w:rPr>
                <w:rFonts w:ascii="Arial" w:eastAsia="Times New Roman" w:hAnsi="Arial" w:cs="Arial"/>
                <w:color w:val="000000"/>
                <w:sz w:val="22"/>
                <w:szCs w:val="22"/>
                <w:vertAlign w:val="superscript"/>
              </w:rPr>
              <w:t>a</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single" w:sz="4" w:space="0" w:color="auto"/>
              <w:right w:val="nil"/>
            </w:tcBorders>
            <w:shd w:val="clear" w:color="auto" w:fill="auto"/>
            <w:noWrap/>
            <w:vAlign w:val="center"/>
            <w:hideMark/>
          </w:tcPr>
          <w:p w14:paraId="6B180784" w14:textId="14183600" w:rsidR="00752953" w:rsidRPr="00F07C98" w:rsidRDefault="00054285"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87</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1</w:t>
            </w:r>
            <w:r w:rsidR="006D0496" w:rsidRPr="00F07C98">
              <w:rPr>
                <w:rFonts w:ascii="Arial" w:eastAsia="Times New Roman" w:hAnsi="Arial" w:cs="Arial"/>
                <w:color w:val="000000"/>
                <w:sz w:val="22"/>
                <w:szCs w:val="22"/>
                <w:vertAlign w:val="superscript"/>
              </w:rPr>
              <w:t>b</w:t>
            </w:r>
            <w:r w:rsidR="000D1015" w:rsidRPr="00F07C98">
              <w:rPr>
                <w:rFonts w:ascii="Arial" w:eastAsia="Times New Roman" w:hAnsi="Arial" w:cs="Arial"/>
                <w:color w:val="000000"/>
                <w:sz w:val="22"/>
                <w:szCs w:val="22"/>
                <w:vertAlign w:val="superscript"/>
              </w:rPr>
              <w:t>‡</w:t>
            </w:r>
          </w:p>
        </w:tc>
        <w:tc>
          <w:tcPr>
            <w:tcW w:w="1393" w:type="dxa"/>
            <w:tcBorders>
              <w:top w:val="nil"/>
              <w:left w:val="nil"/>
              <w:bottom w:val="single" w:sz="4" w:space="0" w:color="auto"/>
              <w:right w:val="nil"/>
            </w:tcBorders>
            <w:shd w:val="clear" w:color="auto" w:fill="auto"/>
            <w:noWrap/>
            <w:vAlign w:val="center"/>
            <w:hideMark/>
          </w:tcPr>
          <w:p w14:paraId="13E54991" w14:textId="262CE61C" w:rsidR="00752953" w:rsidRPr="00F07C98" w:rsidRDefault="00054285"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86</w:t>
            </w:r>
            <w:r w:rsidR="00752953" w:rsidRPr="00F07C98">
              <w:rPr>
                <w:rFonts w:ascii="Arial" w:eastAsia="Times New Roman" w:hAnsi="Arial" w:cs="Arial"/>
                <w:color w:val="000000"/>
                <w:sz w:val="22"/>
                <w:szCs w:val="22"/>
              </w:rPr>
              <w:t>±</w:t>
            </w:r>
            <w:r w:rsidRPr="00F07C98">
              <w:rPr>
                <w:rFonts w:ascii="Arial" w:eastAsia="Times New Roman" w:hAnsi="Arial" w:cs="Arial"/>
                <w:color w:val="000000"/>
                <w:sz w:val="22"/>
                <w:szCs w:val="22"/>
              </w:rPr>
              <w:t>3</w:t>
            </w:r>
            <w:r w:rsidR="006D0496" w:rsidRPr="00F07C98">
              <w:rPr>
                <w:rFonts w:ascii="Arial" w:eastAsia="Times New Roman" w:hAnsi="Arial" w:cs="Arial"/>
                <w:color w:val="000000"/>
                <w:sz w:val="22"/>
                <w:szCs w:val="22"/>
                <w:vertAlign w:val="superscript"/>
              </w:rPr>
              <w:t>b</w:t>
            </w:r>
            <w:r w:rsidR="000D1015" w:rsidRPr="00F07C98">
              <w:rPr>
                <w:rFonts w:ascii="Arial" w:eastAsia="Times New Roman" w:hAnsi="Arial" w:cs="Arial"/>
                <w:color w:val="000000"/>
                <w:sz w:val="22"/>
                <w:szCs w:val="22"/>
                <w:vertAlign w:val="superscript"/>
              </w:rPr>
              <w:t>‡</w:t>
            </w:r>
          </w:p>
        </w:tc>
      </w:tr>
    </w:tbl>
    <w:p w14:paraId="3C112CEC" w14:textId="7C9884AC" w:rsidR="000D1015" w:rsidRPr="00F07C98" w:rsidRDefault="0068627E" w:rsidP="00F07C98">
      <w:pPr>
        <w:spacing w:line="480" w:lineRule="auto"/>
        <w:jc w:val="both"/>
        <w:rPr>
          <w:rFonts w:ascii="Arial" w:hAnsi="Arial" w:cs="Arial"/>
          <w:sz w:val="22"/>
          <w:szCs w:val="22"/>
        </w:rPr>
      </w:pPr>
      <w:r w:rsidRPr="00F07C98">
        <w:rPr>
          <w:rFonts w:ascii="Arial" w:hAnsi="Arial" w:cs="Arial"/>
          <w:sz w:val="22"/>
          <w:szCs w:val="22"/>
        </w:rPr>
        <w:t xml:space="preserve">* </w:t>
      </w:r>
      <w:r w:rsidR="000D1015" w:rsidRPr="00F07C98">
        <w:rPr>
          <w:rFonts w:ascii="Arial" w:hAnsi="Arial" w:cs="Arial"/>
          <w:sz w:val="22"/>
          <w:szCs w:val="22"/>
        </w:rPr>
        <w:t xml:space="preserve">Different </w:t>
      </w:r>
      <w:r w:rsidRPr="00F07C98">
        <w:rPr>
          <w:rFonts w:ascii="Arial" w:hAnsi="Arial" w:cs="Arial"/>
          <w:sz w:val="22"/>
          <w:szCs w:val="22"/>
        </w:rPr>
        <w:t xml:space="preserve">superscript </w:t>
      </w:r>
      <w:r w:rsidR="00342478" w:rsidRPr="00F07C98">
        <w:rPr>
          <w:rFonts w:ascii="Arial" w:hAnsi="Arial" w:cs="Arial"/>
          <w:sz w:val="22"/>
          <w:szCs w:val="22"/>
        </w:rPr>
        <w:t xml:space="preserve">symbol </w:t>
      </w:r>
      <w:r w:rsidR="000D1015" w:rsidRPr="00F07C98">
        <w:rPr>
          <w:rFonts w:ascii="Arial" w:hAnsi="Arial" w:cs="Arial"/>
          <w:sz w:val="22"/>
          <w:szCs w:val="22"/>
        </w:rPr>
        <w:t>following mean values in the same row indicate</w:t>
      </w:r>
      <w:r w:rsidRPr="00F07C98">
        <w:rPr>
          <w:rFonts w:ascii="Arial" w:hAnsi="Arial" w:cs="Arial"/>
          <w:sz w:val="22"/>
          <w:szCs w:val="22"/>
        </w:rPr>
        <w:t>s</w:t>
      </w:r>
      <w:r w:rsidR="000D1015" w:rsidRPr="00F07C98">
        <w:rPr>
          <w:rFonts w:ascii="Arial" w:hAnsi="Arial" w:cs="Arial"/>
          <w:sz w:val="22"/>
          <w:szCs w:val="22"/>
        </w:rPr>
        <w:t xml:space="preserve"> significant difference (P&lt;0.05). Different </w:t>
      </w:r>
      <w:r w:rsidRPr="00F07C98">
        <w:rPr>
          <w:rFonts w:ascii="Arial" w:hAnsi="Arial" w:cs="Arial"/>
          <w:sz w:val="22"/>
          <w:szCs w:val="22"/>
        </w:rPr>
        <w:t>superscript letter following mean values in the same column indicates significant difference (P&lt;0.05).</w:t>
      </w:r>
    </w:p>
    <w:p w14:paraId="606DE208" w14:textId="3D4E57D0" w:rsidR="00D458A3" w:rsidRPr="00F07C98" w:rsidRDefault="00B6026E" w:rsidP="00F07C98">
      <w:pPr>
        <w:spacing w:line="480" w:lineRule="auto"/>
        <w:ind w:firstLine="567"/>
        <w:jc w:val="both"/>
        <w:rPr>
          <w:rFonts w:ascii="Arial" w:hAnsi="Arial" w:cs="Arial"/>
          <w:sz w:val="22"/>
          <w:szCs w:val="22"/>
        </w:rPr>
      </w:pPr>
      <w:r w:rsidRPr="00F07C98">
        <w:rPr>
          <w:rFonts w:ascii="Arial" w:hAnsi="Arial" w:cs="Arial"/>
          <w:sz w:val="22"/>
          <w:szCs w:val="22"/>
        </w:rPr>
        <w:t>Total ammonia reduction percentage</w:t>
      </w:r>
      <w:r w:rsidR="000873B2" w:rsidRPr="00F07C98">
        <w:rPr>
          <w:rFonts w:ascii="Arial" w:hAnsi="Arial" w:cs="Arial"/>
          <w:sz w:val="22"/>
          <w:szCs w:val="22"/>
        </w:rPr>
        <w:t xml:space="preserve"> in </w:t>
      </w:r>
      <w:proofErr w:type="spellStart"/>
      <w:r w:rsidR="000873B2" w:rsidRPr="00F07C98">
        <w:rPr>
          <w:rFonts w:ascii="Arial" w:hAnsi="Arial" w:cs="Arial"/>
          <w:sz w:val="22"/>
          <w:szCs w:val="22"/>
        </w:rPr>
        <w:t>biofloc</w:t>
      </w:r>
      <w:proofErr w:type="spellEnd"/>
      <w:r w:rsidR="000873B2" w:rsidRPr="00F07C98">
        <w:rPr>
          <w:rFonts w:ascii="Arial" w:hAnsi="Arial" w:cs="Arial"/>
          <w:sz w:val="22"/>
          <w:szCs w:val="22"/>
        </w:rPr>
        <w:t xml:space="preserve"> medium is presented in Table 2. Two way ANOVA analysis showed that there was </w:t>
      </w:r>
      <w:r w:rsidR="0068627E" w:rsidRPr="00F07C98">
        <w:rPr>
          <w:rFonts w:ascii="Arial" w:hAnsi="Arial" w:cs="Arial"/>
          <w:sz w:val="22"/>
          <w:szCs w:val="22"/>
        </w:rPr>
        <w:t xml:space="preserve">no </w:t>
      </w:r>
      <w:r w:rsidR="000873B2" w:rsidRPr="00F07C98">
        <w:rPr>
          <w:rFonts w:ascii="Arial" w:hAnsi="Arial" w:cs="Arial"/>
          <w:sz w:val="22"/>
          <w:szCs w:val="22"/>
        </w:rPr>
        <w:t>significant interaction between the type of organic C source and the C/N rati</w:t>
      </w:r>
      <w:r w:rsidRPr="00F07C98">
        <w:rPr>
          <w:rFonts w:ascii="Arial" w:hAnsi="Arial" w:cs="Arial"/>
          <w:sz w:val="22"/>
          <w:szCs w:val="22"/>
        </w:rPr>
        <w:t xml:space="preserve">o applied in the reduction percentage </w:t>
      </w:r>
      <w:r w:rsidR="000873B2" w:rsidRPr="00F07C98">
        <w:rPr>
          <w:rFonts w:ascii="Arial" w:hAnsi="Arial" w:cs="Arial"/>
          <w:sz w:val="22"/>
          <w:szCs w:val="22"/>
        </w:rPr>
        <w:t xml:space="preserve">of TAN in </w:t>
      </w:r>
      <w:proofErr w:type="spellStart"/>
      <w:r w:rsidR="000873B2" w:rsidRPr="00F07C98">
        <w:rPr>
          <w:rFonts w:ascii="Arial" w:hAnsi="Arial" w:cs="Arial"/>
          <w:sz w:val="22"/>
          <w:szCs w:val="22"/>
        </w:rPr>
        <w:t>biofloc</w:t>
      </w:r>
      <w:proofErr w:type="spellEnd"/>
      <w:r w:rsidR="000873B2" w:rsidRPr="00F07C98">
        <w:rPr>
          <w:rFonts w:ascii="Arial" w:hAnsi="Arial" w:cs="Arial"/>
          <w:sz w:val="22"/>
          <w:szCs w:val="22"/>
        </w:rPr>
        <w:t xml:space="preserve"> medium</w:t>
      </w:r>
      <w:r w:rsidR="0068627E" w:rsidRPr="00F07C98">
        <w:rPr>
          <w:rFonts w:ascii="Arial" w:hAnsi="Arial" w:cs="Arial"/>
          <w:sz w:val="22"/>
          <w:szCs w:val="22"/>
        </w:rPr>
        <w:t xml:space="preserve"> (P&lt;0.05)</w:t>
      </w:r>
      <w:r w:rsidR="000873B2" w:rsidRPr="00F07C98">
        <w:rPr>
          <w:rFonts w:ascii="Arial" w:hAnsi="Arial" w:cs="Arial"/>
          <w:sz w:val="22"/>
          <w:szCs w:val="22"/>
        </w:rPr>
        <w:t xml:space="preserve">. Both C/N ratio and organic C source </w:t>
      </w:r>
      <w:r w:rsidR="00C90C91" w:rsidRPr="00F07C98">
        <w:rPr>
          <w:rFonts w:ascii="Arial" w:hAnsi="Arial" w:cs="Arial"/>
          <w:sz w:val="22"/>
          <w:szCs w:val="22"/>
        </w:rPr>
        <w:t>signific</w:t>
      </w:r>
      <w:r w:rsidRPr="00F07C98">
        <w:rPr>
          <w:rFonts w:ascii="Arial" w:hAnsi="Arial" w:cs="Arial"/>
          <w:sz w:val="22"/>
          <w:szCs w:val="22"/>
        </w:rPr>
        <w:t>antly affect TAN reduction percentage</w:t>
      </w:r>
      <w:r w:rsidR="00723627" w:rsidRPr="00F07C98">
        <w:rPr>
          <w:rFonts w:ascii="Arial" w:hAnsi="Arial" w:cs="Arial"/>
          <w:sz w:val="22"/>
          <w:szCs w:val="22"/>
        </w:rPr>
        <w:t>. The highest TAN reduction</w:t>
      </w:r>
      <w:r w:rsidR="00C90C91" w:rsidRPr="00F07C98">
        <w:rPr>
          <w:rFonts w:ascii="Arial" w:hAnsi="Arial" w:cs="Arial"/>
          <w:sz w:val="22"/>
          <w:szCs w:val="22"/>
        </w:rPr>
        <w:t xml:space="preserve"> was observed when using molasses as the carbon s</w:t>
      </w:r>
      <w:r w:rsidR="00723627" w:rsidRPr="00F07C98">
        <w:rPr>
          <w:rFonts w:ascii="Arial" w:hAnsi="Arial" w:cs="Arial"/>
          <w:sz w:val="22"/>
          <w:szCs w:val="22"/>
        </w:rPr>
        <w:t>ource at a C/N ratio of 20 (93</w:t>
      </w:r>
      <w:r w:rsidR="00C90C91" w:rsidRPr="00F07C98">
        <w:rPr>
          <w:rFonts w:ascii="Arial" w:hAnsi="Arial" w:cs="Arial"/>
          <w:sz w:val="22"/>
          <w:szCs w:val="22"/>
        </w:rPr>
        <w:t>%), whereas the lowest was shown by rice bran at 10 C/N ratio (</w:t>
      </w:r>
      <w:r w:rsidR="00723627" w:rsidRPr="00F07C98">
        <w:rPr>
          <w:rFonts w:ascii="Arial" w:hAnsi="Arial" w:cs="Arial"/>
          <w:sz w:val="22"/>
          <w:szCs w:val="22"/>
        </w:rPr>
        <w:t>65%</w:t>
      </w:r>
      <w:r w:rsidR="00C90C91" w:rsidRPr="00F07C98">
        <w:rPr>
          <w:rFonts w:ascii="Arial" w:hAnsi="Arial" w:cs="Arial"/>
          <w:sz w:val="22"/>
          <w:szCs w:val="22"/>
        </w:rPr>
        <w:t>).</w:t>
      </w:r>
      <w:r w:rsidR="00EB6261" w:rsidRPr="00F07C98">
        <w:rPr>
          <w:rFonts w:ascii="Arial" w:hAnsi="Arial" w:cs="Arial"/>
          <w:sz w:val="22"/>
          <w:szCs w:val="22"/>
        </w:rPr>
        <w:t xml:space="preserve"> </w:t>
      </w:r>
    </w:p>
    <w:p w14:paraId="70CC016B" w14:textId="77777777" w:rsidR="0006310F" w:rsidRPr="00F07C98" w:rsidRDefault="0006310F" w:rsidP="00F07C98">
      <w:pPr>
        <w:spacing w:line="480" w:lineRule="auto"/>
        <w:jc w:val="both"/>
        <w:rPr>
          <w:rFonts w:ascii="Arial" w:hAnsi="Arial" w:cs="Arial"/>
          <w:sz w:val="22"/>
          <w:szCs w:val="22"/>
        </w:rPr>
      </w:pPr>
    </w:p>
    <w:p w14:paraId="7B0689B7" w14:textId="77777777" w:rsidR="009B676D" w:rsidRPr="00F07C98" w:rsidRDefault="009B676D" w:rsidP="00F07C98">
      <w:pPr>
        <w:spacing w:line="480" w:lineRule="auto"/>
        <w:jc w:val="both"/>
        <w:rPr>
          <w:rFonts w:ascii="Arial" w:hAnsi="Arial" w:cs="Arial"/>
          <w:b/>
          <w:sz w:val="22"/>
          <w:szCs w:val="22"/>
        </w:rPr>
      </w:pPr>
      <w:r w:rsidRPr="00F07C98">
        <w:rPr>
          <w:rFonts w:ascii="Arial" w:hAnsi="Arial" w:cs="Arial"/>
          <w:b/>
          <w:sz w:val="22"/>
          <w:szCs w:val="22"/>
        </w:rPr>
        <w:t>Discussion</w:t>
      </w:r>
    </w:p>
    <w:p w14:paraId="44DE3BE0" w14:textId="128C6E48" w:rsidR="009B676D" w:rsidRPr="00F07C98" w:rsidRDefault="00200EEF" w:rsidP="00F07C98">
      <w:pPr>
        <w:spacing w:line="480" w:lineRule="auto"/>
        <w:ind w:firstLine="567"/>
        <w:jc w:val="both"/>
        <w:rPr>
          <w:rFonts w:ascii="Arial" w:hAnsi="Arial" w:cs="Arial"/>
          <w:sz w:val="22"/>
          <w:szCs w:val="22"/>
        </w:rPr>
      </w:pPr>
      <w:r w:rsidRPr="00F07C98">
        <w:rPr>
          <w:rFonts w:ascii="Arial" w:hAnsi="Arial" w:cs="Arial"/>
          <w:sz w:val="22"/>
          <w:szCs w:val="22"/>
        </w:rPr>
        <w:t xml:space="preserve">The results of the experiment </w:t>
      </w:r>
      <w:r w:rsidR="00E02B8F" w:rsidRPr="00F07C98">
        <w:rPr>
          <w:rFonts w:ascii="Arial" w:hAnsi="Arial" w:cs="Arial"/>
          <w:sz w:val="22"/>
          <w:szCs w:val="22"/>
        </w:rPr>
        <w:t xml:space="preserve">clearly showed that organic carbon source determine the capacity of TAN reduction in a </w:t>
      </w:r>
      <w:proofErr w:type="spellStart"/>
      <w:r w:rsidR="00E02B8F" w:rsidRPr="00F07C98">
        <w:rPr>
          <w:rFonts w:ascii="Arial" w:hAnsi="Arial" w:cs="Arial"/>
          <w:sz w:val="22"/>
          <w:szCs w:val="22"/>
        </w:rPr>
        <w:t>biofloc</w:t>
      </w:r>
      <w:proofErr w:type="spellEnd"/>
      <w:r w:rsidR="00E02B8F" w:rsidRPr="00F07C98">
        <w:rPr>
          <w:rFonts w:ascii="Arial" w:hAnsi="Arial" w:cs="Arial"/>
          <w:sz w:val="22"/>
          <w:szCs w:val="22"/>
        </w:rPr>
        <w:t xml:space="preserve"> system. Inorganic nitrogen control with C/N ratio manipulation is a potential method for water quality management in an aquaculture system. Various organic C have been used and appl</w:t>
      </w:r>
      <w:r w:rsidR="008327C8" w:rsidRPr="00F07C98">
        <w:rPr>
          <w:rFonts w:ascii="Arial" w:hAnsi="Arial" w:cs="Arial"/>
          <w:sz w:val="22"/>
          <w:szCs w:val="22"/>
        </w:rPr>
        <w:t xml:space="preserve">ied by shrimp farmer in </w:t>
      </w:r>
      <w:proofErr w:type="spellStart"/>
      <w:r w:rsidR="008327C8" w:rsidRPr="00F07C98">
        <w:rPr>
          <w:rFonts w:ascii="Arial" w:hAnsi="Arial" w:cs="Arial"/>
          <w:sz w:val="22"/>
          <w:szCs w:val="22"/>
        </w:rPr>
        <w:t>biofloc</w:t>
      </w:r>
      <w:proofErr w:type="spellEnd"/>
      <w:r w:rsidR="008327C8" w:rsidRPr="00F07C98">
        <w:rPr>
          <w:rFonts w:ascii="Arial" w:hAnsi="Arial" w:cs="Arial"/>
          <w:sz w:val="22"/>
          <w:szCs w:val="22"/>
        </w:rPr>
        <w:t>-</w:t>
      </w:r>
      <w:r w:rsidR="00E02B8F" w:rsidRPr="00F07C98">
        <w:rPr>
          <w:rFonts w:ascii="Arial" w:hAnsi="Arial" w:cs="Arial"/>
          <w:sz w:val="22"/>
          <w:szCs w:val="22"/>
        </w:rPr>
        <w:t>based aquaculture systems including sucrose</w:t>
      </w:r>
      <w:r w:rsidR="001D5148" w:rsidRPr="00F07C98">
        <w:rPr>
          <w:rFonts w:ascii="Arial" w:hAnsi="Arial" w:cs="Arial"/>
          <w:sz w:val="22"/>
          <w:szCs w:val="22"/>
        </w:rPr>
        <w:t xml:space="preserve"> (Kuhn et al 2009)</w:t>
      </w:r>
      <w:r w:rsidR="00E02B8F" w:rsidRPr="00F07C98">
        <w:rPr>
          <w:rFonts w:ascii="Arial" w:hAnsi="Arial" w:cs="Arial"/>
          <w:sz w:val="22"/>
          <w:szCs w:val="22"/>
        </w:rPr>
        <w:t>, glycerol</w:t>
      </w:r>
      <w:r w:rsidR="001D5148" w:rsidRPr="00F07C98">
        <w:rPr>
          <w:rFonts w:ascii="Arial" w:hAnsi="Arial" w:cs="Arial"/>
          <w:sz w:val="22"/>
          <w:szCs w:val="22"/>
        </w:rPr>
        <w:t xml:space="preserve"> (Ekasari et al 2010, Crab et al 2010)</w:t>
      </w:r>
      <w:r w:rsidR="00E02B8F" w:rsidRPr="00F07C98">
        <w:rPr>
          <w:rFonts w:ascii="Arial" w:hAnsi="Arial" w:cs="Arial"/>
          <w:sz w:val="22"/>
          <w:szCs w:val="22"/>
        </w:rPr>
        <w:t>, glucose</w:t>
      </w:r>
      <w:r w:rsidR="001D5148" w:rsidRPr="00F07C98">
        <w:rPr>
          <w:rFonts w:ascii="Arial" w:hAnsi="Arial" w:cs="Arial"/>
          <w:sz w:val="22"/>
          <w:szCs w:val="22"/>
        </w:rPr>
        <w:t xml:space="preserve"> (Crab et al 2010), acetate (Crab et al 2010)</w:t>
      </w:r>
      <w:r w:rsidR="009E50D3" w:rsidRPr="00F07C98">
        <w:rPr>
          <w:rFonts w:ascii="Arial" w:hAnsi="Arial" w:cs="Arial"/>
          <w:sz w:val="22"/>
          <w:szCs w:val="22"/>
        </w:rPr>
        <w:t xml:space="preserve">, </w:t>
      </w:r>
      <w:r w:rsidR="001D5148" w:rsidRPr="00F07C98">
        <w:rPr>
          <w:rFonts w:ascii="Arial" w:hAnsi="Arial" w:cs="Arial"/>
          <w:sz w:val="22"/>
          <w:szCs w:val="22"/>
        </w:rPr>
        <w:t>and wheat (</w:t>
      </w:r>
      <w:proofErr w:type="spellStart"/>
      <w:r w:rsidR="001D5148" w:rsidRPr="00F07C98">
        <w:rPr>
          <w:rFonts w:ascii="Arial" w:hAnsi="Arial" w:cs="Arial"/>
          <w:sz w:val="22"/>
          <w:szCs w:val="22"/>
        </w:rPr>
        <w:t>Azim</w:t>
      </w:r>
      <w:proofErr w:type="spellEnd"/>
      <w:r w:rsidR="001D5148" w:rsidRPr="00F07C98">
        <w:rPr>
          <w:rFonts w:ascii="Arial" w:hAnsi="Arial" w:cs="Arial"/>
          <w:sz w:val="22"/>
          <w:szCs w:val="22"/>
        </w:rPr>
        <w:t xml:space="preserve"> et al 2008, </w:t>
      </w:r>
      <w:proofErr w:type="spellStart"/>
      <w:r w:rsidR="001D5148" w:rsidRPr="00F07C98">
        <w:rPr>
          <w:rFonts w:ascii="Arial" w:hAnsi="Arial" w:cs="Arial"/>
          <w:sz w:val="22"/>
          <w:szCs w:val="22"/>
        </w:rPr>
        <w:t>Mahanand</w:t>
      </w:r>
      <w:proofErr w:type="spellEnd"/>
      <w:r w:rsidR="001D5148" w:rsidRPr="00F07C98">
        <w:rPr>
          <w:rFonts w:ascii="Arial" w:hAnsi="Arial" w:cs="Arial"/>
          <w:sz w:val="22"/>
          <w:szCs w:val="22"/>
        </w:rPr>
        <w:t xml:space="preserve"> et al 2013)</w:t>
      </w:r>
      <w:r w:rsidR="00E02B8F" w:rsidRPr="00F07C98">
        <w:rPr>
          <w:rFonts w:ascii="Arial" w:hAnsi="Arial" w:cs="Arial"/>
          <w:sz w:val="22"/>
          <w:szCs w:val="22"/>
        </w:rPr>
        <w:t>.</w:t>
      </w:r>
      <w:r w:rsidR="009E50D3" w:rsidRPr="00F07C98">
        <w:rPr>
          <w:rFonts w:ascii="Arial" w:hAnsi="Arial" w:cs="Arial"/>
          <w:sz w:val="22"/>
          <w:szCs w:val="22"/>
        </w:rPr>
        <w:t xml:space="preserve"> </w:t>
      </w:r>
      <w:r w:rsidR="008327C8" w:rsidRPr="00F07C98">
        <w:rPr>
          <w:rFonts w:ascii="Arial" w:hAnsi="Arial" w:cs="Arial"/>
          <w:sz w:val="22"/>
          <w:szCs w:val="22"/>
        </w:rPr>
        <w:t>However, t</w:t>
      </w:r>
      <w:r w:rsidR="008B3F72" w:rsidRPr="00F07C98">
        <w:rPr>
          <w:rFonts w:ascii="Arial" w:hAnsi="Arial" w:cs="Arial"/>
          <w:sz w:val="22"/>
          <w:szCs w:val="22"/>
        </w:rPr>
        <w:t xml:space="preserve">he </w:t>
      </w:r>
      <w:r w:rsidR="004626CE" w:rsidRPr="00F07C98">
        <w:rPr>
          <w:rFonts w:ascii="Arial" w:hAnsi="Arial" w:cs="Arial"/>
          <w:sz w:val="22"/>
          <w:szCs w:val="22"/>
        </w:rPr>
        <w:t xml:space="preserve">information concerning the </w:t>
      </w:r>
      <w:r w:rsidR="008B3F72" w:rsidRPr="00F07C98">
        <w:rPr>
          <w:rFonts w:ascii="Arial" w:hAnsi="Arial" w:cs="Arial"/>
          <w:sz w:val="22"/>
          <w:szCs w:val="22"/>
        </w:rPr>
        <w:t>difference of these organ</w:t>
      </w:r>
      <w:r w:rsidR="00B96315" w:rsidRPr="00F07C98">
        <w:rPr>
          <w:rFonts w:ascii="Arial" w:hAnsi="Arial" w:cs="Arial"/>
          <w:sz w:val="22"/>
          <w:szCs w:val="22"/>
        </w:rPr>
        <w:t xml:space="preserve">ic C sources in controlling </w:t>
      </w:r>
      <w:r w:rsidR="008B3F72" w:rsidRPr="00F07C98">
        <w:rPr>
          <w:rFonts w:ascii="Arial" w:hAnsi="Arial" w:cs="Arial"/>
          <w:sz w:val="22"/>
          <w:szCs w:val="22"/>
        </w:rPr>
        <w:t xml:space="preserve">inorganic N in </w:t>
      </w:r>
      <w:proofErr w:type="spellStart"/>
      <w:r w:rsidR="008B3F72" w:rsidRPr="00F07C98">
        <w:rPr>
          <w:rFonts w:ascii="Arial" w:hAnsi="Arial" w:cs="Arial"/>
          <w:sz w:val="22"/>
          <w:szCs w:val="22"/>
        </w:rPr>
        <w:t>biofloc</w:t>
      </w:r>
      <w:proofErr w:type="spellEnd"/>
      <w:r w:rsidR="008B3F72" w:rsidRPr="00F07C98">
        <w:rPr>
          <w:rFonts w:ascii="Arial" w:hAnsi="Arial" w:cs="Arial"/>
          <w:sz w:val="22"/>
          <w:szCs w:val="22"/>
        </w:rPr>
        <w:t xml:space="preserve"> system </w:t>
      </w:r>
      <w:r w:rsidR="008327C8" w:rsidRPr="00F07C98">
        <w:rPr>
          <w:rFonts w:ascii="Arial" w:hAnsi="Arial" w:cs="Arial"/>
          <w:sz w:val="22"/>
          <w:szCs w:val="22"/>
        </w:rPr>
        <w:t>is</w:t>
      </w:r>
      <w:r w:rsidR="008B3F72" w:rsidRPr="00F07C98">
        <w:rPr>
          <w:rFonts w:ascii="Arial" w:hAnsi="Arial" w:cs="Arial"/>
          <w:sz w:val="22"/>
          <w:szCs w:val="22"/>
        </w:rPr>
        <w:t xml:space="preserve"> still limited. </w:t>
      </w:r>
    </w:p>
    <w:p w14:paraId="1CABC6BC" w14:textId="515E3712" w:rsidR="009B676D" w:rsidRPr="00F07C98" w:rsidRDefault="006A46DE" w:rsidP="00F07C98">
      <w:pPr>
        <w:spacing w:line="480" w:lineRule="auto"/>
        <w:ind w:firstLine="567"/>
        <w:jc w:val="both"/>
        <w:rPr>
          <w:rFonts w:ascii="Arial" w:hAnsi="Arial" w:cs="Arial"/>
          <w:sz w:val="22"/>
          <w:szCs w:val="22"/>
        </w:rPr>
      </w:pPr>
      <w:r w:rsidRPr="00F07C98">
        <w:rPr>
          <w:rFonts w:ascii="Arial" w:hAnsi="Arial" w:cs="Arial"/>
          <w:sz w:val="22"/>
          <w:szCs w:val="22"/>
        </w:rPr>
        <w:t xml:space="preserve">The aim of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technology is to control ammonia accumulation in an aquaculture environment. One of the factors that determine the success of controlling inorganic nitrogen in this system is the C/N ratio. </w:t>
      </w:r>
      <w:r w:rsidR="002B381D" w:rsidRPr="00F07C98">
        <w:rPr>
          <w:rFonts w:ascii="Arial" w:hAnsi="Arial" w:cs="Arial"/>
          <w:sz w:val="22"/>
          <w:szCs w:val="22"/>
        </w:rPr>
        <w:t xml:space="preserve">The results of this experiment showed that C/N ratio of 15 and 20 </w:t>
      </w:r>
      <w:r w:rsidR="002B381D" w:rsidRPr="00F07C98">
        <w:rPr>
          <w:rFonts w:ascii="Arial" w:hAnsi="Arial" w:cs="Arial"/>
          <w:sz w:val="22"/>
          <w:szCs w:val="22"/>
        </w:rPr>
        <w:lastRenderedPageBreak/>
        <w:t xml:space="preserve">reduced TAN </w:t>
      </w:r>
      <w:r w:rsidR="001D5148" w:rsidRPr="00F07C98">
        <w:rPr>
          <w:rFonts w:ascii="Arial" w:hAnsi="Arial" w:cs="Arial"/>
          <w:sz w:val="22"/>
          <w:szCs w:val="22"/>
        </w:rPr>
        <w:t xml:space="preserve">at higher level </w:t>
      </w:r>
      <w:r w:rsidR="002B381D" w:rsidRPr="00F07C98">
        <w:rPr>
          <w:rFonts w:ascii="Arial" w:hAnsi="Arial" w:cs="Arial"/>
          <w:sz w:val="22"/>
          <w:szCs w:val="22"/>
        </w:rPr>
        <w:t xml:space="preserve">than that of </w:t>
      </w:r>
      <w:r w:rsidR="001D5148" w:rsidRPr="00F07C98">
        <w:rPr>
          <w:rFonts w:ascii="Arial" w:hAnsi="Arial" w:cs="Arial"/>
          <w:sz w:val="22"/>
          <w:szCs w:val="22"/>
        </w:rPr>
        <w:t xml:space="preserve">C/N ratio of </w:t>
      </w:r>
      <w:r w:rsidR="002B381D" w:rsidRPr="00F07C98">
        <w:rPr>
          <w:rFonts w:ascii="Arial" w:hAnsi="Arial" w:cs="Arial"/>
          <w:sz w:val="22"/>
          <w:szCs w:val="22"/>
        </w:rPr>
        <w:t xml:space="preserve">10. Furthermore </w:t>
      </w:r>
      <w:r w:rsidR="005065D9" w:rsidRPr="00F07C98">
        <w:rPr>
          <w:rFonts w:ascii="Arial" w:hAnsi="Arial" w:cs="Arial"/>
          <w:sz w:val="22"/>
          <w:szCs w:val="22"/>
        </w:rPr>
        <w:t>there was no difference</w:t>
      </w:r>
      <w:r w:rsidR="002B381D" w:rsidRPr="00F07C98">
        <w:rPr>
          <w:rFonts w:ascii="Arial" w:hAnsi="Arial" w:cs="Arial"/>
          <w:sz w:val="22"/>
          <w:szCs w:val="22"/>
        </w:rPr>
        <w:t xml:space="preserve"> in TAN reduction between C/N ratio</w:t>
      </w:r>
      <w:r w:rsidR="001D5148" w:rsidRPr="00F07C98">
        <w:rPr>
          <w:rFonts w:ascii="Arial" w:hAnsi="Arial" w:cs="Arial"/>
          <w:sz w:val="22"/>
          <w:szCs w:val="22"/>
        </w:rPr>
        <w:t>s of</w:t>
      </w:r>
      <w:r w:rsidR="002B381D" w:rsidRPr="00F07C98">
        <w:rPr>
          <w:rFonts w:ascii="Arial" w:hAnsi="Arial" w:cs="Arial"/>
          <w:sz w:val="22"/>
          <w:szCs w:val="22"/>
        </w:rPr>
        <w:t xml:space="preserve"> 15 and 20</w:t>
      </w:r>
      <w:r w:rsidR="001D5148" w:rsidRPr="00F07C98">
        <w:rPr>
          <w:rFonts w:ascii="Arial" w:hAnsi="Arial" w:cs="Arial"/>
          <w:sz w:val="22"/>
          <w:szCs w:val="22"/>
        </w:rPr>
        <w:t>,</w:t>
      </w:r>
      <w:r w:rsidR="002B381D" w:rsidRPr="00F07C98">
        <w:rPr>
          <w:rFonts w:ascii="Arial" w:hAnsi="Arial" w:cs="Arial"/>
          <w:sz w:val="22"/>
          <w:szCs w:val="22"/>
        </w:rPr>
        <w:t xml:space="preserve"> which indicate that further increase in C/N</w:t>
      </w:r>
      <w:r w:rsidR="001D5148" w:rsidRPr="00F07C98">
        <w:rPr>
          <w:rFonts w:ascii="Arial" w:hAnsi="Arial" w:cs="Arial"/>
          <w:sz w:val="22"/>
          <w:szCs w:val="22"/>
        </w:rPr>
        <w:t xml:space="preserve"> ratio may</w:t>
      </w:r>
      <w:r w:rsidR="002B381D" w:rsidRPr="00F07C98">
        <w:rPr>
          <w:rFonts w:ascii="Arial" w:hAnsi="Arial" w:cs="Arial"/>
          <w:sz w:val="22"/>
          <w:szCs w:val="22"/>
        </w:rPr>
        <w:t xml:space="preserve"> not result in higher re</w:t>
      </w:r>
      <w:r w:rsidR="005065D9" w:rsidRPr="00F07C98">
        <w:rPr>
          <w:rFonts w:ascii="Arial" w:hAnsi="Arial" w:cs="Arial"/>
          <w:sz w:val="22"/>
          <w:szCs w:val="22"/>
        </w:rPr>
        <w:t xml:space="preserve">duction level. With this regard, C/N ratio of 15 can be considered as the most optimal ratio for TAN reduction in </w:t>
      </w:r>
      <w:proofErr w:type="spellStart"/>
      <w:r w:rsidR="005065D9" w:rsidRPr="00F07C98">
        <w:rPr>
          <w:rFonts w:ascii="Arial" w:hAnsi="Arial" w:cs="Arial"/>
          <w:sz w:val="22"/>
          <w:szCs w:val="22"/>
        </w:rPr>
        <w:t>biofloc</w:t>
      </w:r>
      <w:proofErr w:type="spellEnd"/>
      <w:r w:rsidR="005065D9" w:rsidRPr="00F07C98">
        <w:rPr>
          <w:rFonts w:ascii="Arial" w:hAnsi="Arial" w:cs="Arial"/>
          <w:sz w:val="22"/>
          <w:szCs w:val="22"/>
        </w:rPr>
        <w:t xml:space="preserve"> system. </w:t>
      </w:r>
    </w:p>
    <w:p w14:paraId="430A9E17" w14:textId="6762471C" w:rsidR="001A4652" w:rsidRPr="00F07C98" w:rsidRDefault="008327C8" w:rsidP="00F07C98">
      <w:pPr>
        <w:spacing w:line="480" w:lineRule="auto"/>
        <w:ind w:firstLine="567"/>
        <w:jc w:val="both"/>
        <w:rPr>
          <w:rFonts w:ascii="Arial" w:hAnsi="Arial" w:cs="Arial"/>
          <w:sz w:val="22"/>
          <w:szCs w:val="22"/>
        </w:rPr>
      </w:pPr>
      <w:r w:rsidRPr="00F07C98">
        <w:rPr>
          <w:rFonts w:ascii="Arial" w:hAnsi="Arial" w:cs="Arial"/>
          <w:sz w:val="22"/>
          <w:szCs w:val="22"/>
        </w:rPr>
        <w:t>The capacity of heterotrophic bacteria in utilizing an organic C source is determined by the complexity of C compound (</w:t>
      </w:r>
      <w:proofErr w:type="spellStart"/>
      <w:r w:rsidRPr="00F07C98">
        <w:rPr>
          <w:rFonts w:ascii="Arial" w:hAnsi="Arial" w:cs="Arial"/>
          <w:sz w:val="22"/>
          <w:szCs w:val="22"/>
        </w:rPr>
        <w:t>Avnimelech</w:t>
      </w:r>
      <w:proofErr w:type="spellEnd"/>
      <w:r w:rsidRPr="00F07C98">
        <w:rPr>
          <w:rFonts w:ascii="Arial" w:hAnsi="Arial" w:cs="Arial"/>
          <w:sz w:val="22"/>
          <w:szCs w:val="22"/>
        </w:rPr>
        <w:t xml:space="preserve"> 2009). Glucose and sucrose are the most readily available C source, whereas complex carbohydrate polymers required more time for decomposition into smaller fraction. The results of this experiment were in agreement with </w:t>
      </w:r>
      <w:proofErr w:type="spellStart"/>
      <w:r w:rsidRPr="00F07C98">
        <w:rPr>
          <w:rFonts w:ascii="Arial" w:hAnsi="Arial" w:cs="Arial"/>
          <w:sz w:val="22"/>
          <w:szCs w:val="22"/>
        </w:rPr>
        <w:t>Avnimelech</w:t>
      </w:r>
      <w:proofErr w:type="spellEnd"/>
      <w:r w:rsidRPr="00F07C98">
        <w:rPr>
          <w:rFonts w:ascii="Arial" w:hAnsi="Arial" w:cs="Arial"/>
          <w:sz w:val="22"/>
          <w:szCs w:val="22"/>
        </w:rPr>
        <w:t xml:space="preserve"> (2012) that pointed out the effectiveness of simple carbohydrates in controlling total ammonia nitrogen in aquaculture systems. Molasses, which is a by-product of sugar production that contained 49 – 50% sugar (</w:t>
      </w:r>
      <w:proofErr w:type="spellStart"/>
      <w:r w:rsidRPr="00F07C98">
        <w:rPr>
          <w:rFonts w:ascii="Arial" w:hAnsi="Arial" w:cs="Arial"/>
          <w:sz w:val="22"/>
          <w:szCs w:val="22"/>
        </w:rPr>
        <w:t>Paturau</w:t>
      </w:r>
      <w:proofErr w:type="spellEnd"/>
      <w:r w:rsidRPr="00F07C98">
        <w:rPr>
          <w:rFonts w:ascii="Arial" w:hAnsi="Arial" w:cs="Arial"/>
          <w:sz w:val="22"/>
          <w:szCs w:val="22"/>
        </w:rPr>
        <w:t xml:space="preserve"> 1982</w:t>
      </w:r>
      <w:bookmarkStart w:id="0" w:name="_GoBack"/>
      <w:bookmarkEnd w:id="0"/>
      <w:r w:rsidRPr="00F07C98">
        <w:rPr>
          <w:rFonts w:ascii="Arial" w:hAnsi="Arial" w:cs="Arial"/>
          <w:sz w:val="22"/>
          <w:szCs w:val="22"/>
        </w:rPr>
        <w:t>),</w:t>
      </w:r>
      <w:r w:rsidR="0019379E" w:rsidRPr="00F07C98">
        <w:rPr>
          <w:rFonts w:ascii="Arial" w:hAnsi="Arial" w:cs="Arial"/>
          <w:sz w:val="22"/>
          <w:szCs w:val="22"/>
        </w:rPr>
        <w:t xml:space="preserve"> consistently</w:t>
      </w:r>
      <w:r w:rsidRPr="00F07C98">
        <w:rPr>
          <w:rFonts w:ascii="Arial" w:hAnsi="Arial" w:cs="Arial"/>
          <w:sz w:val="22"/>
          <w:szCs w:val="22"/>
        </w:rPr>
        <w:t xml:space="preserve"> showed </w:t>
      </w:r>
      <w:r w:rsidR="0019379E" w:rsidRPr="00F07C98">
        <w:rPr>
          <w:rFonts w:ascii="Arial" w:hAnsi="Arial" w:cs="Arial"/>
          <w:sz w:val="22"/>
          <w:szCs w:val="22"/>
        </w:rPr>
        <w:t xml:space="preserve">the highest reduction levels at any C/N ratios tested in this experiment. Although still lower than molasses, starch dominated carbohydrate sources, tapioca and tapioca by product, showed higher TAN reduction levels compared with rice bran. </w:t>
      </w:r>
      <w:r w:rsidRPr="00F07C98">
        <w:rPr>
          <w:rFonts w:ascii="Arial" w:hAnsi="Arial" w:cs="Arial"/>
          <w:sz w:val="22"/>
          <w:szCs w:val="22"/>
        </w:rPr>
        <w:t xml:space="preserve">Tapioca starch is extracted from cassava, and is dominated by two carbohydrate polymers, i.e. amylose and amylopectin. </w:t>
      </w:r>
      <w:r w:rsidR="0019379E" w:rsidRPr="00F07C98">
        <w:rPr>
          <w:rFonts w:ascii="Arial" w:hAnsi="Arial" w:cs="Arial"/>
          <w:sz w:val="22"/>
          <w:szCs w:val="22"/>
        </w:rPr>
        <w:t>As it was expected r</w:t>
      </w:r>
      <w:r w:rsidRPr="00F07C98">
        <w:rPr>
          <w:rFonts w:ascii="Arial" w:hAnsi="Arial" w:cs="Arial"/>
          <w:sz w:val="22"/>
          <w:szCs w:val="22"/>
        </w:rPr>
        <w:t>ice bran</w:t>
      </w:r>
      <w:r w:rsidR="0019379E" w:rsidRPr="00F07C98">
        <w:rPr>
          <w:rFonts w:ascii="Arial" w:hAnsi="Arial" w:cs="Arial"/>
          <w:sz w:val="22"/>
          <w:szCs w:val="22"/>
        </w:rPr>
        <w:t xml:space="preserve">, which </w:t>
      </w:r>
      <w:r w:rsidRPr="00F07C98">
        <w:rPr>
          <w:rFonts w:ascii="Arial" w:hAnsi="Arial" w:cs="Arial"/>
          <w:sz w:val="22"/>
          <w:szCs w:val="22"/>
        </w:rPr>
        <w:t xml:space="preserve">contains </w:t>
      </w:r>
      <w:r w:rsidR="0019379E" w:rsidRPr="00F07C98">
        <w:rPr>
          <w:rFonts w:ascii="Arial" w:hAnsi="Arial" w:cs="Arial"/>
          <w:sz w:val="22"/>
          <w:szCs w:val="22"/>
        </w:rPr>
        <w:t>high</w:t>
      </w:r>
      <w:r w:rsidRPr="00F07C98">
        <w:rPr>
          <w:rFonts w:ascii="Arial" w:hAnsi="Arial" w:cs="Arial"/>
          <w:sz w:val="22"/>
          <w:szCs w:val="22"/>
        </w:rPr>
        <w:t xml:space="preserve"> </w:t>
      </w:r>
      <w:r w:rsidR="0019379E" w:rsidRPr="00F07C98">
        <w:rPr>
          <w:rFonts w:ascii="Arial" w:hAnsi="Arial" w:cs="Arial"/>
          <w:sz w:val="22"/>
          <w:szCs w:val="22"/>
        </w:rPr>
        <w:t xml:space="preserve">level of </w:t>
      </w:r>
      <w:r w:rsidRPr="00F07C98">
        <w:rPr>
          <w:rFonts w:ascii="Arial" w:hAnsi="Arial" w:cs="Arial"/>
          <w:sz w:val="22"/>
          <w:szCs w:val="22"/>
        </w:rPr>
        <w:t>fiber</w:t>
      </w:r>
      <w:r w:rsidR="0019379E" w:rsidRPr="00F07C98">
        <w:rPr>
          <w:rFonts w:ascii="Arial" w:hAnsi="Arial" w:cs="Arial"/>
          <w:sz w:val="22"/>
          <w:szCs w:val="22"/>
        </w:rPr>
        <w:t xml:space="preserve"> (13.3%), showed the lowest reduction levels compared to other carbon sources in this experiment.</w:t>
      </w:r>
    </w:p>
    <w:p w14:paraId="163CBABC" w14:textId="65870F1B" w:rsidR="00EC5FC6" w:rsidRPr="00F07C98" w:rsidRDefault="00723627" w:rsidP="00F07C98">
      <w:pPr>
        <w:spacing w:line="480" w:lineRule="auto"/>
        <w:ind w:firstLine="567"/>
        <w:jc w:val="both"/>
        <w:rPr>
          <w:rFonts w:ascii="Arial" w:hAnsi="Arial" w:cs="Arial"/>
          <w:sz w:val="22"/>
          <w:szCs w:val="22"/>
        </w:rPr>
      </w:pPr>
      <w:r w:rsidRPr="00F07C98">
        <w:rPr>
          <w:rFonts w:ascii="Arial" w:hAnsi="Arial" w:cs="Arial"/>
          <w:sz w:val="22"/>
          <w:szCs w:val="22"/>
        </w:rPr>
        <w:t xml:space="preserve">Another important consideration of the application of organic carbon source in </w:t>
      </w:r>
      <w:proofErr w:type="spellStart"/>
      <w:r w:rsidRPr="00F07C98">
        <w:rPr>
          <w:rFonts w:ascii="Arial" w:hAnsi="Arial" w:cs="Arial"/>
          <w:sz w:val="22"/>
          <w:szCs w:val="22"/>
        </w:rPr>
        <w:t>biofloc</w:t>
      </w:r>
      <w:proofErr w:type="spellEnd"/>
      <w:r w:rsidRPr="00F07C98">
        <w:rPr>
          <w:rFonts w:ascii="Arial" w:hAnsi="Arial" w:cs="Arial"/>
          <w:sz w:val="22"/>
          <w:szCs w:val="22"/>
        </w:rPr>
        <w:t xml:space="preserve"> system is the price of the carbon</w:t>
      </w:r>
      <w:r w:rsidR="005950B8" w:rsidRPr="00F07C98">
        <w:rPr>
          <w:rFonts w:ascii="Arial" w:hAnsi="Arial" w:cs="Arial"/>
          <w:sz w:val="22"/>
          <w:szCs w:val="22"/>
        </w:rPr>
        <w:t xml:space="preserve"> source. </w:t>
      </w:r>
      <w:r w:rsidR="00A469EC" w:rsidRPr="00F07C98">
        <w:rPr>
          <w:rFonts w:ascii="Arial" w:hAnsi="Arial" w:cs="Arial"/>
          <w:sz w:val="22"/>
          <w:szCs w:val="22"/>
        </w:rPr>
        <w:t xml:space="preserve">Table 3 presents the estimated cost of carbon source to reduce </w:t>
      </w:r>
      <w:r w:rsidR="001D5148" w:rsidRPr="00F07C98">
        <w:rPr>
          <w:rFonts w:ascii="Arial" w:hAnsi="Arial" w:cs="Arial"/>
          <w:sz w:val="22"/>
          <w:szCs w:val="22"/>
        </w:rPr>
        <w:t>1 mg/L TAN concentration in a hectare</w:t>
      </w:r>
      <w:r w:rsidR="00A469EC" w:rsidRPr="00F07C98">
        <w:rPr>
          <w:rFonts w:ascii="Arial" w:hAnsi="Arial" w:cs="Arial"/>
          <w:sz w:val="22"/>
          <w:szCs w:val="22"/>
        </w:rPr>
        <w:t xml:space="preserve"> of aquaculture </w:t>
      </w:r>
      <w:r w:rsidR="00E06EFB" w:rsidRPr="00F07C98">
        <w:rPr>
          <w:rFonts w:ascii="Arial" w:hAnsi="Arial" w:cs="Arial"/>
          <w:sz w:val="22"/>
          <w:szCs w:val="22"/>
        </w:rPr>
        <w:t>unit. It can be seen that though less quantity is needed when using tapioca, however because the price is the highest (0.75 USD/kg), the total cost needed for 1 ha of aquaculture unit is also the highest (144 USD/ha). Alternatively, tapioca by product seems to be a potential carbon source as it can be used at</w:t>
      </w:r>
      <w:r w:rsidR="004E2D61" w:rsidRPr="00F07C98">
        <w:rPr>
          <w:rFonts w:ascii="Arial" w:hAnsi="Arial" w:cs="Arial"/>
          <w:sz w:val="22"/>
          <w:szCs w:val="22"/>
        </w:rPr>
        <w:t xml:space="preserve"> a</w:t>
      </w:r>
      <w:r w:rsidR="00E06EFB" w:rsidRPr="00F07C98">
        <w:rPr>
          <w:rFonts w:ascii="Arial" w:hAnsi="Arial" w:cs="Arial"/>
          <w:sz w:val="22"/>
          <w:szCs w:val="22"/>
        </w:rPr>
        <w:t xml:space="preserve"> less</w:t>
      </w:r>
      <w:r w:rsidR="004E2D61" w:rsidRPr="00F07C98">
        <w:rPr>
          <w:rFonts w:ascii="Arial" w:hAnsi="Arial" w:cs="Arial"/>
          <w:sz w:val="22"/>
          <w:szCs w:val="22"/>
        </w:rPr>
        <w:t>er</w:t>
      </w:r>
      <w:r w:rsidR="00E06EFB" w:rsidRPr="00F07C98">
        <w:rPr>
          <w:rFonts w:ascii="Arial" w:hAnsi="Arial" w:cs="Arial"/>
          <w:sz w:val="22"/>
          <w:szCs w:val="22"/>
        </w:rPr>
        <w:t xml:space="preserve"> amount (19.2 g) and </w:t>
      </w:r>
      <w:r w:rsidR="004E2D61" w:rsidRPr="00F07C98">
        <w:rPr>
          <w:rFonts w:ascii="Arial" w:hAnsi="Arial" w:cs="Arial"/>
          <w:sz w:val="22"/>
          <w:szCs w:val="22"/>
        </w:rPr>
        <w:t>cheaper</w:t>
      </w:r>
      <w:r w:rsidR="00E06EFB" w:rsidRPr="00F07C98">
        <w:rPr>
          <w:rFonts w:ascii="Arial" w:hAnsi="Arial" w:cs="Arial"/>
          <w:sz w:val="22"/>
          <w:szCs w:val="22"/>
        </w:rPr>
        <w:t xml:space="preserve"> price (0.30 USD/kg). </w:t>
      </w:r>
    </w:p>
    <w:p w14:paraId="252BB6D0" w14:textId="77777777" w:rsidR="00342478" w:rsidRDefault="00342478" w:rsidP="00F07C98">
      <w:pPr>
        <w:spacing w:line="480" w:lineRule="auto"/>
        <w:jc w:val="both"/>
        <w:rPr>
          <w:rFonts w:ascii="Arial" w:hAnsi="Arial" w:cs="Arial"/>
          <w:sz w:val="22"/>
          <w:szCs w:val="22"/>
        </w:rPr>
      </w:pPr>
    </w:p>
    <w:p w14:paraId="09DB329F" w14:textId="77777777" w:rsidR="00F07C98" w:rsidRDefault="00F07C98" w:rsidP="00F07C98">
      <w:pPr>
        <w:spacing w:line="480" w:lineRule="auto"/>
        <w:jc w:val="both"/>
        <w:rPr>
          <w:rFonts w:ascii="Arial" w:hAnsi="Arial" w:cs="Arial"/>
          <w:sz w:val="22"/>
          <w:szCs w:val="22"/>
        </w:rPr>
      </w:pPr>
    </w:p>
    <w:p w14:paraId="48BF46C1" w14:textId="77777777" w:rsidR="00F07C98" w:rsidRDefault="00F07C98" w:rsidP="00F07C98">
      <w:pPr>
        <w:spacing w:line="480" w:lineRule="auto"/>
        <w:jc w:val="both"/>
        <w:rPr>
          <w:rFonts w:ascii="Arial" w:hAnsi="Arial" w:cs="Arial"/>
          <w:sz w:val="22"/>
          <w:szCs w:val="22"/>
        </w:rPr>
      </w:pPr>
    </w:p>
    <w:p w14:paraId="076A9F51" w14:textId="77777777" w:rsidR="00F07C98" w:rsidRPr="00F07C98" w:rsidRDefault="00F07C98" w:rsidP="00F07C98">
      <w:pPr>
        <w:spacing w:line="480" w:lineRule="auto"/>
        <w:jc w:val="both"/>
        <w:rPr>
          <w:rFonts w:ascii="Arial" w:hAnsi="Arial" w:cs="Arial"/>
          <w:sz w:val="22"/>
          <w:szCs w:val="22"/>
        </w:rPr>
      </w:pPr>
    </w:p>
    <w:p w14:paraId="29661E5C" w14:textId="4053612A" w:rsidR="005950B8" w:rsidRPr="00F07C98" w:rsidRDefault="005950B8" w:rsidP="00F07C98">
      <w:pPr>
        <w:spacing w:line="480" w:lineRule="auto"/>
        <w:jc w:val="both"/>
        <w:rPr>
          <w:rFonts w:ascii="Arial" w:hAnsi="Arial" w:cs="Arial"/>
          <w:sz w:val="22"/>
          <w:szCs w:val="22"/>
        </w:rPr>
      </w:pPr>
      <w:r w:rsidRPr="00F07C98">
        <w:rPr>
          <w:rFonts w:ascii="Arial" w:hAnsi="Arial" w:cs="Arial"/>
          <w:sz w:val="22"/>
          <w:szCs w:val="22"/>
        </w:rPr>
        <w:lastRenderedPageBreak/>
        <w:t xml:space="preserve">Table 3. </w:t>
      </w:r>
      <w:r w:rsidR="00A469EC" w:rsidRPr="00F07C98">
        <w:rPr>
          <w:rFonts w:ascii="Arial" w:hAnsi="Arial" w:cs="Arial"/>
          <w:sz w:val="22"/>
          <w:szCs w:val="22"/>
        </w:rPr>
        <w:t>Estimation of requirement and cost of organic carbon source to reduce total ammonia nitrogen concentration by 1 ppm N per unit area (ha) of aquaculture system</w:t>
      </w:r>
    </w:p>
    <w:tbl>
      <w:tblPr>
        <w:tblW w:w="8365" w:type="dxa"/>
        <w:tblInd w:w="93" w:type="dxa"/>
        <w:tblLayout w:type="fixed"/>
        <w:tblLook w:val="04A0" w:firstRow="1" w:lastRow="0" w:firstColumn="1" w:lastColumn="0" w:noHBand="0" w:noVBand="1"/>
      </w:tblPr>
      <w:tblGrid>
        <w:gridCol w:w="2140"/>
        <w:gridCol w:w="994"/>
        <w:gridCol w:w="1417"/>
        <w:gridCol w:w="1420"/>
        <w:gridCol w:w="1274"/>
        <w:gridCol w:w="1120"/>
      </w:tblGrid>
      <w:tr w:rsidR="005950B8" w:rsidRPr="00F07C98" w14:paraId="50F5E439" w14:textId="77777777" w:rsidTr="003E68E1">
        <w:trPr>
          <w:trHeight w:val="900"/>
        </w:trPr>
        <w:tc>
          <w:tcPr>
            <w:tcW w:w="2140" w:type="dxa"/>
            <w:tcBorders>
              <w:top w:val="single" w:sz="4" w:space="0" w:color="auto"/>
              <w:left w:val="nil"/>
              <w:bottom w:val="single" w:sz="4" w:space="0" w:color="auto"/>
              <w:right w:val="nil"/>
            </w:tcBorders>
            <w:shd w:val="clear" w:color="auto" w:fill="auto"/>
            <w:noWrap/>
            <w:vAlign w:val="center"/>
            <w:hideMark/>
          </w:tcPr>
          <w:p w14:paraId="7D88E427" w14:textId="77777777"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 </w:t>
            </w:r>
          </w:p>
        </w:tc>
        <w:tc>
          <w:tcPr>
            <w:tcW w:w="994" w:type="dxa"/>
            <w:tcBorders>
              <w:top w:val="single" w:sz="4" w:space="0" w:color="auto"/>
              <w:left w:val="nil"/>
              <w:bottom w:val="single" w:sz="4" w:space="0" w:color="auto"/>
              <w:right w:val="nil"/>
            </w:tcBorders>
            <w:shd w:val="clear" w:color="auto" w:fill="auto"/>
            <w:noWrap/>
            <w:vAlign w:val="center"/>
            <w:hideMark/>
          </w:tcPr>
          <w:p w14:paraId="07A59BF7" w14:textId="77777777"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C (%)</w:t>
            </w:r>
          </w:p>
        </w:tc>
        <w:tc>
          <w:tcPr>
            <w:tcW w:w="1417" w:type="dxa"/>
            <w:tcBorders>
              <w:top w:val="single" w:sz="4" w:space="0" w:color="auto"/>
              <w:left w:val="nil"/>
              <w:bottom w:val="single" w:sz="4" w:space="0" w:color="auto"/>
              <w:right w:val="nil"/>
            </w:tcBorders>
            <w:shd w:val="clear" w:color="auto" w:fill="auto"/>
            <w:vAlign w:val="center"/>
            <w:hideMark/>
          </w:tcPr>
          <w:p w14:paraId="775D0681" w14:textId="0A28F9B6"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ΔCH/g ΔN (g)</w:t>
            </w:r>
            <w:r w:rsidR="003E68E1" w:rsidRPr="00F07C98">
              <w:rPr>
                <w:rFonts w:ascii="Arial" w:eastAsia="Times New Roman" w:hAnsi="Arial" w:cs="Arial"/>
                <w:color w:val="000000"/>
                <w:sz w:val="22"/>
                <w:szCs w:val="22"/>
              </w:rPr>
              <w:t xml:space="preserve"> *</w:t>
            </w:r>
          </w:p>
        </w:tc>
        <w:tc>
          <w:tcPr>
            <w:tcW w:w="1420" w:type="dxa"/>
            <w:tcBorders>
              <w:top w:val="single" w:sz="4" w:space="0" w:color="auto"/>
              <w:left w:val="nil"/>
              <w:bottom w:val="single" w:sz="4" w:space="0" w:color="auto"/>
              <w:right w:val="nil"/>
            </w:tcBorders>
            <w:shd w:val="clear" w:color="auto" w:fill="auto"/>
            <w:noWrap/>
            <w:vAlign w:val="center"/>
            <w:hideMark/>
          </w:tcPr>
          <w:p w14:paraId="46CF7069" w14:textId="4ED2C905"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ΔCH/ha (kg)</w:t>
            </w:r>
          </w:p>
        </w:tc>
        <w:tc>
          <w:tcPr>
            <w:tcW w:w="1274" w:type="dxa"/>
            <w:tcBorders>
              <w:top w:val="single" w:sz="4" w:space="0" w:color="auto"/>
              <w:left w:val="nil"/>
              <w:bottom w:val="single" w:sz="4" w:space="0" w:color="auto"/>
              <w:right w:val="nil"/>
            </w:tcBorders>
            <w:shd w:val="clear" w:color="auto" w:fill="auto"/>
            <w:vAlign w:val="center"/>
            <w:hideMark/>
          </w:tcPr>
          <w:p w14:paraId="1F183534" w14:textId="77777777"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Price of CH per kg (USD)</w:t>
            </w:r>
          </w:p>
        </w:tc>
        <w:tc>
          <w:tcPr>
            <w:tcW w:w="1120" w:type="dxa"/>
            <w:tcBorders>
              <w:top w:val="single" w:sz="4" w:space="0" w:color="auto"/>
              <w:left w:val="nil"/>
              <w:bottom w:val="single" w:sz="4" w:space="0" w:color="auto"/>
              <w:right w:val="nil"/>
            </w:tcBorders>
            <w:shd w:val="clear" w:color="auto" w:fill="auto"/>
            <w:noWrap/>
            <w:vAlign w:val="center"/>
            <w:hideMark/>
          </w:tcPr>
          <w:p w14:paraId="7EBDC32F" w14:textId="77777777" w:rsidR="005950B8" w:rsidRPr="00F07C98" w:rsidRDefault="005950B8" w:rsidP="00F07C98">
            <w:pPr>
              <w:jc w:val="both"/>
              <w:rPr>
                <w:rFonts w:ascii="Arial" w:eastAsia="Times New Roman" w:hAnsi="Arial" w:cs="Arial"/>
                <w:color w:val="000000"/>
                <w:sz w:val="22"/>
                <w:szCs w:val="22"/>
              </w:rPr>
            </w:pPr>
            <w:r w:rsidRPr="00F07C98">
              <w:rPr>
                <w:rFonts w:ascii="Arial" w:eastAsia="Times New Roman" w:hAnsi="Arial" w:cs="Arial"/>
                <w:color w:val="000000"/>
                <w:sz w:val="22"/>
                <w:szCs w:val="22"/>
              </w:rPr>
              <w:t>USD/ha</w:t>
            </w:r>
          </w:p>
        </w:tc>
      </w:tr>
      <w:tr w:rsidR="005950B8" w:rsidRPr="00F07C98" w14:paraId="7C1ED641" w14:textId="77777777" w:rsidTr="003E68E1">
        <w:trPr>
          <w:trHeight w:val="300"/>
        </w:trPr>
        <w:tc>
          <w:tcPr>
            <w:tcW w:w="2140" w:type="dxa"/>
            <w:tcBorders>
              <w:top w:val="nil"/>
              <w:left w:val="nil"/>
              <w:bottom w:val="nil"/>
              <w:right w:val="nil"/>
            </w:tcBorders>
            <w:shd w:val="clear" w:color="auto" w:fill="auto"/>
            <w:noWrap/>
            <w:vAlign w:val="center"/>
            <w:hideMark/>
          </w:tcPr>
          <w:p w14:paraId="04414C2E"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Molasses</w:t>
            </w:r>
          </w:p>
        </w:tc>
        <w:tc>
          <w:tcPr>
            <w:tcW w:w="994" w:type="dxa"/>
            <w:tcBorders>
              <w:top w:val="nil"/>
              <w:left w:val="nil"/>
              <w:bottom w:val="nil"/>
              <w:right w:val="nil"/>
            </w:tcBorders>
            <w:shd w:val="clear" w:color="auto" w:fill="auto"/>
            <w:noWrap/>
            <w:vAlign w:val="center"/>
            <w:hideMark/>
          </w:tcPr>
          <w:p w14:paraId="581442A6"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36.3</w:t>
            </w:r>
          </w:p>
        </w:tc>
        <w:tc>
          <w:tcPr>
            <w:tcW w:w="1417" w:type="dxa"/>
            <w:tcBorders>
              <w:top w:val="nil"/>
              <w:left w:val="nil"/>
              <w:bottom w:val="nil"/>
              <w:right w:val="nil"/>
            </w:tcBorders>
            <w:shd w:val="clear" w:color="auto" w:fill="auto"/>
            <w:noWrap/>
            <w:vAlign w:val="center"/>
            <w:hideMark/>
          </w:tcPr>
          <w:p w14:paraId="1C4DAE27"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27.5</w:t>
            </w:r>
          </w:p>
        </w:tc>
        <w:tc>
          <w:tcPr>
            <w:tcW w:w="1420" w:type="dxa"/>
            <w:tcBorders>
              <w:top w:val="nil"/>
              <w:left w:val="nil"/>
              <w:bottom w:val="nil"/>
              <w:right w:val="nil"/>
            </w:tcBorders>
            <w:shd w:val="clear" w:color="auto" w:fill="auto"/>
            <w:noWrap/>
            <w:vAlign w:val="center"/>
            <w:hideMark/>
          </w:tcPr>
          <w:p w14:paraId="6B1ECB75"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275.5</w:t>
            </w:r>
          </w:p>
        </w:tc>
        <w:tc>
          <w:tcPr>
            <w:tcW w:w="1274" w:type="dxa"/>
            <w:tcBorders>
              <w:top w:val="nil"/>
              <w:left w:val="nil"/>
              <w:bottom w:val="nil"/>
              <w:right w:val="nil"/>
            </w:tcBorders>
            <w:shd w:val="clear" w:color="auto" w:fill="auto"/>
            <w:noWrap/>
            <w:vAlign w:val="center"/>
            <w:hideMark/>
          </w:tcPr>
          <w:p w14:paraId="177037AD"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0.50</w:t>
            </w:r>
          </w:p>
        </w:tc>
        <w:tc>
          <w:tcPr>
            <w:tcW w:w="1120" w:type="dxa"/>
            <w:tcBorders>
              <w:top w:val="nil"/>
              <w:left w:val="nil"/>
              <w:bottom w:val="nil"/>
              <w:right w:val="nil"/>
            </w:tcBorders>
            <w:shd w:val="clear" w:color="auto" w:fill="auto"/>
            <w:noWrap/>
            <w:vAlign w:val="center"/>
            <w:hideMark/>
          </w:tcPr>
          <w:p w14:paraId="4714982D"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138</w:t>
            </w:r>
          </w:p>
        </w:tc>
      </w:tr>
      <w:tr w:rsidR="005950B8" w:rsidRPr="00F07C98" w14:paraId="5B121685" w14:textId="77777777" w:rsidTr="003E68E1">
        <w:trPr>
          <w:trHeight w:val="300"/>
        </w:trPr>
        <w:tc>
          <w:tcPr>
            <w:tcW w:w="2140" w:type="dxa"/>
            <w:tcBorders>
              <w:top w:val="nil"/>
              <w:left w:val="nil"/>
              <w:bottom w:val="nil"/>
              <w:right w:val="nil"/>
            </w:tcBorders>
            <w:shd w:val="clear" w:color="auto" w:fill="auto"/>
            <w:noWrap/>
            <w:vAlign w:val="center"/>
            <w:hideMark/>
          </w:tcPr>
          <w:p w14:paraId="460E68A2"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Tapioca</w:t>
            </w:r>
          </w:p>
        </w:tc>
        <w:tc>
          <w:tcPr>
            <w:tcW w:w="994" w:type="dxa"/>
            <w:tcBorders>
              <w:top w:val="nil"/>
              <w:left w:val="nil"/>
              <w:bottom w:val="nil"/>
              <w:right w:val="nil"/>
            </w:tcBorders>
            <w:shd w:val="clear" w:color="auto" w:fill="auto"/>
            <w:noWrap/>
            <w:vAlign w:val="center"/>
            <w:hideMark/>
          </w:tcPr>
          <w:p w14:paraId="31D0F3C8"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52.2</w:t>
            </w:r>
          </w:p>
        </w:tc>
        <w:tc>
          <w:tcPr>
            <w:tcW w:w="1417" w:type="dxa"/>
            <w:tcBorders>
              <w:top w:val="nil"/>
              <w:left w:val="nil"/>
              <w:bottom w:val="nil"/>
              <w:right w:val="nil"/>
            </w:tcBorders>
            <w:shd w:val="clear" w:color="auto" w:fill="auto"/>
            <w:noWrap/>
            <w:vAlign w:val="center"/>
            <w:hideMark/>
          </w:tcPr>
          <w:p w14:paraId="38250CD5"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19.2</w:t>
            </w:r>
          </w:p>
        </w:tc>
        <w:tc>
          <w:tcPr>
            <w:tcW w:w="1420" w:type="dxa"/>
            <w:tcBorders>
              <w:top w:val="nil"/>
              <w:left w:val="nil"/>
              <w:bottom w:val="nil"/>
              <w:right w:val="nil"/>
            </w:tcBorders>
            <w:shd w:val="clear" w:color="auto" w:fill="auto"/>
            <w:noWrap/>
            <w:vAlign w:val="center"/>
            <w:hideMark/>
          </w:tcPr>
          <w:p w14:paraId="006A24AB"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191.6</w:t>
            </w:r>
          </w:p>
        </w:tc>
        <w:tc>
          <w:tcPr>
            <w:tcW w:w="1274" w:type="dxa"/>
            <w:tcBorders>
              <w:top w:val="nil"/>
              <w:left w:val="nil"/>
              <w:bottom w:val="nil"/>
              <w:right w:val="nil"/>
            </w:tcBorders>
            <w:shd w:val="clear" w:color="auto" w:fill="auto"/>
            <w:noWrap/>
            <w:vAlign w:val="center"/>
            <w:hideMark/>
          </w:tcPr>
          <w:p w14:paraId="030D6D12"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0.75</w:t>
            </w:r>
          </w:p>
        </w:tc>
        <w:tc>
          <w:tcPr>
            <w:tcW w:w="1120" w:type="dxa"/>
            <w:tcBorders>
              <w:top w:val="nil"/>
              <w:left w:val="nil"/>
              <w:bottom w:val="nil"/>
              <w:right w:val="nil"/>
            </w:tcBorders>
            <w:shd w:val="clear" w:color="auto" w:fill="auto"/>
            <w:noWrap/>
            <w:vAlign w:val="center"/>
            <w:hideMark/>
          </w:tcPr>
          <w:p w14:paraId="351E00D1"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144</w:t>
            </w:r>
          </w:p>
        </w:tc>
      </w:tr>
      <w:tr w:rsidR="005950B8" w:rsidRPr="00F07C98" w14:paraId="15FDBB6B" w14:textId="77777777" w:rsidTr="003E68E1">
        <w:trPr>
          <w:trHeight w:val="300"/>
        </w:trPr>
        <w:tc>
          <w:tcPr>
            <w:tcW w:w="2140" w:type="dxa"/>
            <w:tcBorders>
              <w:top w:val="nil"/>
              <w:left w:val="nil"/>
              <w:bottom w:val="nil"/>
              <w:right w:val="nil"/>
            </w:tcBorders>
            <w:shd w:val="clear" w:color="auto" w:fill="auto"/>
            <w:noWrap/>
            <w:vAlign w:val="center"/>
            <w:hideMark/>
          </w:tcPr>
          <w:p w14:paraId="5FF6CD89"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Tapioca by product</w:t>
            </w:r>
          </w:p>
        </w:tc>
        <w:tc>
          <w:tcPr>
            <w:tcW w:w="994" w:type="dxa"/>
            <w:tcBorders>
              <w:top w:val="nil"/>
              <w:left w:val="nil"/>
              <w:bottom w:val="nil"/>
              <w:right w:val="nil"/>
            </w:tcBorders>
            <w:shd w:val="clear" w:color="auto" w:fill="auto"/>
            <w:noWrap/>
            <w:vAlign w:val="center"/>
            <w:hideMark/>
          </w:tcPr>
          <w:p w14:paraId="1A37E16E"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52</w:t>
            </w:r>
          </w:p>
        </w:tc>
        <w:tc>
          <w:tcPr>
            <w:tcW w:w="1417" w:type="dxa"/>
            <w:tcBorders>
              <w:top w:val="nil"/>
              <w:left w:val="nil"/>
              <w:bottom w:val="nil"/>
              <w:right w:val="nil"/>
            </w:tcBorders>
            <w:shd w:val="clear" w:color="auto" w:fill="auto"/>
            <w:noWrap/>
            <w:vAlign w:val="center"/>
            <w:hideMark/>
          </w:tcPr>
          <w:p w14:paraId="6CCFF893"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19.2</w:t>
            </w:r>
          </w:p>
        </w:tc>
        <w:tc>
          <w:tcPr>
            <w:tcW w:w="1420" w:type="dxa"/>
            <w:tcBorders>
              <w:top w:val="nil"/>
              <w:left w:val="nil"/>
              <w:bottom w:val="nil"/>
              <w:right w:val="nil"/>
            </w:tcBorders>
            <w:shd w:val="clear" w:color="auto" w:fill="auto"/>
            <w:noWrap/>
            <w:vAlign w:val="center"/>
            <w:hideMark/>
          </w:tcPr>
          <w:p w14:paraId="0180016A"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192.3</w:t>
            </w:r>
          </w:p>
        </w:tc>
        <w:tc>
          <w:tcPr>
            <w:tcW w:w="1274" w:type="dxa"/>
            <w:tcBorders>
              <w:top w:val="nil"/>
              <w:left w:val="nil"/>
              <w:bottom w:val="nil"/>
              <w:right w:val="nil"/>
            </w:tcBorders>
            <w:shd w:val="clear" w:color="auto" w:fill="auto"/>
            <w:noWrap/>
            <w:vAlign w:val="center"/>
            <w:hideMark/>
          </w:tcPr>
          <w:p w14:paraId="26C2E31A"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0.30</w:t>
            </w:r>
          </w:p>
        </w:tc>
        <w:tc>
          <w:tcPr>
            <w:tcW w:w="1120" w:type="dxa"/>
            <w:tcBorders>
              <w:top w:val="nil"/>
              <w:left w:val="nil"/>
              <w:bottom w:val="nil"/>
              <w:right w:val="nil"/>
            </w:tcBorders>
            <w:shd w:val="clear" w:color="auto" w:fill="auto"/>
            <w:noWrap/>
            <w:vAlign w:val="center"/>
            <w:hideMark/>
          </w:tcPr>
          <w:p w14:paraId="1D8F1AA4"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58</w:t>
            </w:r>
          </w:p>
        </w:tc>
      </w:tr>
      <w:tr w:rsidR="005950B8" w:rsidRPr="00F07C98" w14:paraId="3899E052" w14:textId="77777777" w:rsidTr="003E68E1">
        <w:trPr>
          <w:trHeight w:val="300"/>
        </w:trPr>
        <w:tc>
          <w:tcPr>
            <w:tcW w:w="2140" w:type="dxa"/>
            <w:tcBorders>
              <w:top w:val="nil"/>
              <w:left w:val="nil"/>
              <w:bottom w:val="single" w:sz="4" w:space="0" w:color="auto"/>
              <w:right w:val="nil"/>
            </w:tcBorders>
            <w:shd w:val="clear" w:color="auto" w:fill="auto"/>
            <w:noWrap/>
            <w:vAlign w:val="center"/>
            <w:hideMark/>
          </w:tcPr>
          <w:p w14:paraId="420BABAF"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Rice bran</w:t>
            </w:r>
          </w:p>
        </w:tc>
        <w:tc>
          <w:tcPr>
            <w:tcW w:w="994" w:type="dxa"/>
            <w:tcBorders>
              <w:top w:val="nil"/>
              <w:left w:val="nil"/>
              <w:bottom w:val="single" w:sz="4" w:space="0" w:color="auto"/>
              <w:right w:val="nil"/>
            </w:tcBorders>
            <w:shd w:val="clear" w:color="auto" w:fill="auto"/>
            <w:noWrap/>
            <w:vAlign w:val="center"/>
            <w:hideMark/>
          </w:tcPr>
          <w:p w14:paraId="54C6366C"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41.5</w:t>
            </w:r>
          </w:p>
        </w:tc>
        <w:tc>
          <w:tcPr>
            <w:tcW w:w="1417" w:type="dxa"/>
            <w:tcBorders>
              <w:top w:val="nil"/>
              <w:left w:val="nil"/>
              <w:bottom w:val="single" w:sz="4" w:space="0" w:color="auto"/>
              <w:right w:val="nil"/>
            </w:tcBorders>
            <w:shd w:val="clear" w:color="auto" w:fill="auto"/>
            <w:noWrap/>
            <w:vAlign w:val="center"/>
            <w:hideMark/>
          </w:tcPr>
          <w:p w14:paraId="5322A74C"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24.1</w:t>
            </w:r>
          </w:p>
        </w:tc>
        <w:tc>
          <w:tcPr>
            <w:tcW w:w="1420" w:type="dxa"/>
            <w:tcBorders>
              <w:top w:val="nil"/>
              <w:left w:val="nil"/>
              <w:bottom w:val="single" w:sz="4" w:space="0" w:color="auto"/>
              <w:right w:val="nil"/>
            </w:tcBorders>
            <w:shd w:val="clear" w:color="auto" w:fill="auto"/>
            <w:noWrap/>
            <w:vAlign w:val="center"/>
            <w:hideMark/>
          </w:tcPr>
          <w:p w14:paraId="7378F52F"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241.0</w:t>
            </w:r>
          </w:p>
        </w:tc>
        <w:tc>
          <w:tcPr>
            <w:tcW w:w="1274" w:type="dxa"/>
            <w:tcBorders>
              <w:top w:val="nil"/>
              <w:left w:val="nil"/>
              <w:bottom w:val="single" w:sz="4" w:space="0" w:color="auto"/>
              <w:right w:val="nil"/>
            </w:tcBorders>
            <w:shd w:val="clear" w:color="auto" w:fill="auto"/>
            <w:noWrap/>
            <w:vAlign w:val="center"/>
            <w:hideMark/>
          </w:tcPr>
          <w:p w14:paraId="0262FF78"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0.45</w:t>
            </w:r>
          </w:p>
        </w:tc>
        <w:tc>
          <w:tcPr>
            <w:tcW w:w="1120" w:type="dxa"/>
            <w:tcBorders>
              <w:top w:val="nil"/>
              <w:left w:val="nil"/>
              <w:bottom w:val="single" w:sz="4" w:space="0" w:color="auto"/>
              <w:right w:val="nil"/>
            </w:tcBorders>
            <w:shd w:val="clear" w:color="auto" w:fill="auto"/>
            <w:noWrap/>
            <w:vAlign w:val="center"/>
            <w:hideMark/>
          </w:tcPr>
          <w:p w14:paraId="2AEF4795" w14:textId="77777777" w:rsidR="005950B8" w:rsidRPr="00F07C98" w:rsidRDefault="005950B8" w:rsidP="00F07C98">
            <w:pPr>
              <w:spacing w:line="480" w:lineRule="auto"/>
              <w:jc w:val="both"/>
              <w:rPr>
                <w:rFonts w:ascii="Arial" w:eastAsia="Times New Roman" w:hAnsi="Arial" w:cs="Arial"/>
                <w:color w:val="000000"/>
                <w:sz w:val="22"/>
                <w:szCs w:val="22"/>
              </w:rPr>
            </w:pPr>
            <w:r w:rsidRPr="00F07C98">
              <w:rPr>
                <w:rFonts w:ascii="Arial" w:eastAsia="Times New Roman" w:hAnsi="Arial" w:cs="Arial"/>
                <w:color w:val="000000"/>
                <w:sz w:val="22"/>
                <w:szCs w:val="22"/>
              </w:rPr>
              <w:t>108</w:t>
            </w:r>
          </w:p>
        </w:tc>
      </w:tr>
    </w:tbl>
    <w:p w14:paraId="08F2826A" w14:textId="542592E0" w:rsidR="003E68E1" w:rsidRPr="00F07C98" w:rsidRDefault="003E68E1" w:rsidP="00F07C98">
      <w:pPr>
        <w:spacing w:line="480" w:lineRule="auto"/>
        <w:jc w:val="both"/>
        <w:rPr>
          <w:rFonts w:ascii="Arial" w:hAnsi="Arial" w:cs="Arial"/>
          <w:sz w:val="22"/>
          <w:szCs w:val="22"/>
        </w:rPr>
      </w:pPr>
      <w:r w:rsidRPr="00F07C98">
        <w:rPr>
          <w:rFonts w:ascii="Arial" w:eastAsia="Times New Roman" w:hAnsi="Arial" w:cs="Arial"/>
          <w:color w:val="000000"/>
          <w:sz w:val="22"/>
          <w:szCs w:val="22"/>
        </w:rPr>
        <w:t>* ΔCH/g ΔN (g): the amount of carbohydrate to be added to reduce total ammonia nitrogen (TAN) concentration by 1 mg/L</w:t>
      </w:r>
      <w:r w:rsidR="001D5148" w:rsidRPr="00F07C98">
        <w:rPr>
          <w:rFonts w:ascii="Arial" w:eastAsia="Times New Roman" w:hAnsi="Arial" w:cs="Arial"/>
          <w:color w:val="000000"/>
          <w:sz w:val="22"/>
          <w:szCs w:val="22"/>
        </w:rPr>
        <w:t>, which wa</w:t>
      </w:r>
      <w:r w:rsidRPr="00F07C98">
        <w:rPr>
          <w:rFonts w:ascii="Arial" w:eastAsia="Times New Roman" w:hAnsi="Arial" w:cs="Arial"/>
          <w:color w:val="000000"/>
          <w:sz w:val="22"/>
          <w:szCs w:val="22"/>
        </w:rPr>
        <w:t xml:space="preserve">s calculated according to </w:t>
      </w:r>
      <w:proofErr w:type="spellStart"/>
      <w:r w:rsidRPr="00F07C98">
        <w:rPr>
          <w:rFonts w:ascii="Arial" w:eastAsia="Times New Roman" w:hAnsi="Arial" w:cs="Arial"/>
          <w:color w:val="000000"/>
          <w:sz w:val="22"/>
          <w:szCs w:val="22"/>
        </w:rPr>
        <w:t>Avnimelech</w:t>
      </w:r>
      <w:proofErr w:type="spellEnd"/>
      <w:r w:rsidRPr="00F07C98">
        <w:rPr>
          <w:rFonts w:ascii="Arial" w:eastAsia="Times New Roman" w:hAnsi="Arial" w:cs="Arial"/>
          <w:color w:val="000000"/>
          <w:sz w:val="22"/>
          <w:szCs w:val="22"/>
        </w:rPr>
        <w:t xml:space="preserve"> (1999) </w:t>
      </w:r>
    </w:p>
    <w:p w14:paraId="17509B0F" w14:textId="77777777" w:rsidR="003E68E1" w:rsidRPr="00F07C98" w:rsidRDefault="003E68E1" w:rsidP="00F07C98">
      <w:pPr>
        <w:spacing w:line="480" w:lineRule="auto"/>
        <w:jc w:val="both"/>
        <w:rPr>
          <w:rFonts w:ascii="Arial" w:hAnsi="Arial" w:cs="Arial"/>
          <w:sz w:val="22"/>
          <w:szCs w:val="22"/>
        </w:rPr>
      </w:pPr>
    </w:p>
    <w:p w14:paraId="0DD570D0" w14:textId="76851D16" w:rsidR="00E06EFB" w:rsidRPr="00F07C98" w:rsidRDefault="00E06EFB" w:rsidP="00F07C98">
      <w:pPr>
        <w:spacing w:line="480" w:lineRule="auto"/>
        <w:jc w:val="both"/>
        <w:rPr>
          <w:rFonts w:ascii="Arial" w:hAnsi="Arial" w:cs="Arial"/>
          <w:b/>
          <w:sz w:val="22"/>
          <w:szCs w:val="22"/>
        </w:rPr>
      </w:pPr>
      <w:r w:rsidRPr="00F07C98">
        <w:rPr>
          <w:rFonts w:ascii="Arial" w:hAnsi="Arial" w:cs="Arial"/>
          <w:b/>
          <w:sz w:val="22"/>
          <w:szCs w:val="22"/>
        </w:rPr>
        <w:t>Conclusion</w:t>
      </w:r>
    </w:p>
    <w:p w14:paraId="03267C8F" w14:textId="75C333F5" w:rsidR="00E06EFB" w:rsidRPr="00F07C98" w:rsidRDefault="00E06EFB" w:rsidP="00F07C98">
      <w:pPr>
        <w:spacing w:line="480" w:lineRule="auto"/>
        <w:jc w:val="both"/>
        <w:rPr>
          <w:rFonts w:ascii="Arial" w:hAnsi="Arial" w:cs="Arial"/>
          <w:sz w:val="22"/>
          <w:szCs w:val="22"/>
        </w:rPr>
      </w:pPr>
      <w:r w:rsidRPr="00F07C98">
        <w:rPr>
          <w:rFonts w:ascii="Arial" w:hAnsi="Arial" w:cs="Arial"/>
          <w:sz w:val="22"/>
          <w:szCs w:val="22"/>
        </w:rPr>
        <w:t>Organic carbon source and C/N ratio determine the total ammonia nitrogen reduction in</w:t>
      </w:r>
      <w:r w:rsidR="00021496" w:rsidRPr="00F07C98">
        <w:rPr>
          <w:rFonts w:ascii="Arial" w:hAnsi="Arial" w:cs="Arial"/>
          <w:sz w:val="22"/>
          <w:szCs w:val="22"/>
        </w:rPr>
        <w:t xml:space="preserve"> a </w:t>
      </w:r>
      <w:proofErr w:type="spellStart"/>
      <w:r w:rsidR="00021496" w:rsidRPr="00F07C98">
        <w:rPr>
          <w:rFonts w:ascii="Arial" w:hAnsi="Arial" w:cs="Arial"/>
          <w:sz w:val="22"/>
          <w:szCs w:val="22"/>
        </w:rPr>
        <w:t>biofloc</w:t>
      </w:r>
      <w:proofErr w:type="spellEnd"/>
      <w:r w:rsidR="00021496" w:rsidRPr="00F07C98">
        <w:rPr>
          <w:rFonts w:ascii="Arial" w:hAnsi="Arial" w:cs="Arial"/>
          <w:sz w:val="22"/>
          <w:szCs w:val="22"/>
        </w:rPr>
        <w:t xml:space="preserve"> system. Molasses resulted in</w:t>
      </w:r>
      <w:r w:rsidR="000C080E" w:rsidRPr="00F07C98">
        <w:rPr>
          <w:rFonts w:ascii="Arial" w:hAnsi="Arial" w:cs="Arial"/>
          <w:sz w:val="22"/>
          <w:szCs w:val="22"/>
        </w:rPr>
        <w:t xml:space="preserve"> the highest reduction level at any C/N ratios tested. C/N ratio of 10 resulted in the lowest reduction levels irrespective to the carbon sources used in this experiment.</w:t>
      </w:r>
    </w:p>
    <w:p w14:paraId="6A4EFA38" w14:textId="77777777" w:rsidR="0068627E" w:rsidRPr="00F07C98" w:rsidRDefault="0068627E" w:rsidP="00F07C98">
      <w:pPr>
        <w:spacing w:line="480" w:lineRule="auto"/>
        <w:jc w:val="both"/>
        <w:rPr>
          <w:rFonts w:ascii="Arial" w:hAnsi="Arial" w:cs="Arial"/>
          <w:sz w:val="22"/>
          <w:szCs w:val="22"/>
        </w:rPr>
      </w:pPr>
    </w:p>
    <w:p w14:paraId="25D7B0A7" w14:textId="7283A423" w:rsidR="00EC5FC6" w:rsidRPr="00F07C98" w:rsidRDefault="00E06EFB" w:rsidP="00F07C98">
      <w:pPr>
        <w:spacing w:line="480" w:lineRule="auto"/>
        <w:jc w:val="both"/>
        <w:rPr>
          <w:rFonts w:ascii="Arial" w:hAnsi="Arial" w:cs="Arial"/>
          <w:b/>
          <w:sz w:val="22"/>
          <w:szCs w:val="22"/>
        </w:rPr>
      </w:pPr>
      <w:r w:rsidRPr="00F07C98">
        <w:rPr>
          <w:rFonts w:ascii="Arial" w:hAnsi="Arial" w:cs="Arial"/>
          <w:b/>
          <w:sz w:val="22"/>
          <w:szCs w:val="22"/>
        </w:rPr>
        <w:t>R</w:t>
      </w:r>
      <w:r w:rsidR="00EC5FC6" w:rsidRPr="00F07C98">
        <w:rPr>
          <w:rFonts w:ascii="Arial" w:hAnsi="Arial" w:cs="Arial"/>
          <w:b/>
          <w:sz w:val="22"/>
          <w:szCs w:val="22"/>
        </w:rPr>
        <w:t>eference</w:t>
      </w:r>
    </w:p>
    <w:p w14:paraId="23933FA4" w14:textId="77777777" w:rsidR="000C5710" w:rsidRPr="00F07C98" w:rsidRDefault="000C5710" w:rsidP="00F07C98">
      <w:pPr>
        <w:spacing w:line="480" w:lineRule="auto"/>
        <w:ind w:left="567" w:hanging="567"/>
        <w:jc w:val="both"/>
        <w:rPr>
          <w:rFonts w:ascii="Arial" w:hAnsi="Arial" w:cs="Arial"/>
          <w:sz w:val="22"/>
          <w:szCs w:val="22"/>
          <w:lang w:val="en-GB"/>
        </w:rPr>
      </w:pPr>
      <w:r w:rsidRPr="00F07C98">
        <w:rPr>
          <w:rFonts w:ascii="Arial" w:hAnsi="Arial" w:cs="Arial"/>
          <w:sz w:val="22"/>
          <w:szCs w:val="22"/>
          <w:lang w:val="en-GB"/>
        </w:rPr>
        <w:t>APHA, 1998. Standard methods for the examination of the water and wastewater</w:t>
      </w:r>
      <w:r w:rsidRPr="00F07C98">
        <w:rPr>
          <w:rFonts w:ascii="Arial" w:hAnsi="Arial" w:cs="Arial"/>
          <w:i/>
          <w:sz w:val="22"/>
          <w:szCs w:val="22"/>
          <w:lang w:val="en-GB"/>
        </w:rPr>
        <w:t xml:space="preserve">, </w:t>
      </w:r>
      <w:r w:rsidRPr="00F07C98">
        <w:rPr>
          <w:rFonts w:ascii="Arial" w:hAnsi="Arial" w:cs="Arial"/>
          <w:sz w:val="22"/>
          <w:szCs w:val="22"/>
          <w:lang w:val="en-GB"/>
        </w:rPr>
        <w:t>American Public Health Association, Washington, D.C.</w:t>
      </w:r>
    </w:p>
    <w:p w14:paraId="2E76A24E" w14:textId="4C021DC5" w:rsidR="000C5710" w:rsidRPr="00F07C98" w:rsidRDefault="000C5710" w:rsidP="00F07C98">
      <w:pPr>
        <w:spacing w:line="480" w:lineRule="auto"/>
        <w:ind w:left="567" w:hanging="567"/>
        <w:jc w:val="both"/>
        <w:rPr>
          <w:rFonts w:ascii="Arial" w:hAnsi="Arial" w:cs="Arial"/>
          <w:sz w:val="22"/>
          <w:szCs w:val="22"/>
          <w:lang w:val="en-GB"/>
        </w:rPr>
      </w:pPr>
      <w:proofErr w:type="spellStart"/>
      <w:r w:rsidRPr="00F07C98">
        <w:rPr>
          <w:rFonts w:ascii="Arial" w:hAnsi="Arial" w:cs="Arial"/>
          <w:sz w:val="22"/>
          <w:szCs w:val="22"/>
          <w:lang w:val="en-GB"/>
        </w:rPr>
        <w:t>Avnimelech</w:t>
      </w:r>
      <w:proofErr w:type="spellEnd"/>
      <w:r w:rsidRPr="00F07C98">
        <w:rPr>
          <w:rFonts w:ascii="Arial" w:hAnsi="Arial" w:cs="Arial"/>
          <w:sz w:val="22"/>
          <w:szCs w:val="22"/>
          <w:lang w:val="en-GB"/>
        </w:rPr>
        <w:t xml:space="preserve">, Y., 1999. Carbon ⁄ nitrogen ratio as a control element in aquaculture systems. </w:t>
      </w:r>
      <w:proofErr w:type="gramStart"/>
      <w:r w:rsidRPr="00F07C98">
        <w:rPr>
          <w:rFonts w:ascii="Arial" w:hAnsi="Arial" w:cs="Arial"/>
          <w:sz w:val="22"/>
          <w:szCs w:val="22"/>
          <w:lang w:val="en-GB"/>
        </w:rPr>
        <w:t>Aquaculture  176</w:t>
      </w:r>
      <w:proofErr w:type="gramEnd"/>
      <w:r w:rsidRPr="00F07C98">
        <w:rPr>
          <w:rFonts w:ascii="Arial" w:hAnsi="Arial" w:cs="Arial"/>
          <w:sz w:val="22"/>
          <w:szCs w:val="22"/>
          <w:lang w:val="en-GB"/>
        </w:rPr>
        <w:t>, 227 – 235.</w:t>
      </w:r>
    </w:p>
    <w:p w14:paraId="79B44C64" w14:textId="77777777" w:rsidR="000C5710" w:rsidRPr="00F07C98" w:rsidRDefault="000C5710" w:rsidP="00F07C98">
      <w:pPr>
        <w:spacing w:line="480" w:lineRule="auto"/>
        <w:ind w:left="567" w:hanging="567"/>
        <w:jc w:val="both"/>
        <w:rPr>
          <w:rFonts w:ascii="Arial" w:hAnsi="Arial" w:cs="Arial"/>
          <w:sz w:val="22"/>
          <w:szCs w:val="22"/>
          <w:lang w:val="en-GB"/>
        </w:rPr>
      </w:pPr>
      <w:proofErr w:type="spellStart"/>
      <w:r w:rsidRPr="00F07C98">
        <w:rPr>
          <w:rFonts w:ascii="Arial" w:hAnsi="Arial" w:cs="Arial"/>
          <w:sz w:val="22"/>
          <w:szCs w:val="22"/>
          <w:lang w:val="en-GB"/>
        </w:rPr>
        <w:t>Avnimelech</w:t>
      </w:r>
      <w:proofErr w:type="spellEnd"/>
      <w:r w:rsidRPr="00F07C98">
        <w:rPr>
          <w:rFonts w:ascii="Arial" w:hAnsi="Arial" w:cs="Arial"/>
          <w:sz w:val="22"/>
          <w:szCs w:val="22"/>
          <w:lang w:val="en-GB"/>
        </w:rPr>
        <w:t xml:space="preserve">, Y., 2012. </w:t>
      </w:r>
      <w:proofErr w:type="spellStart"/>
      <w:r w:rsidRPr="00F07C98">
        <w:rPr>
          <w:rFonts w:ascii="Arial" w:hAnsi="Arial" w:cs="Arial"/>
          <w:sz w:val="22"/>
          <w:szCs w:val="22"/>
          <w:lang w:val="en-GB"/>
        </w:rPr>
        <w:t>Biofloc</w:t>
      </w:r>
      <w:proofErr w:type="spellEnd"/>
      <w:r w:rsidRPr="00F07C98">
        <w:rPr>
          <w:rFonts w:ascii="Arial" w:hAnsi="Arial" w:cs="Arial"/>
          <w:sz w:val="22"/>
          <w:szCs w:val="22"/>
          <w:lang w:val="en-GB"/>
        </w:rPr>
        <w:t xml:space="preserve"> technology—a practical guide book. 2nd ed. Baton Rouge, United States: The World Aquaculture Society.</w:t>
      </w:r>
    </w:p>
    <w:p w14:paraId="4AC14436" w14:textId="4A7A59F7" w:rsidR="000C5710" w:rsidRPr="00F07C98" w:rsidRDefault="000C5710" w:rsidP="00F07C98">
      <w:pPr>
        <w:spacing w:line="480" w:lineRule="auto"/>
        <w:ind w:left="567" w:hanging="567"/>
        <w:jc w:val="both"/>
        <w:rPr>
          <w:rFonts w:ascii="Arial" w:hAnsi="Arial" w:cs="Arial"/>
          <w:sz w:val="22"/>
          <w:szCs w:val="22"/>
          <w:lang w:val="en-GB"/>
        </w:rPr>
      </w:pPr>
      <w:proofErr w:type="spellStart"/>
      <w:r w:rsidRPr="00F07C98">
        <w:rPr>
          <w:rFonts w:ascii="Arial" w:hAnsi="Arial" w:cs="Arial"/>
          <w:sz w:val="22"/>
          <w:szCs w:val="22"/>
          <w:lang w:val="en-GB"/>
        </w:rPr>
        <w:t>Azim</w:t>
      </w:r>
      <w:proofErr w:type="spellEnd"/>
      <w:r w:rsidRPr="00F07C98">
        <w:rPr>
          <w:rFonts w:ascii="Arial" w:hAnsi="Arial" w:cs="Arial"/>
          <w:sz w:val="22"/>
          <w:szCs w:val="22"/>
          <w:lang w:val="en-GB"/>
        </w:rPr>
        <w:t xml:space="preserve">, M.E., Little, D.C., </w:t>
      </w:r>
      <w:proofErr w:type="spellStart"/>
      <w:r w:rsidRPr="00F07C98">
        <w:rPr>
          <w:rFonts w:ascii="Arial" w:hAnsi="Arial" w:cs="Arial"/>
          <w:sz w:val="22"/>
          <w:szCs w:val="22"/>
          <w:lang w:val="en-GB"/>
        </w:rPr>
        <w:t>Bron</w:t>
      </w:r>
      <w:proofErr w:type="spellEnd"/>
      <w:r w:rsidRPr="00F07C98">
        <w:rPr>
          <w:rFonts w:ascii="Arial" w:hAnsi="Arial" w:cs="Arial"/>
          <w:sz w:val="22"/>
          <w:szCs w:val="22"/>
          <w:lang w:val="en-GB"/>
        </w:rPr>
        <w:t>, J.E., 2008. Microbial protein production in activated suspension tanks manipulating C</w:t>
      </w:r>
      <w:proofErr w:type="gramStart"/>
      <w:r w:rsidR="00F07C98">
        <w:rPr>
          <w:rFonts w:ascii="Arial" w:hAnsi="Arial" w:cs="Arial"/>
          <w:sz w:val="22"/>
          <w:szCs w:val="22"/>
          <w:lang w:val="en-GB"/>
        </w:rPr>
        <w:t>:</w:t>
      </w:r>
      <w:r w:rsidRPr="00F07C98">
        <w:rPr>
          <w:rFonts w:ascii="Arial" w:hAnsi="Arial" w:cs="Arial"/>
          <w:sz w:val="22"/>
          <w:szCs w:val="22"/>
          <w:lang w:val="en-GB"/>
        </w:rPr>
        <w:t>N</w:t>
      </w:r>
      <w:proofErr w:type="gramEnd"/>
      <w:r w:rsidRPr="00F07C98">
        <w:rPr>
          <w:rFonts w:ascii="Arial" w:hAnsi="Arial" w:cs="Arial"/>
          <w:sz w:val="22"/>
          <w:szCs w:val="22"/>
          <w:lang w:val="en-GB"/>
        </w:rPr>
        <w:t xml:space="preserve"> ratio in feed and the implications for fish culture. </w:t>
      </w:r>
      <w:proofErr w:type="spellStart"/>
      <w:r w:rsidRPr="00F07C98">
        <w:rPr>
          <w:rFonts w:ascii="Arial" w:hAnsi="Arial" w:cs="Arial"/>
          <w:sz w:val="22"/>
          <w:szCs w:val="22"/>
          <w:lang w:val="en-GB"/>
        </w:rPr>
        <w:t>Bioresource</w:t>
      </w:r>
      <w:proofErr w:type="spellEnd"/>
      <w:r w:rsidRPr="00F07C98">
        <w:rPr>
          <w:rFonts w:ascii="Arial" w:hAnsi="Arial" w:cs="Arial"/>
          <w:sz w:val="22"/>
          <w:szCs w:val="22"/>
          <w:lang w:val="en-GB"/>
        </w:rPr>
        <w:t xml:space="preserve"> Technol. 99, 3590 – 3599.</w:t>
      </w:r>
    </w:p>
    <w:p w14:paraId="6F19ECF8" w14:textId="77777777" w:rsidR="000C5710" w:rsidRPr="00F07C98" w:rsidRDefault="000C5710" w:rsidP="00F07C98">
      <w:pPr>
        <w:spacing w:line="480" w:lineRule="auto"/>
        <w:ind w:left="567" w:hanging="567"/>
        <w:jc w:val="both"/>
        <w:rPr>
          <w:rFonts w:ascii="Arial" w:eastAsia="Arial Unicode MS" w:hAnsi="Arial" w:cs="Arial"/>
          <w:sz w:val="22"/>
          <w:szCs w:val="22"/>
          <w:lang w:val="en-GB"/>
        </w:rPr>
      </w:pPr>
      <w:r w:rsidRPr="00F07C98">
        <w:rPr>
          <w:rFonts w:ascii="Arial" w:eastAsia="Arial Unicode MS" w:hAnsi="Arial" w:cs="Arial"/>
          <w:sz w:val="22"/>
          <w:szCs w:val="22"/>
          <w:lang w:val="en-GB"/>
        </w:rPr>
        <w:t xml:space="preserve">Crab, R., </w:t>
      </w:r>
      <w:proofErr w:type="spellStart"/>
      <w:r w:rsidRPr="00F07C98">
        <w:rPr>
          <w:rFonts w:ascii="Arial" w:eastAsia="Arial Unicode MS" w:hAnsi="Arial" w:cs="Arial"/>
          <w:sz w:val="22"/>
          <w:szCs w:val="22"/>
          <w:lang w:val="en-GB"/>
        </w:rPr>
        <w:t>Avnimelech</w:t>
      </w:r>
      <w:proofErr w:type="spellEnd"/>
      <w:r w:rsidRPr="00F07C98">
        <w:rPr>
          <w:rFonts w:ascii="Arial" w:eastAsia="Arial Unicode MS" w:hAnsi="Arial" w:cs="Arial"/>
          <w:sz w:val="22"/>
          <w:szCs w:val="22"/>
          <w:lang w:val="en-GB"/>
        </w:rPr>
        <w:t xml:space="preserve">, Y., </w:t>
      </w:r>
      <w:proofErr w:type="spellStart"/>
      <w:r w:rsidRPr="00F07C98">
        <w:rPr>
          <w:rFonts w:ascii="Arial" w:eastAsia="Arial Unicode MS" w:hAnsi="Arial" w:cs="Arial"/>
          <w:sz w:val="22"/>
          <w:szCs w:val="22"/>
          <w:lang w:val="en-GB"/>
        </w:rPr>
        <w:t>Defoirdt</w:t>
      </w:r>
      <w:proofErr w:type="spellEnd"/>
      <w:r w:rsidRPr="00F07C98">
        <w:rPr>
          <w:rFonts w:ascii="Arial" w:eastAsia="Arial Unicode MS" w:hAnsi="Arial" w:cs="Arial"/>
          <w:sz w:val="22"/>
          <w:szCs w:val="22"/>
          <w:lang w:val="en-GB"/>
        </w:rPr>
        <w:t xml:space="preserve">, T., Bossier, P., </w:t>
      </w:r>
      <w:proofErr w:type="spellStart"/>
      <w:r w:rsidRPr="00F07C98">
        <w:rPr>
          <w:rFonts w:ascii="Arial" w:eastAsia="Arial Unicode MS" w:hAnsi="Arial" w:cs="Arial"/>
          <w:sz w:val="22"/>
          <w:szCs w:val="22"/>
          <w:lang w:val="en-GB"/>
        </w:rPr>
        <w:t>Verstraete</w:t>
      </w:r>
      <w:proofErr w:type="spellEnd"/>
      <w:r w:rsidRPr="00F07C98">
        <w:rPr>
          <w:rFonts w:ascii="Arial" w:eastAsia="Arial Unicode MS" w:hAnsi="Arial" w:cs="Arial"/>
          <w:sz w:val="22"/>
          <w:szCs w:val="22"/>
          <w:lang w:val="en-GB"/>
        </w:rPr>
        <w:t>, W., 2007. Nitrogen removal techniques in aquaculture for a sustainable production. Aquaculture 270, 1 – 14.</w:t>
      </w:r>
    </w:p>
    <w:p w14:paraId="36AF0436" w14:textId="77777777" w:rsidR="000C5710" w:rsidRPr="00F07C98" w:rsidRDefault="000C5710" w:rsidP="00F07C98">
      <w:pPr>
        <w:spacing w:line="480" w:lineRule="auto"/>
        <w:ind w:left="567" w:hanging="567"/>
        <w:jc w:val="both"/>
        <w:rPr>
          <w:rFonts w:ascii="Arial" w:hAnsi="Arial" w:cs="Arial"/>
          <w:sz w:val="22"/>
          <w:szCs w:val="22"/>
          <w:lang w:val="nl-BE"/>
        </w:rPr>
      </w:pPr>
      <w:r w:rsidRPr="00F07C98">
        <w:rPr>
          <w:rFonts w:ascii="Arial" w:hAnsi="Arial" w:cs="Arial"/>
          <w:sz w:val="22"/>
          <w:szCs w:val="22"/>
          <w:lang w:val="en-GB"/>
        </w:rPr>
        <w:lastRenderedPageBreak/>
        <w:t xml:space="preserve">De </w:t>
      </w:r>
      <w:proofErr w:type="spellStart"/>
      <w:r w:rsidRPr="00F07C98">
        <w:rPr>
          <w:rFonts w:ascii="Arial" w:hAnsi="Arial" w:cs="Arial"/>
          <w:sz w:val="22"/>
          <w:szCs w:val="22"/>
          <w:lang w:val="en-GB"/>
        </w:rPr>
        <w:t>Schryver</w:t>
      </w:r>
      <w:proofErr w:type="spellEnd"/>
      <w:r w:rsidRPr="00F07C98">
        <w:rPr>
          <w:rFonts w:ascii="Arial" w:hAnsi="Arial" w:cs="Arial"/>
          <w:sz w:val="22"/>
          <w:szCs w:val="22"/>
          <w:lang w:val="en-GB"/>
        </w:rPr>
        <w:t xml:space="preserve">, P., Crab, R., </w:t>
      </w:r>
      <w:proofErr w:type="spellStart"/>
      <w:r w:rsidRPr="00F07C98">
        <w:rPr>
          <w:rFonts w:ascii="Arial" w:hAnsi="Arial" w:cs="Arial"/>
          <w:sz w:val="22"/>
          <w:szCs w:val="22"/>
          <w:lang w:val="en-GB"/>
        </w:rPr>
        <w:t>Defoirdt</w:t>
      </w:r>
      <w:proofErr w:type="spellEnd"/>
      <w:r w:rsidRPr="00F07C98">
        <w:rPr>
          <w:rFonts w:ascii="Arial" w:hAnsi="Arial" w:cs="Arial"/>
          <w:sz w:val="22"/>
          <w:szCs w:val="22"/>
          <w:lang w:val="en-GB"/>
        </w:rPr>
        <w:t xml:space="preserve">, T., Boon, N., </w:t>
      </w:r>
      <w:proofErr w:type="spellStart"/>
      <w:r w:rsidRPr="00F07C98">
        <w:rPr>
          <w:rFonts w:ascii="Arial" w:hAnsi="Arial" w:cs="Arial"/>
          <w:sz w:val="22"/>
          <w:szCs w:val="22"/>
          <w:lang w:val="en-GB"/>
        </w:rPr>
        <w:t>Verstraete</w:t>
      </w:r>
      <w:proofErr w:type="spellEnd"/>
      <w:r w:rsidRPr="00F07C98">
        <w:rPr>
          <w:rFonts w:ascii="Arial" w:hAnsi="Arial" w:cs="Arial"/>
          <w:sz w:val="22"/>
          <w:szCs w:val="22"/>
          <w:lang w:val="en-GB"/>
        </w:rPr>
        <w:t>, W., 2008. The basics of bio-</w:t>
      </w:r>
      <w:proofErr w:type="spellStart"/>
      <w:r w:rsidRPr="00F07C98">
        <w:rPr>
          <w:rFonts w:ascii="Arial" w:hAnsi="Arial" w:cs="Arial"/>
          <w:sz w:val="22"/>
          <w:szCs w:val="22"/>
          <w:lang w:val="en-GB"/>
        </w:rPr>
        <w:t>flocs</w:t>
      </w:r>
      <w:proofErr w:type="spellEnd"/>
      <w:r w:rsidRPr="00F07C98">
        <w:rPr>
          <w:rFonts w:ascii="Arial" w:hAnsi="Arial" w:cs="Arial"/>
          <w:sz w:val="22"/>
          <w:szCs w:val="22"/>
          <w:lang w:val="en-GB"/>
        </w:rPr>
        <w:t xml:space="preserve"> technology: the added value for aquaculture. </w:t>
      </w:r>
      <w:r w:rsidRPr="00F07C98">
        <w:rPr>
          <w:rFonts w:ascii="Arial" w:hAnsi="Arial" w:cs="Arial"/>
          <w:sz w:val="22"/>
          <w:szCs w:val="22"/>
          <w:lang w:val="nl-BE"/>
        </w:rPr>
        <w:t>Aquaculture 277, 125 – 137.</w:t>
      </w:r>
    </w:p>
    <w:p w14:paraId="40344DA4" w14:textId="77777777" w:rsidR="000C5710" w:rsidRPr="00F07C98" w:rsidRDefault="000C5710" w:rsidP="00F07C98">
      <w:pPr>
        <w:autoSpaceDE w:val="0"/>
        <w:autoSpaceDN w:val="0"/>
        <w:adjustRightInd w:val="0"/>
        <w:spacing w:line="480" w:lineRule="auto"/>
        <w:ind w:left="567" w:hanging="567"/>
        <w:jc w:val="both"/>
        <w:rPr>
          <w:rFonts w:ascii="Arial" w:hAnsi="Arial" w:cs="Arial"/>
          <w:sz w:val="22"/>
          <w:szCs w:val="22"/>
          <w:lang w:val="en-GB"/>
        </w:rPr>
      </w:pPr>
      <w:r w:rsidRPr="00F07C98">
        <w:rPr>
          <w:rFonts w:ascii="Arial" w:hAnsi="Arial" w:cs="Arial"/>
          <w:color w:val="000000"/>
          <w:sz w:val="22"/>
          <w:szCs w:val="22"/>
          <w:lang w:val="en-GB"/>
        </w:rPr>
        <w:t xml:space="preserve">Ekasari, J., Crab, R., </w:t>
      </w:r>
      <w:proofErr w:type="spellStart"/>
      <w:r w:rsidRPr="00F07C98">
        <w:rPr>
          <w:rFonts w:ascii="Arial" w:hAnsi="Arial" w:cs="Arial"/>
          <w:color w:val="000000"/>
          <w:sz w:val="22"/>
          <w:szCs w:val="22"/>
          <w:lang w:val="en-GB"/>
        </w:rPr>
        <w:t>Verstraete</w:t>
      </w:r>
      <w:proofErr w:type="spellEnd"/>
      <w:r w:rsidRPr="00F07C98">
        <w:rPr>
          <w:rFonts w:ascii="Arial" w:hAnsi="Arial" w:cs="Arial"/>
          <w:color w:val="000000"/>
          <w:sz w:val="22"/>
          <w:szCs w:val="22"/>
          <w:lang w:val="en-GB"/>
        </w:rPr>
        <w:t>, W., 2010. Primary nutritional content of bio-</w:t>
      </w:r>
      <w:proofErr w:type="spellStart"/>
      <w:r w:rsidRPr="00F07C98">
        <w:rPr>
          <w:rFonts w:ascii="Arial" w:hAnsi="Arial" w:cs="Arial"/>
          <w:color w:val="000000"/>
          <w:sz w:val="22"/>
          <w:szCs w:val="22"/>
          <w:lang w:val="en-GB"/>
        </w:rPr>
        <w:t>flocs</w:t>
      </w:r>
      <w:proofErr w:type="spellEnd"/>
      <w:r w:rsidRPr="00F07C98">
        <w:rPr>
          <w:rFonts w:ascii="Arial" w:hAnsi="Arial" w:cs="Arial"/>
          <w:color w:val="000000"/>
          <w:sz w:val="22"/>
          <w:szCs w:val="22"/>
          <w:lang w:val="en-GB"/>
        </w:rPr>
        <w:t xml:space="preserve"> cultured with different organic carbon sources and salinity. Hayati Journal of Biosciences</w:t>
      </w:r>
      <w:r w:rsidRPr="00F07C98">
        <w:rPr>
          <w:rFonts w:ascii="Arial" w:hAnsi="Arial" w:cs="Arial"/>
          <w:i/>
          <w:color w:val="000000"/>
          <w:sz w:val="22"/>
          <w:szCs w:val="22"/>
          <w:lang w:val="en-GB"/>
        </w:rPr>
        <w:t xml:space="preserve"> </w:t>
      </w:r>
      <w:r w:rsidRPr="00F07C98">
        <w:rPr>
          <w:rFonts w:ascii="Arial" w:hAnsi="Arial" w:cs="Arial"/>
          <w:color w:val="000000"/>
          <w:sz w:val="22"/>
          <w:szCs w:val="22"/>
          <w:lang w:val="en-GB"/>
        </w:rPr>
        <w:t xml:space="preserve">17, 125–130. </w:t>
      </w:r>
    </w:p>
    <w:p w14:paraId="5F0F5472" w14:textId="77777777" w:rsidR="000C5710" w:rsidRPr="00F07C98" w:rsidRDefault="000C5710" w:rsidP="00F07C98">
      <w:pPr>
        <w:spacing w:line="480" w:lineRule="auto"/>
        <w:ind w:left="567" w:hanging="567"/>
        <w:jc w:val="both"/>
        <w:rPr>
          <w:rFonts w:ascii="Arial" w:hAnsi="Arial" w:cs="Arial"/>
          <w:sz w:val="22"/>
          <w:szCs w:val="22"/>
          <w:lang w:val="en-GB"/>
        </w:rPr>
      </w:pPr>
      <w:r w:rsidRPr="00F07C98">
        <w:rPr>
          <w:rFonts w:ascii="Arial" w:hAnsi="Arial" w:cs="Arial"/>
          <w:sz w:val="22"/>
          <w:szCs w:val="22"/>
          <w:lang w:val="en-GB"/>
        </w:rPr>
        <w:t xml:space="preserve">Kuhn, D.D., Lawrence, A.L., Boardman, G.D., </w:t>
      </w:r>
      <w:proofErr w:type="spellStart"/>
      <w:r w:rsidRPr="00F07C98">
        <w:rPr>
          <w:rFonts w:ascii="Arial" w:hAnsi="Arial" w:cs="Arial"/>
          <w:sz w:val="22"/>
          <w:szCs w:val="22"/>
          <w:lang w:val="en-GB"/>
        </w:rPr>
        <w:t>Patnaik</w:t>
      </w:r>
      <w:proofErr w:type="spellEnd"/>
      <w:r w:rsidRPr="00F07C98">
        <w:rPr>
          <w:rFonts w:ascii="Arial" w:hAnsi="Arial" w:cs="Arial"/>
          <w:sz w:val="22"/>
          <w:szCs w:val="22"/>
          <w:lang w:val="en-GB"/>
        </w:rPr>
        <w:t xml:space="preserve">, S., Marsh, L., Flick, G.J., 2010. Evaluation of two types of </w:t>
      </w:r>
      <w:proofErr w:type="spellStart"/>
      <w:r w:rsidRPr="00F07C98">
        <w:rPr>
          <w:rFonts w:ascii="Arial" w:hAnsi="Arial" w:cs="Arial"/>
          <w:sz w:val="22"/>
          <w:szCs w:val="22"/>
          <w:lang w:val="en-GB"/>
        </w:rPr>
        <w:t>bioflocs</w:t>
      </w:r>
      <w:proofErr w:type="spellEnd"/>
      <w:r w:rsidRPr="00F07C98">
        <w:rPr>
          <w:rFonts w:ascii="Arial" w:hAnsi="Arial" w:cs="Arial"/>
          <w:sz w:val="22"/>
          <w:szCs w:val="22"/>
          <w:lang w:val="en-GB"/>
        </w:rPr>
        <w:t xml:space="preserve"> derived from biological treatment of fish effluent as feed ingredients for Pacific white shrimp, </w:t>
      </w:r>
      <w:proofErr w:type="spellStart"/>
      <w:r w:rsidRPr="00F07C98">
        <w:rPr>
          <w:rFonts w:ascii="Arial" w:hAnsi="Arial" w:cs="Arial"/>
          <w:i/>
          <w:sz w:val="22"/>
          <w:szCs w:val="22"/>
          <w:lang w:val="en-GB"/>
        </w:rPr>
        <w:t>Litopenaeus</w:t>
      </w:r>
      <w:proofErr w:type="spellEnd"/>
      <w:r w:rsidRPr="00F07C98">
        <w:rPr>
          <w:rFonts w:ascii="Arial" w:hAnsi="Arial" w:cs="Arial"/>
          <w:i/>
          <w:sz w:val="22"/>
          <w:szCs w:val="22"/>
          <w:lang w:val="en-GB"/>
        </w:rPr>
        <w:t xml:space="preserve"> </w:t>
      </w:r>
      <w:proofErr w:type="spellStart"/>
      <w:r w:rsidRPr="00F07C98">
        <w:rPr>
          <w:rFonts w:ascii="Arial" w:hAnsi="Arial" w:cs="Arial"/>
          <w:i/>
          <w:sz w:val="22"/>
          <w:szCs w:val="22"/>
          <w:lang w:val="en-GB"/>
        </w:rPr>
        <w:t>vannamei</w:t>
      </w:r>
      <w:proofErr w:type="spellEnd"/>
      <w:r w:rsidRPr="00F07C98">
        <w:rPr>
          <w:rFonts w:ascii="Arial" w:hAnsi="Arial" w:cs="Arial"/>
          <w:sz w:val="22"/>
          <w:szCs w:val="22"/>
          <w:lang w:val="en-GB"/>
        </w:rPr>
        <w:t>. Aquaculture 303, 28 – 33.</w:t>
      </w:r>
    </w:p>
    <w:p w14:paraId="7EAC685A" w14:textId="77777777" w:rsidR="000C5710" w:rsidRPr="00F07C98" w:rsidRDefault="000C5710" w:rsidP="00F07C98">
      <w:pPr>
        <w:spacing w:line="480" w:lineRule="auto"/>
        <w:ind w:left="567" w:hanging="567"/>
        <w:jc w:val="both"/>
        <w:rPr>
          <w:rFonts w:ascii="Arial" w:hAnsi="Arial" w:cs="Arial"/>
          <w:sz w:val="22"/>
          <w:szCs w:val="22"/>
          <w:lang w:val="en-GB"/>
        </w:rPr>
      </w:pPr>
      <w:proofErr w:type="spellStart"/>
      <w:r w:rsidRPr="00F07C98">
        <w:rPr>
          <w:rFonts w:ascii="Arial" w:hAnsi="Arial" w:cs="Arial"/>
          <w:sz w:val="22"/>
          <w:szCs w:val="22"/>
          <w:lang w:val="en-GB"/>
        </w:rPr>
        <w:t>Mahanand</w:t>
      </w:r>
      <w:proofErr w:type="spellEnd"/>
      <w:r w:rsidRPr="00F07C98">
        <w:rPr>
          <w:rFonts w:ascii="Arial" w:hAnsi="Arial" w:cs="Arial"/>
          <w:sz w:val="22"/>
          <w:szCs w:val="22"/>
          <w:lang w:val="en-GB"/>
        </w:rPr>
        <w:t xml:space="preserve">, S.S., </w:t>
      </w:r>
      <w:proofErr w:type="spellStart"/>
      <w:r w:rsidRPr="00F07C98">
        <w:rPr>
          <w:rFonts w:ascii="Arial" w:hAnsi="Arial" w:cs="Arial"/>
          <w:sz w:val="22"/>
          <w:szCs w:val="22"/>
          <w:lang w:val="en-GB"/>
        </w:rPr>
        <w:t>Moulick</w:t>
      </w:r>
      <w:proofErr w:type="spellEnd"/>
      <w:r w:rsidRPr="00F07C98">
        <w:rPr>
          <w:rFonts w:ascii="Arial" w:hAnsi="Arial" w:cs="Arial"/>
          <w:sz w:val="22"/>
          <w:szCs w:val="22"/>
          <w:lang w:val="en-GB"/>
        </w:rPr>
        <w:t xml:space="preserve">, S., Rao, S., 2013. Water quality and growth of </w:t>
      </w:r>
      <w:proofErr w:type="spellStart"/>
      <w:r w:rsidRPr="00F07C98">
        <w:rPr>
          <w:rFonts w:ascii="Arial" w:hAnsi="Arial" w:cs="Arial"/>
          <w:sz w:val="22"/>
          <w:szCs w:val="22"/>
          <w:lang w:val="en-GB"/>
        </w:rPr>
        <w:t>rohu</w:t>
      </w:r>
      <w:proofErr w:type="spellEnd"/>
      <w:r w:rsidRPr="00F07C98">
        <w:rPr>
          <w:rFonts w:ascii="Arial" w:hAnsi="Arial" w:cs="Arial"/>
          <w:sz w:val="22"/>
          <w:szCs w:val="22"/>
          <w:lang w:val="en-GB"/>
        </w:rPr>
        <w:t xml:space="preserve">, </w:t>
      </w:r>
      <w:proofErr w:type="spellStart"/>
      <w:r w:rsidRPr="00F07C98">
        <w:rPr>
          <w:rFonts w:ascii="Arial" w:hAnsi="Arial" w:cs="Arial"/>
          <w:i/>
          <w:sz w:val="22"/>
          <w:szCs w:val="22"/>
          <w:lang w:val="en-GB"/>
        </w:rPr>
        <w:t>Labeo</w:t>
      </w:r>
      <w:proofErr w:type="spellEnd"/>
      <w:r w:rsidRPr="00F07C98">
        <w:rPr>
          <w:rFonts w:ascii="Arial" w:hAnsi="Arial" w:cs="Arial"/>
          <w:i/>
          <w:sz w:val="22"/>
          <w:szCs w:val="22"/>
          <w:lang w:val="en-GB"/>
        </w:rPr>
        <w:t xml:space="preserve"> </w:t>
      </w:r>
      <w:proofErr w:type="spellStart"/>
      <w:r w:rsidRPr="00F07C98">
        <w:rPr>
          <w:rFonts w:ascii="Arial" w:hAnsi="Arial" w:cs="Arial"/>
          <w:i/>
          <w:sz w:val="22"/>
          <w:szCs w:val="22"/>
          <w:lang w:val="en-GB"/>
        </w:rPr>
        <w:t>rohita</w:t>
      </w:r>
      <w:proofErr w:type="spellEnd"/>
      <w:r w:rsidRPr="00F07C98">
        <w:rPr>
          <w:rFonts w:ascii="Arial" w:hAnsi="Arial" w:cs="Arial"/>
          <w:sz w:val="22"/>
          <w:szCs w:val="22"/>
          <w:lang w:val="en-GB"/>
        </w:rPr>
        <w:t xml:space="preserve"> in a </w:t>
      </w:r>
      <w:proofErr w:type="spellStart"/>
      <w:r w:rsidRPr="00F07C98">
        <w:rPr>
          <w:rFonts w:ascii="Arial" w:hAnsi="Arial" w:cs="Arial"/>
          <w:sz w:val="22"/>
          <w:szCs w:val="22"/>
          <w:lang w:val="en-GB"/>
        </w:rPr>
        <w:t>biofloc</w:t>
      </w:r>
      <w:proofErr w:type="spellEnd"/>
      <w:r w:rsidRPr="00F07C98">
        <w:rPr>
          <w:rFonts w:ascii="Arial" w:hAnsi="Arial" w:cs="Arial"/>
          <w:sz w:val="22"/>
          <w:szCs w:val="22"/>
          <w:lang w:val="en-GB"/>
        </w:rPr>
        <w:t xml:space="preserve"> system. J. Appl. </w:t>
      </w:r>
      <w:proofErr w:type="spellStart"/>
      <w:r w:rsidRPr="00F07C98">
        <w:rPr>
          <w:rFonts w:ascii="Arial" w:hAnsi="Arial" w:cs="Arial"/>
          <w:sz w:val="22"/>
          <w:szCs w:val="22"/>
          <w:lang w:val="en-GB"/>
        </w:rPr>
        <w:t>Aquac</w:t>
      </w:r>
      <w:proofErr w:type="spellEnd"/>
      <w:r w:rsidRPr="00F07C98">
        <w:rPr>
          <w:rFonts w:ascii="Arial" w:hAnsi="Arial" w:cs="Arial"/>
          <w:sz w:val="22"/>
          <w:szCs w:val="22"/>
          <w:lang w:val="en-GB"/>
        </w:rPr>
        <w:t>. 25, 121 – 131.</w:t>
      </w:r>
    </w:p>
    <w:p w14:paraId="1A89A5BE" w14:textId="77777777" w:rsidR="00F07C98" w:rsidRDefault="00F07C98" w:rsidP="00F07C98">
      <w:pPr>
        <w:tabs>
          <w:tab w:val="left" w:pos="567"/>
        </w:tabs>
        <w:spacing w:line="360" w:lineRule="auto"/>
        <w:ind w:left="567" w:hanging="567"/>
        <w:jc w:val="both"/>
        <w:rPr>
          <w:rFonts w:ascii="Times New Roman" w:hAnsi="Times New Roman"/>
        </w:rPr>
      </w:pPr>
      <w:proofErr w:type="spellStart"/>
      <w:r w:rsidRPr="00305CBB">
        <w:rPr>
          <w:rFonts w:ascii="Times New Roman" w:eastAsia="Calibri" w:hAnsi="Times New Roman"/>
        </w:rPr>
        <w:t>Paturau</w:t>
      </w:r>
      <w:proofErr w:type="spellEnd"/>
      <w:r w:rsidRPr="00305CBB">
        <w:rPr>
          <w:rFonts w:ascii="Times New Roman" w:eastAsia="Calibri" w:hAnsi="Times New Roman"/>
        </w:rPr>
        <w:t xml:space="preserve">, J.M. 1982. </w:t>
      </w:r>
      <w:bookmarkStart w:id="1" w:name="ch04"/>
      <w:r>
        <w:rPr>
          <w:rFonts w:ascii="Times New Roman" w:hAnsi="Times New Roman"/>
        </w:rPr>
        <w:t>Alternative Uses of Sugarcane a</w:t>
      </w:r>
      <w:r w:rsidRPr="00305CBB">
        <w:rPr>
          <w:rFonts w:ascii="Times New Roman" w:hAnsi="Times New Roman"/>
        </w:rPr>
        <w:t xml:space="preserve">nd Its Byproducts </w:t>
      </w:r>
      <w:proofErr w:type="gramStart"/>
      <w:r w:rsidRPr="00305CBB">
        <w:rPr>
          <w:rFonts w:ascii="Times New Roman" w:hAnsi="Times New Roman"/>
        </w:rPr>
        <w:t>In</w:t>
      </w:r>
      <w:proofErr w:type="gramEnd"/>
      <w:r w:rsidRPr="00305CBB">
        <w:rPr>
          <w:rFonts w:ascii="Times New Roman" w:hAnsi="Times New Roman"/>
        </w:rPr>
        <w:t xml:space="preserve"> Agroindustries</w:t>
      </w:r>
      <w:bookmarkEnd w:id="1"/>
      <w:r w:rsidRPr="00305CBB">
        <w:rPr>
          <w:rFonts w:ascii="Times New Roman" w:hAnsi="Times New Roman"/>
        </w:rPr>
        <w:t>.www.fao.org.</w:t>
      </w:r>
    </w:p>
    <w:p w14:paraId="6C3D37D7" w14:textId="191D7A95" w:rsidR="00EC5FC6" w:rsidRPr="00F07C98" w:rsidRDefault="00EC5FC6" w:rsidP="00F07C98">
      <w:pPr>
        <w:spacing w:line="480" w:lineRule="auto"/>
        <w:rPr>
          <w:rFonts w:ascii="Arial" w:hAnsi="Arial" w:cs="Arial"/>
          <w:sz w:val="22"/>
          <w:szCs w:val="22"/>
        </w:rPr>
      </w:pPr>
    </w:p>
    <w:sectPr w:rsidR="00EC5FC6" w:rsidRPr="00F07C98" w:rsidSect="00F07C98">
      <w:pgSz w:w="11900" w:h="16840" w:code="9"/>
      <w:pgMar w:top="1134" w:right="1134" w:bottom="1134"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F7D6E"/>
    <w:multiLevelType w:val="hybridMultilevel"/>
    <w:tmpl w:val="4494350E"/>
    <w:lvl w:ilvl="0" w:tplc="08C6DA46">
      <w:start w:val="3"/>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D"/>
    <w:rsid w:val="00021496"/>
    <w:rsid w:val="00054285"/>
    <w:rsid w:val="0006310F"/>
    <w:rsid w:val="000706B9"/>
    <w:rsid w:val="000873B2"/>
    <w:rsid w:val="000A0B34"/>
    <w:rsid w:val="000C080E"/>
    <w:rsid w:val="000C5710"/>
    <w:rsid w:val="000D1015"/>
    <w:rsid w:val="00110BD2"/>
    <w:rsid w:val="00124587"/>
    <w:rsid w:val="0019379E"/>
    <w:rsid w:val="001A4652"/>
    <w:rsid w:val="001D1E8E"/>
    <w:rsid w:val="001D5148"/>
    <w:rsid w:val="00200EEF"/>
    <w:rsid w:val="00206191"/>
    <w:rsid w:val="002B381D"/>
    <w:rsid w:val="002C6D8C"/>
    <w:rsid w:val="003259F4"/>
    <w:rsid w:val="00342478"/>
    <w:rsid w:val="003C0DE3"/>
    <w:rsid w:val="003E68E1"/>
    <w:rsid w:val="004233E3"/>
    <w:rsid w:val="004626CE"/>
    <w:rsid w:val="004B2413"/>
    <w:rsid w:val="004E2D61"/>
    <w:rsid w:val="005065D9"/>
    <w:rsid w:val="00555B9D"/>
    <w:rsid w:val="005950B8"/>
    <w:rsid w:val="005C1CCA"/>
    <w:rsid w:val="005F08B8"/>
    <w:rsid w:val="0064038A"/>
    <w:rsid w:val="00665004"/>
    <w:rsid w:val="00665739"/>
    <w:rsid w:val="0068627E"/>
    <w:rsid w:val="006A46DE"/>
    <w:rsid w:val="006B598D"/>
    <w:rsid w:val="006C7DFD"/>
    <w:rsid w:val="006D0496"/>
    <w:rsid w:val="006D5F67"/>
    <w:rsid w:val="00700BCC"/>
    <w:rsid w:val="0070593F"/>
    <w:rsid w:val="00723627"/>
    <w:rsid w:val="00752953"/>
    <w:rsid w:val="007B03F3"/>
    <w:rsid w:val="007B3CDC"/>
    <w:rsid w:val="008327C8"/>
    <w:rsid w:val="00866C50"/>
    <w:rsid w:val="00872E76"/>
    <w:rsid w:val="0088195C"/>
    <w:rsid w:val="008B3F72"/>
    <w:rsid w:val="008B603F"/>
    <w:rsid w:val="008C7C1F"/>
    <w:rsid w:val="008E4C3F"/>
    <w:rsid w:val="008F0C61"/>
    <w:rsid w:val="009B676D"/>
    <w:rsid w:val="009E50D3"/>
    <w:rsid w:val="00A44300"/>
    <w:rsid w:val="00A4615A"/>
    <w:rsid w:val="00A469EC"/>
    <w:rsid w:val="00A54E21"/>
    <w:rsid w:val="00AC5703"/>
    <w:rsid w:val="00B01F37"/>
    <w:rsid w:val="00B22E98"/>
    <w:rsid w:val="00B25C13"/>
    <w:rsid w:val="00B6026E"/>
    <w:rsid w:val="00B96315"/>
    <w:rsid w:val="00C42FE3"/>
    <w:rsid w:val="00C90C91"/>
    <w:rsid w:val="00D33B3E"/>
    <w:rsid w:val="00D359FC"/>
    <w:rsid w:val="00D458A3"/>
    <w:rsid w:val="00D614CA"/>
    <w:rsid w:val="00D9052A"/>
    <w:rsid w:val="00DB353F"/>
    <w:rsid w:val="00DC155D"/>
    <w:rsid w:val="00E02B8F"/>
    <w:rsid w:val="00E06EFB"/>
    <w:rsid w:val="00E31A80"/>
    <w:rsid w:val="00E8218F"/>
    <w:rsid w:val="00EB2F91"/>
    <w:rsid w:val="00EB6261"/>
    <w:rsid w:val="00EC5FC6"/>
    <w:rsid w:val="00F07C98"/>
    <w:rsid w:val="00F22354"/>
    <w:rsid w:val="00F752CD"/>
    <w:rsid w:val="00F8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7DF9B"/>
  <w14:defaultImageDpi w14:val="300"/>
  <w15:docId w15:val="{691E384B-FE67-4023-A1EE-C2CD1A7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F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6D8C"/>
    <w:rPr>
      <w:sz w:val="18"/>
      <w:szCs w:val="18"/>
    </w:rPr>
  </w:style>
  <w:style w:type="paragraph" w:styleId="CommentText">
    <w:name w:val="annotation text"/>
    <w:basedOn w:val="Normal"/>
    <w:link w:val="CommentTextChar"/>
    <w:uiPriority w:val="99"/>
    <w:semiHidden/>
    <w:unhideWhenUsed/>
    <w:rsid w:val="002C6D8C"/>
    <w:pPr>
      <w:ind w:right="714" w:firstLine="567"/>
      <w:jc w:val="both"/>
    </w:pPr>
    <w:rPr>
      <w:rFonts w:ascii="Times New Roman" w:hAnsi="Times New Roman"/>
      <w:lang w:eastAsia="ja-JP"/>
    </w:rPr>
  </w:style>
  <w:style w:type="character" w:customStyle="1" w:styleId="CommentTextChar">
    <w:name w:val="Comment Text Char"/>
    <w:basedOn w:val="DefaultParagraphFont"/>
    <w:link w:val="CommentText"/>
    <w:uiPriority w:val="99"/>
    <w:semiHidden/>
    <w:rsid w:val="002C6D8C"/>
    <w:rPr>
      <w:rFonts w:ascii="Times New Roman" w:hAnsi="Times New Roman"/>
      <w:lang w:eastAsia="ja-JP"/>
    </w:rPr>
  </w:style>
  <w:style w:type="character" w:styleId="PlaceholderText">
    <w:name w:val="Placeholder Text"/>
    <w:basedOn w:val="DefaultParagraphFont"/>
    <w:uiPriority w:val="99"/>
    <w:semiHidden/>
    <w:rsid w:val="002C6D8C"/>
    <w:rPr>
      <w:color w:val="808080"/>
    </w:rPr>
  </w:style>
  <w:style w:type="character" w:styleId="LineNumber">
    <w:name w:val="line number"/>
    <w:basedOn w:val="DefaultParagraphFont"/>
    <w:uiPriority w:val="99"/>
    <w:semiHidden/>
    <w:unhideWhenUsed/>
    <w:rsid w:val="0070593F"/>
  </w:style>
  <w:style w:type="paragraph" w:styleId="ListParagraph">
    <w:name w:val="List Paragraph"/>
    <w:basedOn w:val="Normal"/>
    <w:uiPriority w:val="34"/>
    <w:qFormat/>
    <w:rsid w:val="003E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5540">
      <w:bodyDiv w:val="1"/>
      <w:marLeft w:val="0"/>
      <w:marRight w:val="0"/>
      <w:marTop w:val="0"/>
      <w:marBottom w:val="0"/>
      <w:divBdr>
        <w:top w:val="none" w:sz="0" w:space="0" w:color="auto"/>
        <w:left w:val="none" w:sz="0" w:space="0" w:color="auto"/>
        <w:bottom w:val="none" w:sz="0" w:space="0" w:color="auto"/>
        <w:right w:val="none" w:sz="0" w:space="0" w:color="auto"/>
      </w:divBdr>
    </w:div>
    <w:div w:id="1696156687">
      <w:bodyDiv w:val="1"/>
      <w:marLeft w:val="0"/>
      <w:marRight w:val="0"/>
      <w:marTop w:val="0"/>
      <w:marBottom w:val="0"/>
      <w:divBdr>
        <w:top w:val="none" w:sz="0" w:space="0" w:color="auto"/>
        <w:left w:val="none" w:sz="0" w:space="0" w:color="auto"/>
        <w:bottom w:val="none" w:sz="0" w:space="0" w:color="auto"/>
        <w:right w:val="none" w:sz="0" w:space="0" w:color="auto"/>
      </w:divBdr>
    </w:div>
    <w:div w:id="1796412124">
      <w:bodyDiv w:val="1"/>
      <w:marLeft w:val="0"/>
      <w:marRight w:val="0"/>
      <w:marTop w:val="0"/>
      <w:marBottom w:val="0"/>
      <w:divBdr>
        <w:top w:val="none" w:sz="0" w:space="0" w:color="auto"/>
        <w:left w:val="none" w:sz="0" w:space="0" w:color="auto"/>
        <w:bottom w:val="none" w:sz="0" w:space="0" w:color="auto"/>
        <w:right w:val="none" w:sz="0" w:space="0" w:color="auto"/>
      </w:divBdr>
    </w:div>
    <w:div w:id="1838962398">
      <w:bodyDiv w:val="1"/>
      <w:marLeft w:val="0"/>
      <w:marRight w:val="0"/>
      <w:marTop w:val="0"/>
      <w:marBottom w:val="0"/>
      <w:divBdr>
        <w:top w:val="none" w:sz="0" w:space="0" w:color="auto"/>
        <w:left w:val="none" w:sz="0" w:space="0" w:color="auto"/>
        <w:bottom w:val="none" w:sz="0" w:space="0" w:color="auto"/>
        <w:right w:val="none" w:sz="0" w:space="0" w:color="auto"/>
      </w:divBdr>
    </w:div>
    <w:div w:id="1964728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65C1-BEDA-4388-916D-64A43303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Akuakultur Indonesia</dc:creator>
  <cp:keywords/>
  <dc:description/>
  <cp:lastModifiedBy>USER</cp:lastModifiedBy>
  <cp:revision>3</cp:revision>
  <dcterms:created xsi:type="dcterms:W3CDTF">2015-09-29T00:42:00Z</dcterms:created>
  <dcterms:modified xsi:type="dcterms:W3CDTF">2015-09-29T00:49:00Z</dcterms:modified>
</cp:coreProperties>
</file>