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2"/>
          <w:szCs w:val="22"/>
        </w:rPr>
      </w:pPr>
      <w:r>
        <w:rPr>
          <w:b/>
          <w:bCs/>
          <w:sz w:val="22"/>
          <w:szCs w:val="22"/>
        </w:rPr>
        <w:t>Justifikasi Reviewer:</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4500"/>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keepNext w:val="0"/>
              <w:keepLines w:val="0"/>
              <w:widowControl/>
              <w:suppressLineNumbers w:val="0"/>
              <w:spacing w:before="0" w:beforeAutospacing="0" w:afterAutospacing="0" w:line="360" w:lineRule="auto"/>
              <w:ind w:left="0" w:right="0"/>
              <w:jc w:val="center"/>
              <w:rPr>
                <w:rFonts w:hint="eastAsia" w:ascii="Arial Narrow" w:hAnsi="Arial Narrow"/>
              </w:rPr>
            </w:pPr>
            <w:r>
              <w:rPr>
                <w:rFonts w:hint="eastAsia" w:ascii="Arial Narrow" w:hAnsi="Arial Narrow"/>
              </w:rPr>
              <w:t>No</w:t>
            </w:r>
          </w:p>
        </w:tc>
        <w:tc>
          <w:tcPr>
            <w:tcW w:w="4500" w:type="dxa"/>
          </w:tcPr>
          <w:p>
            <w:pPr>
              <w:keepNext w:val="0"/>
              <w:keepLines w:val="0"/>
              <w:widowControl/>
              <w:suppressLineNumbers w:val="0"/>
              <w:spacing w:before="0" w:beforeAutospacing="0" w:afterAutospacing="0" w:line="360" w:lineRule="auto"/>
              <w:ind w:left="0" w:right="0"/>
              <w:jc w:val="center"/>
              <w:rPr>
                <w:rFonts w:hint="eastAsia" w:ascii="Arial Narrow" w:hAnsi="Arial Narrow"/>
              </w:rPr>
            </w:pPr>
            <w:r>
              <w:rPr>
                <w:rFonts w:hint="eastAsia" w:ascii="Arial Narrow" w:hAnsi="Arial Narrow"/>
              </w:rPr>
              <w:t>Reviewer</w:t>
            </w:r>
          </w:p>
        </w:tc>
        <w:tc>
          <w:tcPr>
            <w:tcW w:w="4315" w:type="dxa"/>
          </w:tcPr>
          <w:p>
            <w:pPr>
              <w:keepNext w:val="0"/>
              <w:keepLines w:val="0"/>
              <w:widowControl/>
              <w:suppressLineNumbers w:val="0"/>
              <w:spacing w:before="0" w:beforeAutospacing="0" w:afterAutospacing="0" w:line="360" w:lineRule="auto"/>
              <w:ind w:left="0" w:right="0"/>
              <w:jc w:val="center"/>
              <w:rPr>
                <w:rFonts w:hint="eastAsia" w:ascii="Arial Narrow" w:hAnsi="Arial Narrow"/>
              </w:rPr>
            </w:pPr>
            <w:r>
              <w:rPr>
                <w:rFonts w:hint="eastAsia" w:ascii="Arial Narrow" w:hAnsi="Arial Narrow"/>
              </w:rPr>
              <w:t>Justifikasi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keepNext w:val="0"/>
              <w:keepLines w:val="0"/>
              <w:widowControl/>
              <w:suppressLineNumbers w:val="0"/>
              <w:spacing w:before="0" w:beforeAutospacing="0" w:afterAutospacing="0"/>
              <w:ind w:left="0" w:right="0"/>
              <w:rPr>
                <w:rFonts w:hint="eastAsia" w:ascii="Arial Narrow" w:hAnsi="Arial Narrow"/>
              </w:rPr>
            </w:pPr>
            <w:bookmarkStart w:id="0" w:name="_GoBack" w:colFirst="2" w:colLast="2"/>
            <w:r>
              <w:rPr>
                <w:rFonts w:hint="eastAsia" w:ascii="Arial Narrow" w:hAnsi="Arial Narrow"/>
              </w:rPr>
              <w:t>1.</w:t>
            </w:r>
          </w:p>
        </w:tc>
        <w:tc>
          <w:tcPr>
            <w:tcW w:w="4500"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eastAsia="Helvetica" w:cs="Arial"/>
                <w:color w:val="222222"/>
                <w:lang w:bidi="ar"/>
              </w:rPr>
              <w:t>Perlu justifikasi penggunaan metode rasional karena metode ini efektif untuk luas Daerah Aliran Sungai (DAS) yang kecil. Variabilitas hujan yang cukup tinggi pada DAS dengan luasan yang lebih besar dapat menyebabkan penggunaan metode rasional menjadi kurang tepat.</w:t>
            </w:r>
          </w:p>
        </w:tc>
        <w:tc>
          <w:tcPr>
            <w:tcW w:w="4315" w:type="dxa"/>
          </w:tcPr>
          <w:p>
            <w:pPr>
              <w:keepNext w:val="0"/>
              <w:keepLines w:val="0"/>
              <w:widowControl/>
              <w:suppressLineNumbers w:val="0"/>
              <w:spacing w:before="0" w:beforeAutospacing="0" w:afterAutospacing="0"/>
              <w:ind w:left="0" w:right="0"/>
              <w:jc w:val="both"/>
              <w:rPr>
                <w:rFonts w:hint="eastAsia" w:ascii="Arial Narrow" w:hAnsi="Arial Narrow"/>
              </w:rPr>
            </w:pPr>
            <w:r>
              <w:rPr>
                <w:rFonts w:hint="eastAsia" w:ascii="Arial Narrow" w:hAnsi="Arial Narrow"/>
              </w:rPr>
              <w:t xml:space="preserve">Pada DAS yang besar dengan variasi curah hujan cukup tinggi dapat diatasi dengan perhitungan curah hujan (CH) wilayah (dengan metode </w:t>
            </w:r>
            <w:r>
              <w:rPr>
                <w:rFonts w:hint="eastAsia" w:ascii="Arial Narrow" w:hAnsi="Arial Narrow" w:eastAsia="Calibri" w:cs="Times New Roman"/>
                <w:i/>
                <w:iCs/>
                <w:color w:val="000000"/>
                <w:lang w:eastAsia="en-US"/>
              </w:rPr>
              <w:t>Polygon Thiessen</w:t>
            </w:r>
            <w:r>
              <w:rPr>
                <w:rFonts w:hint="eastAsia" w:ascii="Arial Narrow" w:hAnsi="Arial Narrow" w:eastAsia="Calibri" w:cs="Times New Roman"/>
                <w:color w:val="000000"/>
                <w:lang w:eastAsia="en-US"/>
              </w:rPr>
              <w:t xml:space="preserve">).  Curah hujan wilayah </w:t>
            </w:r>
            <w:r>
              <w:rPr>
                <w:rFonts w:hint="eastAsia" w:ascii="Arial Narrow" w:hAnsi="Arial Narrow"/>
              </w:rPr>
              <w:t xml:space="preserve">ditentukan dari curah hujan harian maksimum beberapa stasiun hujan yang terdapat di wilayah DAS. </w:t>
            </w:r>
          </w:p>
          <w:p>
            <w:pPr>
              <w:keepNext w:val="0"/>
              <w:keepLines w:val="0"/>
              <w:widowControl/>
              <w:suppressLineNumbers w:val="0"/>
              <w:spacing w:before="0" w:beforeAutospacing="0" w:afterAutospacing="0"/>
              <w:ind w:left="0" w:right="0"/>
              <w:jc w:val="both"/>
              <w:rPr>
                <w:rFonts w:hint="eastAsia" w:ascii="Arial Narrow" w:hAnsi="Arial Narrow"/>
              </w:rPr>
            </w:pPr>
            <w:r>
              <w:rPr>
                <w:rFonts w:hint="eastAsia" w:ascii="Arial Narrow" w:hAnsi="Arial Narrow"/>
              </w:rPr>
              <w:t>Intensitas CH yang digunakan dalam model Rational (persamaan 1) adalah CH rencana maksimum dengan periode ulang tertentu</w:t>
            </w:r>
            <w:r>
              <w:rPr>
                <w:rFonts w:hint="default" w:ascii="Arial Narrow" w:hAnsi="Arial Narrow"/>
                <w:lang w:val="en-US"/>
              </w:rPr>
              <w:t xml:space="preserve"> (tahun)</w:t>
            </w:r>
            <w:r>
              <w:rPr>
                <w:rFonts w:hint="eastAsia" w:ascii="Arial Narrow" w:hAnsi="Arial Narrow"/>
              </w:rPr>
              <w:t xml:space="preserve"> yang telah ditetapkan berdasarkan distribusi </w:t>
            </w:r>
            <w:r>
              <w:rPr>
                <w:rFonts w:hint="default" w:ascii="Arial Narrow" w:hAnsi="Arial Narrow"/>
                <w:lang w:val="en-US"/>
              </w:rPr>
              <w:t xml:space="preserve">frekuensi </w:t>
            </w:r>
            <w:r>
              <w:rPr>
                <w:rFonts w:hint="eastAsia" w:ascii="Arial Narrow" w:hAnsi="Arial Narrow"/>
              </w:rPr>
              <w:t>peluang hujan yang sesuai, yaitu Gumbel dan log Pearson Tipe III, selama waktu konsentrasi DAS (persamaan 2).</w:t>
            </w:r>
          </w:p>
          <w:p>
            <w:pPr>
              <w:keepNext w:val="0"/>
              <w:keepLines w:val="0"/>
              <w:widowControl/>
              <w:suppressLineNumbers w:val="0"/>
              <w:spacing w:before="0" w:beforeAutospacing="0" w:afterAutospacing="0"/>
              <w:ind w:left="0" w:right="0"/>
              <w:jc w:val="both"/>
              <w:rPr>
                <w:rFonts w:hint="eastAsia" w:ascii="Arial Narrow" w:hAnsi="Arial Narrow" w:eastAsia="Calibri"/>
                <w:color w:val="000000"/>
              </w:rPr>
            </w:pPr>
            <w:r>
              <w:rPr>
                <w:rFonts w:hint="eastAsia" w:ascii="Arial Narrow" w:hAnsi="Arial Narrow"/>
              </w:rPr>
              <w:t xml:space="preserve">Jadi data curah hujan yang digunakan dalam model Rasional adalah </w:t>
            </w:r>
            <w:r>
              <w:rPr>
                <w:rFonts w:hint="eastAsia" w:ascii="Arial Narrow" w:hAnsi="Arial Narrow" w:eastAsia="Calibri"/>
                <w:color w:val="000000"/>
              </w:rPr>
              <w:t>Curah hujan rencana (</w:t>
            </w:r>
            <w:r>
              <w:rPr>
                <w:rFonts w:hint="eastAsia" w:ascii="Arial Narrow" w:hAnsi="Arial Narrow" w:eastAsia="Calibri"/>
                <w:i/>
                <w:iCs/>
                <w:color w:val="000000"/>
              </w:rPr>
              <w:t>CH</w:t>
            </w:r>
            <w:r>
              <w:rPr>
                <w:rFonts w:hint="eastAsia" w:ascii="Arial Narrow" w:hAnsi="Arial Narrow" w:eastAsia="Calibri"/>
                <w:i/>
                <w:iCs/>
                <w:color w:val="000000"/>
                <w:vertAlign w:val="subscript"/>
              </w:rPr>
              <w:t>T</w:t>
            </w:r>
            <w:r>
              <w:rPr>
                <w:rFonts w:hint="eastAsia" w:ascii="Arial Narrow" w:hAnsi="Arial Narrow" w:eastAsia="Calibri"/>
                <w:color w:val="000000"/>
              </w:rPr>
              <w:t xml:space="preserve">).  yaitu curah hujan yang diprediksi akan terjadi dalam periode ulang T tahun pada suatu wilayah. </w:t>
            </w:r>
            <w:r>
              <w:rPr>
                <w:rFonts w:hint="eastAsia" w:ascii="Arial Narrow" w:hAnsi="Arial Narrow" w:eastAsia="Calibri"/>
                <w:i/>
                <w:iCs/>
                <w:color w:val="000000"/>
              </w:rPr>
              <w:t>CH</w:t>
            </w:r>
            <w:r>
              <w:rPr>
                <w:rFonts w:hint="eastAsia" w:ascii="Arial Narrow" w:hAnsi="Arial Narrow" w:eastAsia="Calibri"/>
                <w:i/>
                <w:iCs/>
                <w:color w:val="000000"/>
                <w:vertAlign w:val="subscript"/>
              </w:rPr>
              <w:t>T</w:t>
            </w:r>
            <w:r>
              <w:rPr>
                <w:rFonts w:hint="eastAsia" w:ascii="Arial Narrow" w:hAnsi="Arial Narrow" w:eastAsia="Calibri"/>
                <w:color w:val="000000"/>
              </w:rPr>
              <w:t xml:space="preserve"> ditetapkan dari curah hujan wilayah menggunakan sebaran peluang yang sesuai (yaitu Gumbel dan Log Pearson Tipe III.</w:t>
            </w:r>
          </w:p>
          <w:p>
            <w:pPr>
              <w:keepNext w:val="0"/>
              <w:keepLines w:val="0"/>
              <w:widowControl/>
              <w:suppressLineNumbers w:val="0"/>
              <w:spacing w:before="0" w:beforeAutospacing="0" w:after="360" w:afterAutospacing="0" w:line="240" w:lineRule="auto"/>
              <w:ind w:left="0" w:right="0"/>
              <w:jc w:val="both"/>
              <w:rPr>
                <w:rFonts w:hint="default" w:ascii="Arial Narrow" w:hAnsi="Arial Narrow"/>
                <w:lang w:val="en-US"/>
              </w:rPr>
            </w:pPr>
            <w:r>
              <w:rPr>
                <w:rFonts w:hint="eastAsia" w:ascii="Arial Narrow" w:hAnsi="Arial Narrow" w:eastAsia="Calibri"/>
                <w:color w:val="000000"/>
              </w:rPr>
              <w:t>Dalam penetapan CH rencana dengan peluang waktu tertentu, telah memperhatikan variasi dan distribusi hujan</w:t>
            </w:r>
            <w:r>
              <w:rPr>
                <w:rFonts w:hint="eastAsia" w:ascii="Arial Narrow" w:hAnsi="Arial Narrow"/>
              </w:rPr>
              <w:t xml:space="preserve"> wilayah.</w:t>
            </w:r>
            <w:r>
              <w:rPr>
                <w:rFonts w:hint="default" w:ascii="Arial Narrow" w:hAnsi="Arial Narrow"/>
                <w:lang w:val="en-US"/>
              </w:rPr>
              <w:t xml:space="preserve"> Ketepatan model diuji dengan uji determinasi </w:t>
            </w:r>
            <w:r>
              <w:rPr>
                <w:rFonts w:hint="default" w:ascii="Arial Narrow" w:hAnsi="Arial Narrow" w:cs="Arial Narrow"/>
                <w:sz w:val="20"/>
                <w:szCs w:val="20"/>
                <w:lang w:val="en-US"/>
              </w:rPr>
              <w:t>(</w:t>
            </w:r>
            <w:r>
              <w:rPr>
                <w:rFonts w:hint="default" w:ascii="Arial Narrow" w:hAnsi="Arial Narrow" w:eastAsia="Times New Roman" w:cs="Arial Narrow"/>
                <w:color w:val="222222"/>
                <w:kern w:val="0"/>
                <w:sz w:val="20"/>
                <w:szCs w:val="20"/>
                <w:lang w:val="en-US" w:eastAsia="zh-CN" w:bidi="ar"/>
                <w14:ligatures w14:val="none"/>
              </w:rPr>
              <w:t>R</w:t>
            </w:r>
            <w:r>
              <w:rPr>
                <w:rFonts w:hint="default" w:ascii="Arial Narrow" w:hAnsi="Arial Narrow" w:eastAsia="Times New Roman" w:cs="Arial Narrow"/>
                <w:color w:val="222222"/>
                <w:kern w:val="0"/>
                <w:sz w:val="20"/>
                <w:szCs w:val="20"/>
                <w:vertAlign w:val="superscript"/>
                <w:lang w:val="en-US" w:eastAsia="zh-CN" w:bidi="ar"/>
                <w14:ligatures w14:val="none"/>
              </w:rPr>
              <w:t>2</w:t>
            </w:r>
            <w:r>
              <w:rPr>
                <w:rFonts w:hint="default" w:ascii="Arial Narrow" w:hAnsi="Arial Narrow"/>
                <w:lang w:val="en-US"/>
              </w:rPr>
              <w:t>) dan NSE antara data prediksi model dengan data observasi.  Model dengan distribusi peluang Log Pearson Type III lebih sesuai dibanding model dengan distribusi peluang Gumbel.</w:t>
            </w:r>
          </w:p>
          <w:p>
            <w:pPr>
              <w:keepNext w:val="0"/>
              <w:keepLines w:val="0"/>
              <w:widowControl/>
              <w:suppressLineNumbers w:val="0"/>
              <w:spacing w:before="0" w:beforeAutospacing="0" w:after="360" w:afterAutospacing="0" w:line="240" w:lineRule="auto"/>
              <w:ind w:left="0" w:right="0"/>
              <w:jc w:val="both"/>
              <w:rPr>
                <w:rFonts w:hint="default" w:ascii="Arial Narrow" w:hAnsi="Arial Narrow"/>
                <w:lang w:val="en-US"/>
              </w:rPr>
            </w:pPr>
            <w:r>
              <w:rPr>
                <w:rFonts w:hint="default" w:ascii="Arial Narrow" w:hAnsi="Arial Narrow"/>
                <w:lang w:val="en-US"/>
              </w:rPr>
              <w:t xml:space="preserve">Metode rasional telah banyak digunalkan untuk prediksi debit puncak suatu DAS dalam berbagai model yang berbasis DAS, antara lain model </w:t>
            </w:r>
            <w:r>
              <w:rPr>
                <w:rFonts w:hint="default" w:ascii="Arial Narrow" w:hAnsi="Arial Narrow"/>
                <w:color w:val="000000" w:themeColor="text1"/>
                <w:lang w:val="en-US"/>
                <w14:textFill>
                  <w14:solidFill>
                    <w14:schemeClr w14:val="tx1"/>
                  </w14:solidFill>
                </w14:textFill>
              </w:rPr>
              <w:t xml:space="preserve"> </w:t>
            </w:r>
            <w:r>
              <w:rPr>
                <w:rFonts w:hint="default" w:ascii="Arial Narrow" w:hAnsi="Arial Narrow" w:eastAsia="Helvetica" w:cs="Arial Narrow"/>
                <w:i/>
                <w:iCs/>
                <w:caps w:val="0"/>
                <w:color w:val="000000" w:themeColor="text1"/>
                <w:spacing w:val="0"/>
                <w:sz w:val="20"/>
                <w:szCs w:val="20"/>
                <w:shd w:val="clear" w:fill="FFFFFF"/>
                <w14:textFill>
                  <w14:solidFill>
                    <w14:schemeClr w14:val="tx1"/>
                  </w14:solidFill>
                </w14:textFill>
              </w:rPr>
              <w:t>Watershed Modeling System</w:t>
            </w:r>
            <w:r>
              <w:rPr>
                <w:rFonts w:hint="default" w:ascii="Arial Narrow" w:hAnsi="Arial Narrow" w:eastAsia="Helvetica" w:cs="Arial Narrow"/>
                <w:i w:val="0"/>
                <w:iCs w:val="0"/>
                <w:caps w:val="0"/>
                <w:color w:val="000000" w:themeColor="text1"/>
                <w:spacing w:val="0"/>
                <w:sz w:val="20"/>
                <w:szCs w:val="20"/>
                <w:shd w:val="clear" w:fill="FFFFFF"/>
                <w:lang w:val="en-US"/>
                <w14:textFill>
                  <w14:solidFill>
                    <w14:schemeClr w14:val="tx1"/>
                  </w14:solidFill>
                </w14:textFill>
              </w:rPr>
              <w:t xml:space="preserve"> (WMS)</w:t>
            </w:r>
          </w:p>
          <w:p>
            <w:pPr>
              <w:pStyle w:val="5"/>
              <w:keepNext w:val="0"/>
              <w:keepLines w:val="0"/>
              <w:widowControl/>
              <w:numPr>
                <w:ilvl w:val="0"/>
                <w:numId w:val="1"/>
              </w:numPr>
              <w:suppressLineNumbers w:val="0"/>
              <w:spacing w:before="0" w:beforeAutospacing="0" w:afterAutospacing="0"/>
              <w:ind w:right="0"/>
              <w:jc w:val="both"/>
              <w:rPr>
                <w:rFonts w:hint="eastAsia" w:ascii="Arial Narrow" w:hAnsi="Arial Narrow"/>
              </w:rPr>
            </w:pPr>
            <w:r>
              <w:rPr>
                <w:rFonts w:hint="eastAsia" w:ascii="Arial Narrow" w:hAnsi="Arial Narrow"/>
              </w:rPr>
              <w:t>Justifikasi ditambahkan di Pendahuluan dan Pembahasan</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2.</w:t>
            </w:r>
          </w:p>
        </w:tc>
        <w:tc>
          <w:tcPr>
            <w:tcW w:w="4500"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eastAsia="Helvetica" w:cs="Arial"/>
                <w:color w:val="222222"/>
                <w:lang w:bidi="ar"/>
              </w:rPr>
              <w:t>Persamaan (3) dan (4) belum ada keterangan simbol.</w:t>
            </w:r>
          </w:p>
        </w:tc>
        <w:tc>
          <w:tcPr>
            <w:tcW w:w="431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Sudah ditambahkan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3.</w:t>
            </w:r>
          </w:p>
        </w:tc>
        <w:tc>
          <w:tcPr>
            <w:tcW w:w="4500"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eastAsia="Helvetica" w:cs="Arial"/>
                <w:color w:val="222222"/>
                <w:lang w:bidi="ar"/>
              </w:rPr>
              <w:t>Keterangan pada distribusi curah hujan wilayah DAS Ciliwung Hulu pada distribusi Gumbel dan Log Pearson tipe III "agak memenuhi". Hal ini perlu penjelasan karena istilah ini kurang dikenal.</w:t>
            </w:r>
            <w:r>
              <w:rPr>
                <w:rFonts w:hint="eastAsia" w:ascii="Arial Narrow" w:hAnsi="Arial Narrow" w:eastAsia="Helvetica" w:cs="Arial"/>
                <w:color w:val="222222"/>
                <w:lang w:bidi="ar"/>
              </w:rPr>
              <w:br w:type="textWrapping"/>
            </w:r>
          </w:p>
        </w:tc>
        <w:tc>
          <w:tcPr>
            <w:tcW w:w="431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Sudah diganti dengan kata “cocok/sesuai”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53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4.</w:t>
            </w:r>
          </w:p>
        </w:tc>
        <w:tc>
          <w:tcPr>
            <w:tcW w:w="4500"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eastAsia="Helvetica" w:cs="Arial"/>
                <w:color w:val="222222"/>
                <w:lang w:bidi="ar"/>
              </w:rPr>
              <w:t>Nilai konstanta/slope pada model regresi untuk distribusi Gumbe</w:t>
            </w:r>
            <w:r>
              <w:rPr>
                <w:rFonts w:hint="default" w:ascii="Arial Narrow" w:hAnsi="Arial Narrow" w:eastAsia="Helvetica" w:cs="Arial"/>
                <w:color w:val="222222"/>
                <w:lang w:val="en-US" w:bidi="ar"/>
              </w:rPr>
              <w:t>l</w:t>
            </w:r>
            <w:r>
              <w:rPr>
                <w:rFonts w:hint="eastAsia" w:ascii="Arial Narrow" w:hAnsi="Arial Narrow" w:eastAsia="Helvetica" w:cs="Arial"/>
                <w:color w:val="222222"/>
                <w:lang w:bidi="ar"/>
              </w:rPr>
              <w:t xml:space="preserve"> (Gambar 2) lebih besar daripada nilai konstanta pada Log Pearson tipe III (gambar 3). Bagaimana justifikasinya?</w:t>
            </w:r>
          </w:p>
        </w:tc>
        <w:tc>
          <w:tcPr>
            <w:tcW w:w="4315" w:type="dxa"/>
          </w:tcPr>
          <w:p>
            <w:pPr>
              <w:keepNext w:val="0"/>
              <w:keepLines w:val="0"/>
              <w:widowControl/>
              <w:suppressLineNumbers w:val="0"/>
              <w:spacing w:before="0" w:beforeAutospacing="0" w:afterAutospacing="0"/>
              <w:ind w:left="0" w:right="0"/>
              <w:jc w:val="both"/>
              <w:rPr>
                <w:rFonts w:hint="default" w:ascii="Arial Narrow" w:hAnsi="Arial Narrow" w:cs="Arial Narrow"/>
                <w:sz w:val="20"/>
                <w:szCs w:val="20"/>
              </w:rPr>
            </w:pPr>
            <w:r>
              <w:rPr>
                <w:rFonts w:hint="default" w:ascii="Arial Narrow" w:hAnsi="Arial Narrow" w:cs="Arial Narrow"/>
                <w:sz w:val="20"/>
                <w:szCs w:val="20"/>
              </w:rPr>
              <w:t xml:space="preserve">Sudah </w:t>
            </w:r>
            <w:r>
              <w:rPr>
                <w:rFonts w:hint="default" w:ascii="Arial Narrow" w:hAnsi="Arial Narrow" w:cs="Arial Narrow"/>
                <w:sz w:val="20"/>
                <w:szCs w:val="20"/>
                <w:lang w:val="en-US"/>
              </w:rPr>
              <w:t>ada</w:t>
            </w:r>
            <w:r>
              <w:rPr>
                <w:rFonts w:hint="default" w:ascii="Arial Narrow" w:hAnsi="Arial Narrow" w:cs="Arial Narrow"/>
                <w:sz w:val="20"/>
                <w:szCs w:val="20"/>
              </w:rPr>
              <w:t xml:space="preserve"> penjelasan di pembahasan tentang hal ini.</w:t>
            </w:r>
          </w:p>
          <w:p>
            <w:pPr>
              <w:keepNext w:val="0"/>
              <w:keepLines w:val="0"/>
              <w:widowControl/>
              <w:suppressLineNumbers w:val="0"/>
              <w:spacing w:before="0" w:beforeAutospacing="0" w:after="160" w:afterAutospacing="0" w:line="256" w:lineRule="auto"/>
              <w:ind w:left="0" w:right="0"/>
              <w:jc w:val="both"/>
              <w:rPr>
                <w:rFonts w:hint="default" w:ascii="Arial Narrow" w:hAnsi="Arial Narrow"/>
                <w:lang w:val="en-US"/>
              </w:rPr>
            </w:pPr>
            <w:r>
              <w:rPr>
                <w:rFonts w:hint="default" w:ascii="Arial Narrow" w:hAnsi="Arial Narrow" w:cs="Arial Narrow"/>
                <w:sz w:val="20"/>
                <w:szCs w:val="20"/>
                <w:lang w:val="en-US"/>
              </w:rPr>
              <w:t xml:space="preserve">Nilai </w:t>
            </w:r>
            <w:r>
              <w:rPr>
                <w:rFonts w:hint="default" w:ascii="Arial Narrow" w:hAnsi="Arial Narrow" w:eastAsia="Calibri" w:cs="Arial Narrow"/>
                <w:kern w:val="2"/>
                <w:sz w:val="20"/>
                <w:szCs w:val="20"/>
                <w:lang w:val="en-US" w:eastAsia="zh-CN" w:bidi="ar"/>
                <w14:ligatures w14:val="none"/>
              </w:rPr>
              <w:t>R</w:t>
            </w:r>
            <w:r>
              <w:rPr>
                <w:rFonts w:hint="default" w:ascii="Arial Narrow" w:hAnsi="Arial Narrow" w:eastAsia="Calibri" w:cs="Arial Narrow"/>
                <w:kern w:val="2"/>
                <w:sz w:val="20"/>
                <w:szCs w:val="20"/>
                <w:vertAlign w:val="superscript"/>
                <w:lang w:val="en-US" w:eastAsia="zh-CN" w:bidi="ar"/>
                <w14:ligatures w14:val="none"/>
              </w:rPr>
              <w:t xml:space="preserve">2 </w:t>
            </w:r>
            <w:r>
              <w:rPr>
                <w:rFonts w:hint="default" w:ascii="Arial Narrow" w:hAnsi="Arial Narrow" w:eastAsia="Calibri" w:cs="Arial Narrow"/>
                <w:kern w:val="2"/>
                <w:sz w:val="20"/>
                <w:szCs w:val="20"/>
                <w:vertAlign w:val="baseline"/>
                <w:lang w:val="en-US" w:eastAsia="zh-CN" w:bidi="ar"/>
                <w14:ligatures w14:val="none"/>
              </w:rPr>
              <w:t xml:space="preserve">pada regresi menurut distribusi Gumbel </w:t>
            </w:r>
            <w:r>
              <w:rPr>
                <w:rFonts w:hint="default" w:ascii="Arial Narrow" w:hAnsi="Arial Narrow" w:eastAsia="Helvetica" w:cs="Arial Narrow"/>
                <w:color w:val="222222"/>
                <w:sz w:val="20"/>
                <w:szCs w:val="20"/>
                <w:lang w:bidi="ar"/>
              </w:rPr>
              <w:t>(Gambar 2)</w:t>
            </w:r>
            <w:r>
              <w:rPr>
                <w:rFonts w:hint="default" w:ascii="Arial Narrow" w:hAnsi="Arial Narrow" w:eastAsia="Helvetica" w:cs="Arial Narrow"/>
                <w:color w:val="222222"/>
                <w:sz w:val="20"/>
                <w:szCs w:val="20"/>
                <w:lang w:val="en-US" w:bidi="ar"/>
              </w:rPr>
              <w:t xml:space="preserve"> lebih kecil </w:t>
            </w:r>
            <w:r>
              <w:rPr>
                <w:rFonts w:hint="default" w:ascii="Arial Narrow" w:hAnsi="Arial Narrow" w:eastAsia="Helvetica" w:cs="Arial Narrow"/>
                <w:color w:val="222222"/>
                <w:sz w:val="20"/>
                <w:szCs w:val="20"/>
                <w:lang w:bidi="ar"/>
              </w:rPr>
              <w:t>daripada nilai konstanta pada Log Pearson tipe III (</w:t>
            </w:r>
            <w:r>
              <w:rPr>
                <w:rFonts w:hint="default" w:ascii="Arial Narrow" w:hAnsi="Arial Narrow" w:eastAsia="Helvetica" w:cs="Arial Narrow"/>
                <w:color w:val="222222"/>
                <w:sz w:val="20"/>
                <w:szCs w:val="20"/>
                <w:lang w:val="en-US" w:bidi="ar"/>
              </w:rPr>
              <w:t>G</w:t>
            </w:r>
            <w:r>
              <w:rPr>
                <w:rFonts w:hint="default" w:ascii="Arial Narrow" w:hAnsi="Arial Narrow" w:eastAsia="Helvetica" w:cs="Arial Narrow"/>
                <w:color w:val="222222"/>
                <w:sz w:val="20"/>
                <w:szCs w:val="20"/>
                <w:lang w:bidi="ar"/>
              </w:rPr>
              <w:t>ambar 3)</w:t>
            </w:r>
            <w:r>
              <w:rPr>
                <w:rFonts w:hint="default" w:ascii="Arial Narrow" w:hAnsi="Arial Narrow" w:eastAsia="Helvetica" w:cs="Arial Narrow"/>
                <w:color w:val="222222"/>
                <w:sz w:val="20"/>
                <w:szCs w:val="20"/>
                <w:lang w:val="en-US" w:bidi="ar"/>
              </w:rPr>
              <w:t xml:space="preserve">. Pada Gambar 3, </w:t>
            </w:r>
            <w:r>
              <w:rPr>
                <w:rFonts w:hint="default" w:ascii="Arial Narrow" w:hAnsi="Arial Narrow" w:eastAsia="Calibri" w:cs="Arial Narrow"/>
                <w:kern w:val="2"/>
                <w:sz w:val="20"/>
                <w:szCs w:val="20"/>
                <w:lang w:val="en-US" w:eastAsia="zh-CN" w:bidi="ar"/>
                <w14:ligatures w14:val="none"/>
              </w:rPr>
              <w:t>R</w:t>
            </w:r>
            <w:r>
              <w:rPr>
                <w:rFonts w:hint="default" w:ascii="Arial Narrow" w:hAnsi="Arial Narrow" w:eastAsia="Calibri" w:cs="Arial Narrow"/>
                <w:kern w:val="2"/>
                <w:sz w:val="20"/>
                <w:szCs w:val="20"/>
                <w:vertAlign w:val="superscript"/>
                <w:lang w:val="en-US" w:eastAsia="zh-CN" w:bidi="ar"/>
                <w14:ligatures w14:val="none"/>
              </w:rPr>
              <w:t xml:space="preserve">2 </w:t>
            </w:r>
            <w:r>
              <w:rPr>
                <w:rFonts w:hint="default" w:ascii="Arial Narrow" w:hAnsi="Arial Narrow" w:eastAsia="Calibri" w:cs="Arial Narrow"/>
                <w:kern w:val="2"/>
                <w:sz w:val="20"/>
                <w:szCs w:val="20"/>
                <w:lang w:val="en-US" w:eastAsia="zh-CN" w:bidi="ar"/>
                <w14:ligatures w14:val="none"/>
              </w:rPr>
              <w:t xml:space="preserve">= 0.99, artinya </w:t>
            </w:r>
            <w:r>
              <w:rPr>
                <w:rFonts w:hint="default" w:ascii="Arial Narrow" w:hAnsi="Arial Narrow" w:cs="Arial Narrow"/>
                <w:color w:val="auto"/>
                <w:sz w:val="20"/>
                <w:szCs w:val="20"/>
                <w:lang w:val="en-US"/>
              </w:rPr>
              <w:t xml:space="preserve">debit model berdasar distribusi </w:t>
            </w:r>
            <w:r>
              <w:rPr>
                <w:rFonts w:hint="default" w:ascii="Arial Narrow" w:hAnsi="Arial Narrow" w:eastAsia="Helvetica" w:cs="Arial Narrow"/>
                <w:color w:val="222222"/>
                <w:sz w:val="20"/>
                <w:szCs w:val="20"/>
                <w:lang w:bidi="ar"/>
              </w:rPr>
              <w:t>Log Pearson tipe III</w:t>
            </w:r>
            <w:r>
              <w:rPr>
                <w:rFonts w:hint="default" w:ascii="Arial Narrow" w:hAnsi="Arial Narrow" w:eastAsia="Helvetica" w:cs="Arial Narrow"/>
                <w:color w:val="222222"/>
                <w:sz w:val="20"/>
                <w:szCs w:val="20"/>
                <w:lang w:val="en-US" w:bidi="ar"/>
              </w:rPr>
              <w:t xml:space="preserve"> </w:t>
            </w:r>
            <w:r>
              <w:rPr>
                <w:rFonts w:hint="default" w:ascii="Arial Narrow" w:hAnsi="Arial Narrow" w:cs="Arial Narrow"/>
                <w:color w:val="auto"/>
                <w:sz w:val="20"/>
                <w:szCs w:val="20"/>
                <w:lang w:val="en-US"/>
              </w:rPr>
              <w:t xml:space="preserve">dapat dijelaskan oleh debit observasi sebesar 99%; sedangkan </w:t>
            </w:r>
            <w:r>
              <w:rPr>
                <w:rFonts w:hint="default" w:ascii="Arial Narrow" w:hAnsi="Arial Narrow" w:eastAsia="Calibri" w:cs="Arial Narrow"/>
                <w:kern w:val="2"/>
                <w:sz w:val="20"/>
                <w:szCs w:val="20"/>
                <w:vertAlign w:val="baseline"/>
                <w:lang w:val="en-US" w:eastAsia="zh-CN" w:bidi="ar"/>
                <w14:ligatures w14:val="none"/>
              </w:rPr>
              <w:t xml:space="preserve">menurut distribusi Gumbel </w:t>
            </w:r>
            <w:r>
              <w:rPr>
                <w:rFonts w:hint="default" w:ascii="Arial Narrow" w:hAnsi="Arial Narrow" w:eastAsia="Helvetica" w:cs="Arial Narrow"/>
                <w:color w:val="222222"/>
                <w:sz w:val="20"/>
                <w:szCs w:val="20"/>
                <w:lang w:bidi="ar"/>
              </w:rPr>
              <w:t>(Gambar 2)</w:t>
            </w:r>
            <w:r>
              <w:rPr>
                <w:rFonts w:hint="default" w:ascii="Arial Narrow" w:hAnsi="Arial Narrow" w:eastAsia="Helvetica" w:cs="Arial Narrow"/>
                <w:color w:val="222222"/>
                <w:sz w:val="20"/>
                <w:szCs w:val="20"/>
                <w:lang w:val="en-US" w:bidi="ar"/>
              </w:rPr>
              <w:t xml:space="preserve">, </w:t>
            </w:r>
            <w:r>
              <w:rPr>
                <w:rFonts w:hint="default" w:ascii="Arial Narrow" w:hAnsi="Arial Narrow" w:eastAsia="Calibri" w:cs="Arial Narrow"/>
                <w:kern w:val="2"/>
                <w:sz w:val="20"/>
                <w:szCs w:val="20"/>
                <w:lang w:val="en-US" w:eastAsia="zh-CN" w:bidi="ar"/>
                <w14:ligatures w14:val="none"/>
              </w:rPr>
              <w:t>R</w:t>
            </w:r>
            <w:r>
              <w:rPr>
                <w:rFonts w:hint="default" w:ascii="Arial Narrow" w:hAnsi="Arial Narrow" w:eastAsia="Calibri" w:cs="Arial Narrow"/>
                <w:kern w:val="2"/>
                <w:sz w:val="20"/>
                <w:szCs w:val="20"/>
                <w:vertAlign w:val="superscript"/>
                <w:lang w:val="en-US" w:eastAsia="zh-CN" w:bidi="ar"/>
                <w14:ligatures w14:val="none"/>
              </w:rPr>
              <w:t xml:space="preserve">2 </w:t>
            </w:r>
            <w:r>
              <w:rPr>
                <w:rFonts w:hint="default" w:ascii="Arial Narrow" w:hAnsi="Arial Narrow" w:eastAsia="Calibri" w:cs="Arial Narrow"/>
                <w:kern w:val="2"/>
                <w:sz w:val="20"/>
                <w:szCs w:val="20"/>
                <w:lang w:val="en-US" w:eastAsia="zh-CN" w:bidi="ar"/>
                <w14:ligatures w14:val="none"/>
              </w:rPr>
              <w:t>= 0.98. Dengan demikian, prediksi model berdasar distribusi Log Pearson tipe 3 lebih baik daripada model berdasar distribusi Gumbel.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5.</w:t>
            </w:r>
          </w:p>
        </w:tc>
        <w:tc>
          <w:tcPr>
            <w:tcW w:w="4500" w:type="dxa"/>
          </w:tcPr>
          <w:p>
            <w:pPr>
              <w:keepNext w:val="0"/>
              <w:keepLines w:val="0"/>
              <w:widowControl/>
              <w:suppressLineNumbers w:val="0"/>
              <w:spacing w:before="0" w:beforeAutospacing="0" w:afterAutospacing="0"/>
              <w:ind w:left="0" w:right="0"/>
              <w:rPr>
                <w:rFonts w:hint="eastAsia" w:ascii="Arial Narrow" w:hAnsi="Arial Narrow" w:eastAsia="Helvetica" w:cs="Arial"/>
                <w:color w:val="222222"/>
                <w:lang w:bidi="ar"/>
              </w:rPr>
            </w:pPr>
            <w:r>
              <w:rPr>
                <w:rFonts w:hint="eastAsia" w:ascii="Arial Narrow" w:hAnsi="Arial Narrow" w:eastAsia="Helvetica" w:cs="Arial"/>
                <w:color w:val="222222"/>
                <w:lang w:bidi="ar"/>
              </w:rPr>
              <w:t>Kesimpulan sebaiknya dalam bentuk narasi, bukan poin-poin. Selain merupakan ringkasan hasil, kesimpulan hendaknya juga memuat keterbatasan penelitian dan kemungkinan penelitian selanjutnya.</w:t>
            </w:r>
          </w:p>
        </w:tc>
        <w:tc>
          <w:tcPr>
            <w:tcW w:w="431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Sudah diperbaiki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6.</w:t>
            </w:r>
          </w:p>
        </w:tc>
        <w:tc>
          <w:tcPr>
            <w:tcW w:w="4500" w:type="dxa"/>
          </w:tcPr>
          <w:p>
            <w:pPr>
              <w:keepNext w:val="0"/>
              <w:keepLines w:val="0"/>
              <w:widowControl/>
              <w:suppressLineNumbers w:val="0"/>
              <w:spacing w:before="0" w:beforeAutospacing="0" w:afterAutospacing="0"/>
              <w:ind w:left="0" w:right="0"/>
              <w:rPr>
                <w:rFonts w:hint="eastAsia" w:ascii="Arial Narrow" w:hAnsi="Arial Narrow" w:eastAsia="Helvetica" w:cs="Arial"/>
                <w:color w:val="222222"/>
                <w:lang w:bidi="ar"/>
              </w:rPr>
            </w:pPr>
            <w:r>
              <w:rPr>
                <w:rFonts w:hint="eastAsia" w:ascii="Arial Narrow" w:hAnsi="Arial Narrow" w:eastAsia="Helvetica" w:cs="Arial"/>
                <w:color w:val="222222"/>
                <w:lang w:bidi="ar"/>
              </w:rPr>
              <w:t>Beberapa referensi sudah terlalu lama, perlu diupdate dengan referensi-referensi terbaru (5-10 tahun terakhir).</w:t>
            </w:r>
          </w:p>
        </w:tc>
        <w:tc>
          <w:tcPr>
            <w:tcW w:w="4315" w:type="dxa"/>
          </w:tcPr>
          <w:p>
            <w:pPr>
              <w:keepNext w:val="0"/>
              <w:keepLines w:val="0"/>
              <w:widowControl/>
              <w:suppressLineNumbers w:val="0"/>
              <w:spacing w:before="0" w:beforeAutospacing="0" w:afterAutospacing="0"/>
              <w:ind w:left="0" w:right="0"/>
              <w:rPr>
                <w:rFonts w:hint="eastAsia" w:ascii="Arial Narrow" w:hAnsi="Arial Narrow"/>
              </w:rPr>
            </w:pPr>
            <w:r>
              <w:rPr>
                <w:rFonts w:hint="eastAsia" w:ascii="Arial Narrow" w:hAnsi="Arial Narrow"/>
              </w:rPr>
              <w:t>Sudah diperbaiki</w:t>
            </w:r>
          </w:p>
        </w:tc>
      </w:tr>
    </w:tbl>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05843"/>
    <w:multiLevelType w:val="multilevel"/>
    <w:tmpl w:val="1B705843"/>
    <w:lvl w:ilvl="0" w:tentative="0">
      <w:start w:val="2"/>
      <w:numFmt w:val="bullet"/>
      <w:lvlText w:val=""/>
      <w:lvlJc w:val="left"/>
      <w:pPr>
        <w:ind w:left="720" w:hanging="360"/>
      </w:pPr>
      <w:rPr>
        <w:rFonts w:hint="default" w:ascii="Wingdings" w:hAnsi="Wingdings"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A2"/>
    <w:rsid w:val="0007733B"/>
    <w:rsid w:val="009C1B1B"/>
    <w:rsid w:val="00D1426B"/>
    <w:rsid w:val="00DD7E5B"/>
    <w:rsid w:val="00F53AA2"/>
    <w:rsid w:val="00FC3899"/>
    <w:rsid w:val="16601EE1"/>
    <w:rsid w:val="27995DB0"/>
    <w:rsid w:val="3AEA4574"/>
    <w:rsid w:val="4BA97D3B"/>
    <w:rsid w:val="50753F15"/>
    <w:rsid w:val="6758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kern w:val="0"/>
      <w:sz w:val="20"/>
      <w:szCs w:val="20"/>
      <w:lang w:val="en-US" w:eastAsia="zh-CN"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rPr>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1905</Characters>
  <Lines>15</Lines>
  <Paragraphs>4</Paragraphs>
  <TotalTime>3</TotalTime>
  <ScaleCrop>false</ScaleCrop>
  <LinksUpToDate>false</LinksUpToDate>
  <CharactersWithSpaces>2235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2023-06-06T07:09:00Z</dcterms:created>
  <dc:creator>-</dc:creator>
  <cp:lastModifiedBy>Enni Dwi Wahjunie</cp:lastModifiedBy>
  <dcterms:modified xsi:type="dcterms:W3CDTF">2023-06-13T16:22:21Z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9C22676EA1C1487382E0707F2888616E</vt:lpwstr>
  </property>
</Properties>
</file>