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BE3" w:rsidRPr="005E0CD7" w:rsidRDefault="00EB6BE3" w:rsidP="00EC612F">
      <w:pPr>
        <w:tabs>
          <w:tab w:val="left" w:pos="4962"/>
        </w:tabs>
        <w:adjustRightInd w:val="0"/>
        <w:spacing w:after="0" w:line="240" w:lineRule="auto"/>
        <w:ind w:right="-295"/>
        <w:rPr>
          <w:rFonts w:asciiTheme="majorHAnsi" w:hAnsiTheme="majorHAnsi" w:cs="TimesNewRomanPSMT"/>
          <w:bCs/>
          <w:sz w:val="16"/>
          <w:szCs w:val="16"/>
        </w:rPr>
      </w:pPr>
      <w:r w:rsidRPr="005E0CD7">
        <w:rPr>
          <w:rFonts w:asciiTheme="majorHAnsi" w:hAnsiTheme="majorHAnsi" w:cs="TimesNewRomanPSMT"/>
          <w:bCs/>
          <w:sz w:val="16"/>
          <w:szCs w:val="16"/>
        </w:rPr>
        <w:t xml:space="preserve">© </w:t>
      </w:r>
      <w:r w:rsidR="00392FBD">
        <w:rPr>
          <w:rFonts w:asciiTheme="majorHAnsi" w:hAnsiTheme="majorHAnsi" w:cs="TimesNewRomanPSMT"/>
          <w:bCs/>
          <w:sz w:val="16"/>
          <w:szCs w:val="16"/>
        </w:rPr>
        <w:t>xxx</w:t>
      </w:r>
      <w:r w:rsidRPr="005E0CD7">
        <w:rPr>
          <w:rFonts w:asciiTheme="majorHAnsi" w:hAnsiTheme="majorHAnsi" w:cs="TimesNewRomanPSMT"/>
          <w:bCs/>
          <w:sz w:val="16"/>
          <w:szCs w:val="16"/>
        </w:rPr>
        <w:t xml:space="preserve"> Program Studi Ilmu Lingkungan </w:t>
      </w:r>
      <w:r w:rsidR="009938B6">
        <w:rPr>
          <w:rFonts w:asciiTheme="majorHAnsi" w:hAnsiTheme="majorHAnsi" w:cs="TimesNewRomanPSMT"/>
          <w:bCs/>
          <w:sz w:val="16"/>
          <w:szCs w:val="16"/>
        </w:rPr>
        <w:t>Sekolah</w:t>
      </w:r>
      <w:r w:rsidRPr="005E0CD7">
        <w:rPr>
          <w:rFonts w:asciiTheme="majorHAnsi" w:hAnsiTheme="majorHAnsi" w:cs="TimesNewRomanPSMT"/>
          <w:bCs/>
          <w:sz w:val="16"/>
          <w:szCs w:val="16"/>
        </w:rPr>
        <w:t xml:space="preserve"> Pascasarjana UNDIP</w:t>
      </w:r>
    </w:p>
    <w:p w:rsidR="00EB6BE3" w:rsidRPr="005E0CD7" w:rsidRDefault="00EB6BE3" w:rsidP="00EC612F">
      <w:pPr>
        <w:tabs>
          <w:tab w:val="left" w:pos="4962"/>
        </w:tabs>
        <w:adjustRightInd w:val="0"/>
        <w:spacing w:after="0" w:line="240" w:lineRule="auto"/>
        <w:ind w:right="-295"/>
        <w:rPr>
          <w:rFonts w:asciiTheme="majorHAnsi" w:hAnsiTheme="majorHAnsi" w:cs="TimesNewRomanPSMT"/>
          <w:bCs/>
          <w:sz w:val="16"/>
          <w:szCs w:val="16"/>
        </w:rPr>
      </w:pPr>
      <w:r w:rsidRPr="005E0CD7">
        <w:rPr>
          <w:rFonts w:asciiTheme="majorHAnsi" w:hAnsiTheme="majorHAnsi" w:cs="TimesNewRomanPSMT"/>
          <w:b/>
          <w:bCs/>
          <w:sz w:val="28"/>
          <w:szCs w:val="28"/>
        </w:rPr>
        <w:t>JURNAL ILMU LINGKUNGAN</w:t>
      </w:r>
    </w:p>
    <w:p w:rsidR="00EB6BE3" w:rsidRPr="005E0CD7" w:rsidRDefault="00EB6BE3" w:rsidP="00EC612F">
      <w:pPr>
        <w:autoSpaceDE w:val="0"/>
        <w:autoSpaceDN w:val="0"/>
        <w:adjustRightInd w:val="0"/>
        <w:spacing w:after="0" w:line="240" w:lineRule="auto"/>
        <w:rPr>
          <w:rFonts w:asciiTheme="majorHAnsi" w:hAnsiTheme="majorHAnsi"/>
          <w:i/>
          <w:iCs/>
          <w:sz w:val="16"/>
          <w:szCs w:val="16"/>
        </w:rPr>
      </w:pPr>
      <w:r w:rsidRPr="005E0CD7">
        <w:rPr>
          <w:rFonts w:asciiTheme="majorHAnsi" w:hAnsiTheme="majorHAnsi"/>
          <w:i/>
          <w:iCs/>
          <w:color w:val="FFFFFF"/>
          <w:sz w:val="16"/>
          <w:szCs w:val="16"/>
          <w:highlight w:val="darkBlue"/>
          <w:shd w:val="clear" w:color="auto" w:fill="00B050"/>
        </w:rPr>
        <w:t xml:space="preserve">Volume </w:t>
      </w:r>
      <w:r w:rsidR="00392FBD">
        <w:rPr>
          <w:rFonts w:asciiTheme="majorHAnsi" w:hAnsiTheme="majorHAnsi"/>
          <w:i/>
          <w:iCs/>
          <w:color w:val="FFFFFF"/>
          <w:sz w:val="16"/>
          <w:szCs w:val="16"/>
          <w:highlight w:val="darkBlue"/>
          <w:shd w:val="clear" w:color="auto" w:fill="00B050"/>
        </w:rPr>
        <w:t>xx</w:t>
      </w:r>
      <w:r w:rsidRPr="005E0CD7">
        <w:rPr>
          <w:rFonts w:asciiTheme="majorHAnsi" w:hAnsiTheme="majorHAnsi"/>
          <w:i/>
          <w:iCs/>
          <w:color w:val="FFFFFF"/>
          <w:sz w:val="16"/>
          <w:szCs w:val="16"/>
          <w:highlight w:val="darkBlue"/>
          <w:shd w:val="clear" w:color="auto" w:fill="00B050"/>
        </w:rPr>
        <w:t xml:space="preserve"> Issue </w:t>
      </w:r>
      <w:r w:rsidR="00392FBD">
        <w:rPr>
          <w:rFonts w:asciiTheme="majorHAnsi" w:hAnsiTheme="majorHAnsi"/>
          <w:i/>
          <w:iCs/>
          <w:color w:val="FFFFFF"/>
          <w:sz w:val="16"/>
          <w:szCs w:val="16"/>
          <w:highlight w:val="darkBlue"/>
          <w:shd w:val="clear" w:color="auto" w:fill="00B050"/>
        </w:rPr>
        <w:t>x</w:t>
      </w:r>
      <w:r w:rsidR="00336ADB">
        <w:rPr>
          <w:rFonts w:asciiTheme="majorHAnsi" w:hAnsiTheme="majorHAnsi"/>
          <w:i/>
          <w:iCs/>
          <w:color w:val="FFFFFF"/>
          <w:sz w:val="16"/>
          <w:szCs w:val="16"/>
          <w:highlight w:val="darkBlue"/>
          <w:shd w:val="clear" w:color="auto" w:fill="00B050"/>
        </w:rPr>
        <w:t xml:space="preserve"> </w:t>
      </w:r>
      <w:r w:rsidRPr="005E0CD7">
        <w:rPr>
          <w:rFonts w:asciiTheme="majorHAnsi" w:hAnsiTheme="majorHAnsi"/>
          <w:i/>
          <w:iCs/>
          <w:color w:val="FFFFFF"/>
          <w:sz w:val="16"/>
          <w:szCs w:val="16"/>
          <w:highlight w:val="darkBlue"/>
          <w:shd w:val="clear" w:color="auto" w:fill="00B050"/>
        </w:rPr>
        <w:t>(</w:t>
      </w:r>
      <w:r w:rsidR="00392FBD">
        <w:rPr>
          <w:rFonts w:asciiTheme="majorHAnsi" w:hAnsiTheme="majorHAnsi"/>
          <w:i/>
          <w:iCs/>
          <w:color w:val="FFFFFF"/>
          <w:sz w:val="16"/>
          <w:szCs w:val="16"/>
          <w:highlight w:val="darkBlue"/>
          <w:shd w:val="clear" w:color="auto" w:fill="00B050"/>
        </w:rPr>
        <w:t>xxxx</w:t>
      </w:r>
      <w:r w:rsidRPr="005E0CD7">
        <w:rPr>
          <w:rFonts w:asciiTheme="majorHAnsi" w:hAnsiTheme="majorHAnsi"/>
          <w:i/>
          <w:iCs/>
          <w:color w:val="FFFFFF"/>
          <w:sz w:val="16"/>
          <w:szCs w:val="16"/>
          <w:highlight w:val="darkBlue"/>
        </w:rPr>
        <w:t>)</w:t>
      </w:r>
      <w:r w:rsidR="005033C4">
        <w:rPr>
          <w:rFonts w:asciiTheme="majorHAnsi" w:hAnsiTheme="majorHAnsi"/>
          <w:i/>
          <w:iCs/>
          <w:color w:val="FFFFFF"/>
          <w:sz w:val="16"/>
          <w:szCs w:val="16"/>
          <w:highlight w:val="darkBlue"/>
        </w:rPr>
        <w:t xml:space="preserve"> : </w:t>
      </w:r>
      <w:r w:rsidR="00392FBD">
        <w:rPr>
          <w:rFonts w:asciiTheme="majorHAnsi" w:hAnsiTheme="majorHAnsi"/>
          <w:i/>
          <w:iCs/>
          <w:color w:val="FFFFFF"/>
          <w:sz w:val="16"/>
          <w:szCs w:val="16"/>
          <w:highlight w:val="darkBlue"/>
        </w:rPr>
        <w:t>xx</w:t>
      </w:r>
      <w:r w:rsidR="00AA3ACD">
        <w:rPr>
          <w:rFonts w:asciiTheme="majorHAnsi" w:hAnsiTheme="majorHAnsi"/>
          <w:i/>
          <w:iCs/>
          <w:color w:val="FFFFFF"/>
          <w:sz w:val="16"/>
          <w:szCs w:val="16"/>
          <w:highlight w:val="darkBlue"/>
        </w:rPr>
        <w:t>-</w:t>
      </w:r>
      <w:r w:rsidR="00392FBD">
        <w:rPr>
          <w:rFonts w:asciiTheme="majorHAnsi" w:hAnsiTheme="majorHAnsi"/>
          <w:i/>
          <w:iCs/>
          <w:color w:val="FFFFFF"/>
          <w:sz w:val="16"/>
          <w:szCs w:val="16"/>
          <w:highlight w:val="darkBlue"/>
        </w:rPr>
        <w:t>xxxx</w:t>
      </w:r>
      <w:r w:rsidRPr="005E0CD7">
        <w:rPr>
          <w:rFonts w:asciiTheme="majorHAnsi" w:hAnsiTheme="majorHAnsi"/>
          <w:i/>
          <w:iCs/>
          <w:color w:val="FFFFFF"/>
          <w:sz w:val="16"/>
          <w:szCs w:val="16"/>
          <w:highlight w:val="darkBlue"/>
        </w:rPr>
        <w:t xml:space="preserve"> </w:t>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t xml:space="preserve">       </w:t>
      </w:r>
      <w:r w:rsidR="00163425">
        <w:rPr>
          <w:rFonts w:asciiTheme="majorHAnsi" w:hAnsiTheme="majorHAnsi"/>
          <w:i/>
          <w:iCs/>
          <w:color w:val="FFFFFF"/>
          <w:sz w:val="16"/>
          <w:szCs w:val="16"/>
        </w:rPr>
        <w:t xml:space="preserve">     </w:t>
      </w:r>
      <w:r w:rsidR="00C51E94" w:rsidRPr="005E0CD7">
        <w:rPr>
          <w:rFonts w:asciiTheme="majorHAnsi" w:hAnsiTheme="majorHAnsi"/>
          <w:i/>
          <w:iCs/>
          <w:color w:val="FFFFFF"/>
          <w:sz w:val="16"/>
          <w:szCs w:val="16"/>
        </w:rPr>
        <w:t xml:space="preserve"> </w:t>
      </w:r>
      <w:r w:rsidR="005607BD" w:rsidRPr="005E0CD7">
        <w:rPr>
          <w:rFonts w:asciiTheme="majorHAnsi" w:hAnsiTheme="majorHAnsi"/>
          <w:i/>
          <w:iCs/>
          <w:color w:val="FFFFFF"/>
          <w:sz w:val="16"/>
          <w:szCs w:val="16"/>
        </w:rPr>
        <w:t xml:space="preserve"> </w:t>
      </w:r>
      <w:r w:rsidR="005607BD" w:rsidRPr="005E0CD7">
        <w:rPr>
          <w:rFonts w:asciiTheme="majorHAnsi" w:hAnsiTheme="majorHAnsi"/>
          <w:i/>
          <w:iCs/>
          <w:color w:val="FFFFFF" w:themeColor="background1"/>
          <w:sz w:val="16"/>
          <w:szCs w:val="16"/>
          <w:highlight w:val="darkBlue"/>
        </w:rPr>
        <w:t>ISSN 1829-8907</w:t>
      </w:r>
    </w:p>
    <w:p w:rsidR="001F1F68" w:rsidRPr="001F1F68" w:rsidRDefault="00207AD4" w:rsidP="00A1057D">
      <w:pPr>
        <w:spacing w:before="360" w:after="0" w:line="240" w:lineRule="auto"/>
        <w:jc w:val="both"/>
        <w:rPr>
          <w:rFonts w:asciiTheme="majorHAnsi" w:hAnsiTheme="majorHAnsi"/>
          <w:b/>
          <w:sz w:val="28"/>
          <w:szCs w:val="28"/>
        </w:rPr>
      </w:pPr>
      <w:r w:rsidRPr="00207AD4">
        <w:rPr>
          <w:rFonts w:asciiTheme="majorHAnsi" w:hAnsiTheme="majorHAnsi"/>
          <w:noProof/>
          <w:sz w:val="34"/>
          <w:szCs w:val="34"/>
        </w:rPr>
        <w:t xml:space="preserve">Strategi Adaptasi Petani Minyak Kayu Putih </w:t>
      </w:r>
      <w:r w:rsidR="009949A2">
        <w:rPr>
          <w:rFonts w:asciiTheme="majorHAnsi" w:hAnsiTheme="majorHAnsi"/>
          <w:noProof/>
          <w:sz w:val="34"/>
          <w:szCs w:val="34"/>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10160</wp:posOffset>
                </wp:positionV>
                <wp:extent cx="5539105" cy="0"/>
                <wp:effectExtent l="13970" t="15875" r="9525"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9105"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0F5C9CB"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8pt" to="43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64EwIAACk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" strokecolor="gray" strokeweight="1.5pt"/>
            </w:pict>
          </mc:Fallback>
        </mc:AlternateContent>
      </w:r>
    </w:p>
    <w:p w:rsidR="004B1DD7" w:rsidRDefault="00207AD4" w:rsidP="004B1DD7">
      <w:pPr>
        <w:pStyle w:val="ICTSAuthorIdentity"/>
        <w:spacing w:before="360"/>
        <w:jc w:val="both"/>
        <w:rPr>
          <w:rFonts w:asciiTheme="majorHAnsi" w:eastAsiaTheme="minorHAnsi" w:hAnsiTheme="majorHAnsi" w:cstheme="minorBidi"/>
          <w:sz w:val="26"/>
          <w:szCs w:val="26"/>
        </w:rPr>
      </w:pPr>
      <w:r w:rsidRPr="00207AD4">
        <w:rPr>
          <w:rFonts w:asciiTheme="majorHAnsi" w:eastAsiaTheme="minorHAnsi" w:hAnsiTheme="majorHAnsi" w:cstheme="minorBidi"/>
          <w:sz w:val="26"/>
          <w:szCs w:val="26"/>
        </w:rPr>
        <w:t>Muhamad Chairul Basrun Umanailo</w:t>
      </w:r>
    </w:p>
    <w:p w:rsidR="00EB40B1" w:rsidRPr="004B1DD7" w:rsidRDefault="00EB40B1" w:rsidP="004B1DD7">
      <w:pPr>
        <w:pStyle w:val="ICTSAuthorIdentity"/>
        <w:spacing w:before="360"/>
        <w:jc w:val="both"/>
        <w:rPr>
          <w:rFonts w:asciiTheme="majorHAnsi" w:eastAsiaTheme="minorHAnsi" w:hAnsiTheme="majorHAnsi" w:cstheme="minorBidi"/>
          <w:sz w:val="26"/>
          <w:szCs w:val="26"/>
        </w:rPr>
      </w:pPr>
      <w:r w:rsidRPr="00EB40B1">
        <w:rPr>
          <w:rFonts w:asciiTheme="majorHAnsi" w:hAnsiTheme="majorHAnsi"/>
          <w:vertAlign w:val="superscript"/>
        </w:rPr>
        <w:t>1</w:t>
      </w:r>
      <w:r w:rsidR="00207AD4" w:rsidRPr="00207AD4">
        <w:t xml:space="preserve"> </w:t>
      </w:r>
      <w:r w:rsidR="00207AD4" w:rsidRPr="00207AD4">
        <w:rPr>
          <w:rFonts w:asciiTheme="majorHAnsi" w:hAnsiTheme="majorHAnsi"/>
        </w:rPr>
        <w:t>Universitas Iqra Buru</w:t>
      </w:r>
      <w:r w:rsidRPr="00EB40B1">
        <w:rPr>
          <w:rFonts w:asciiTheme="majorHAnsi" w:hAnsiTheme="majorHAnsi"/>
        </w:rPr>
        <w:t xml:space="preserve">; e-mail: </w:t>
      </w:r>
      <w:hyperlink r:id="rId8" w:history="1">
        <w:r w:rsidR="00207AD4" w:rsidRPr="00E049FB">
          <w:rPr>
            <w:rStyle w:val="Hyperlink"/>
            <w:rFonts w:asciiTheme="majorHAnsi" w:hAnsiTheme="majorHAnsi"/>
          </w:rPr>
          <w:t>chairulbasrun@gmail.com</w:t>
        </w:r>
      </w:hyperlink>
      <w:r w:rsidR="00207AD4">
        <w:rPr>
          <w:rFonts w:asciiTheme="majorHAnsi" w:hAnsiTheme="majorHAnsi"/>
        </w:rPr>
        <w:t xml:space="preserve"> </w:t>
      </w:r>
    </w:p>
    <w:p w:rsidR="00AD1ED8" w:rsidRPr="000059F0" w:rsidRDefault="00AD1ED8" w:rsidP="00EB40B1">
      <w:pPr>
        <w:tabs>
          <w:tab w:val="left" w:pos="840"/>
        </w:tabs>
        <w:spacing w:before="360" w:after="0" w:line="240" w:lineRule="auto"/>
        <w:jc w:val="both"/>
        <w:rPr>
          <w:rFonts w:asciiTheme="majorHAnsi" w:hAnsiTheme="majorHAnsi" w:cs="Tahoma"/>
          <w:b/>
          <w:sz w:val="18"/>
          <w:szCs w:val="20"/>
        </w:rPr>
      </w:pPr>
      <w:r w:rsidRPr="00574F9B">
        <w:rPr>
          <w:rFonts w:asciiTheme="majorHAnsi" w:hAnsiTheme="majorHAnsi" w:cs="Tahoma"/>
          <w:b/>
          <w:sz w:val="18"/>
          <w:szCs w:val="20"/>
          <w:lang w:val="id-ID"/>
        </w:rPr>
        <w:t>ABSTRA</w:t>
      </w:r>
      <w:r w:rsidR="00433470">
        <w:rPr>
          <w:rFonts w:asciiTheme="majorHAnsi" w:hAnsiTheme="majorHAnsi" w:cs="Tahoma"/>
          <w:b/>
          <w:sz w:val="18"/>
          <w:szCs w:val="20"/>
        </w:rPr>
        <w:t>K</w:t>
      </w:r>
    </w:p>
    <w:p w:rsidR="0045585D" w:rsidRDefault="00207AD4" w:rsidP="0045585D">
      <w:pPr>
        <w:spacing w:after="0" w:line="240" w:lineRule="auto"/>
        <w:jc w:val="both"/>
        <w:rPr>
          <w:rFonts w:ascii="Cambria" w:hAnsi="Cambria"/>
          <w:sz w:val="18"/>
        </w:rPr>
      </w:pPr>
      <w:r w:rsidRPr="00207AD4">
        <w:rPr>
          <w:rFonts w:ascii="Cambria" w:hAnsi="Cambria"/>
          <w:sz w:val="18"/>
        </w:rPr>
        <w:t xml:space="preserve">Minyak kayu putih merupakan komoditas unggulan daerah di Kabupaten Buru. Selain harga jualnya yang relatif tinggi, minyak yang berasal dari tanaman kayu putih dibutuhkan oleh berbagai sektor industri untuk dimanfaatkan sebagai bahan dasar obat. Namun, ketika kita mendalami kehidupan sehari-hari petani minyak kayu putih, kita akan menemukan bahwa situasi ekonomi cukup mengkhawatirkan dan lingkungan sosial ekonomi tertinggal dari para pekerja di sektor lain. Jika sumber daya alam melimpah, pekerja minyak kayu putih seharusnya bisa memiliki kehidupan yang layak, terutama di tengah pandemi Covid-19 yang sangat membatasi ruang sosial dan ekonomi pekerja. Penelitian ini menggunakan pendekatan fenomenologi, penentuan informan menggunakan teknik purposive sampling dengan berdasarkan kriteria yang telah ditentukan dan ditetapkan berdasarkan tujuan penelitian. Temuan lapangan menunjukan bahwa petani menggunakan strategi adaptasi fisik untuk memenuhi target produksi, yang memiliki konsekuensi negatif bagi tenaga kerja dan keberlanjutan lahan. Waktu dan pola kerja yang berlebihan mengakibatkan munculnya kerawanan fisik di kalangan petani, serta degradasi lahan, yang membahayakan kelangsungan hidup petani. Kami mengusulkan agar rehabilitasi produksi yang intensif dan konstan dapat mengurangi dampak merugikan dari pendekatan fisik petani minyak kayu putih selama pandemi, memastikan keberlanjutan petani dan lahan. </w:t>
      </w:r>
    </w:p>
    <w:p w:rsidR="00C51E94" w:rsidRPr="0045585D" w:rsidRDefault="00433470" w:rsidP="0045585D">
      <w:pPr>
        <w:spacing w:after="0" w:line="240" w:lineRule="auto"/>
        <w:jc w:val="both"/>
        <w:rPr>
          <w:rFonts w:ascii="Cambria" w:hAnsi="Cambria"/>
          <w:sz w:val="18"/>
        </w:rPr>
      </w:pPr>
      <w:r w:rsidRPr="00433470">
        <w:rPr>
          <w:rFonts w:ascii="Cambria" w:hAnsi="Cambria"/>
          <w:b/>
          <w:i/>
          <w:sz w:val="16"/>
        </w:rPr>
        <w:t>Kata kunci</w:t>
      </w:r>
      <w:r w:rsidR="000059F0" w:rsidRPr="008E1BE0">
        <w:rPr>
          <w:rFonts w:ascii="Cambria" w:hAnsi="Cambria"/>
          <w:b/>
          <w:sz w:val="16"/>
        </w:rPr>
        <w:t xml:space="preserve">: </w:t>
      </w:r>
      <w:r w:rsidR="005615D7" w:rsidRPr="005615D7">
        <w:rPr>
          <w:rFonts w:ascii="Cambria" w:hAnsi="Cambria"/>
          <w:sz w:val="16"/>
        </w:rPr>
        <w:t>Adaptasi, Lahan, Petani, Strategi</w:t>
      </w:r>
    </w:p>
    <w:p w:rsidR="00433470" w:rsidRPr="000059F0" w:rsidRDefault="00433470" w:rsidP="00EC612F">
      <w:pPr>
        <w:tabs>
          <w:tab w:val="left" w:pos="840"/>
        </w:tabs>
        <w:spacing w:before="360" w:after="0" w:line="240" w:lineRule="auto"/>
        <w:jc w:val="both"/>
        <w:rPr>
          <w:rFonts w:asciiTheme="majorHAnsi" w:hAnsiTheme="majorHAnsi" w:cs="Tahoma"/>
          <w:b/>
          <w:sz w:val="18"/>
          <w:szCs w:val="20"/>
        </w:rPr>
      </w:pPr>
      <w:r w:rsidRPr="00574F9B">
        <w:rPr>
          <w:rFonts w:asciiTheme="majorHAnsi" w:hAnsiTheme="majorHAnsi" w:cs="Tahoma"/>
          <w:b/>
          <w:sz w:val="18"/>
          <w:szCs w:val="20"/>
          <w:lang w:val="id-ID"/>
        </w:rPr>
        <w:t>ABSTRA</w:t>
      </w:r>
      <w:r>
        <w:rPr>
          <w:rFonts w:asciiTheme="majorHAnsi" w:hAnsiTheme="majorHAnsi" w:cs="Tahoma"/>
          <w:b/>
          <w:sz w:val="18"/>
          <w:szCs w:val="20"/>
        </w:rPr>
        <w:t>CT</w:t>
      </w:r>
    </w:p>
    <w:p w:rsidR="0045585D" w:rsidRDefault="0045585D" w:rsidP="0045585D">
      <w:pPr>
        <w:pStyle w:val="BodyText"/>
        <w:tabs>
          <w:tab w:val="left" w:pos="2700"/>
        </w:tabs>
        <w:jc w:val="both"/>
        <w:rPr>
          <w:rFonts w:ascii="Cambria" w:eastAsiaTheme="minorHAnsi" w:hAnsi="Cambria" w:cstheme="minorBidi"/>
          <w:sz w:val="18"/>
          <w:szCs w:val="22"/>
        </w:rPr>
      </w:pPr>
      <w:r w:rsidRPr="0045585D">
        <w:rPr>
          <w:rFonts w:ascii="Cambria" w:eastAsiaTheme="minorHAnsi" w:hAnsi="Cambria" w:cstheme="minorBidi"/>
          <w:sz w:val="18"/>
          <w:szCs w:val="22"/>
        </w:rPr>
        <w:t>Eucalyptus oil is a superior regional commodity in Buru Regency. In addition to the relatively high selling price, oil derived from the eucalyptus plant is needed by various industrial sectors to be used as an essential ingredient for medicine. However, when we examine the daily lives of eucalyptus oil farmers, we will find that the economic situation is quite worrying, and the socio-economic environment lags behind the workers in other sectors. If natural resources are abundant, eucalyptus oil workers should be able to have a decent life, especially amid the Covid-19 pandemic, which severely limits the social and economic space of workers. This study uses a phenomenological approach, the determination of informants using a purposive sampling technique based on predetermined criteria and determined based on the research objectives. Field findings show that farmers use physical adaptation strategies to meet production targets, negatively impacting labor and land sustainability. Excessive time and work patterns result in the emergence of physical insecurity among farmers, as well as land degradation, which endangers the survival of farmers. We propose that intensive and constant rehabilitation of production can reduce the detrimental impact of the physical approach of eucalyptus oil farmers during the pandemic, ensuring the sustainability of farmers and land.</w:t>
      </w:r>
    </w:p>
    <w:p w:rsidR="00433470" w:rsidRPr="0083146F" w:rsidRDefault="00433470" w:rsidP="0045585D">
      <w:pPr>
        <w:pStyle w:val="BodyText"/>
        <w:tabs>
          <w:tab w:val="left" w:pos="2700"/>
        </w:tabs>
        <w:jc w:val="both"/>
        <w:rPr>
          <w:rFonts w:ascii="Cambria" w:eastAsiaTheme="minorHAnsi" w:hAnsi="Cambria" w:cstheme="minorBidi"/>
          <w:sz w:val="16"/>
          <w:szCs w:val="22"/>
        </w:rPr>
      </w:pPr>
      <w:r w:rsidRPr="00433470">
        <w:rPr>
          <w:rFonts w:ascii="Cambria" w:eastAsiaTheme="minorHAnsi" w:hAnsi="Cambria" w:cstheme="minorBidi"/>
          <w:b/>
          <w:i/>
          <w:sz w:val="16"/>
          <w:szCs w:val="22"/>
        </w:rPr>
        <w:t>Keywords</w:t>
      </w:r>
      <w:r w:rsidRPr="008E1BE0">
        <w:rPr>
          <w:rFonts w:ascii="Cambria" w:eastAsiaTheme="minorHAnsi" w:hAnsi="Cambria" w:cstheme="minorBidi"/>
          <w:b/>
          <w:sz w:val="16"/>
          <w:szCs w:val="22"/>
        </w:rPr>
        <w:t xml:space="preserve">: </w:t>
      </w:r>
      <w:r w:rsidR="0045585D" w:rsidRPr="0045585D">
        <w:rPr>
          <w:rFonts w:ascii="Cambria" w:eastAsiaTheme="minorHAnsi" w:hAnsi="Cambria" w:cstheme="minorBidi"/>
          <w:sz w:val="16"/>
          <w:szCs w:val="22"/>
        </w:rPr>
        <w:t>Adaptation; Land, Farmers; Strategy</w:t>
      </w:r>
    </w:p>
    <w:p w:rsidR="00163425" w:rsidRPr="002C126B" w:rsidRDefault="001E54BA" w:rsidP="00EC612F">
      <w:pPr>
        <w:tabs>
          <w:tab w:val="left" w:pos="840"/>
        </w:tabs>
        <w:spacing w:before="120" w:after="0" w:line="240" w:lineRule="auto"/>
        <w:jc w:val="both"/>
        <w:rPr>
          <w:rFonts w:asciiTheme="majorHAnsi" w:eastAsia="Times New Roman" w:hAnsiTheme="majorHAnsi" w:cs="Times New Roman"/>
          <w:sz w:val="18"/>
          <w:szCs w:val="18"/>
        </w:rPr>
      </w:pPr>
      <w:r>
        <w:rPr>
          <w:rFonts w:ascii="Cambria" w:hAnsi="Cambria" w:cs="Tahoma"/>
          <w:b/>
          <w:i/>
          <w:sz w:val="16"/>
          <w:szCs w:val="20"/>
        </w:rPr>
        <w:t>Citation</w:t>
      </w:r>
      <w:r w:rsidR="00163425" w:rsidRPr="002C126B">
        <w:rPr>
          <w:rFonts w:ascii="Cambria" w:hAnsi="Cambria" w:cs="Tahoma"/>
          <w:i/>
          <w:sz w:val="20"/>
          <w:szCs w:val="20"/>
        </w:rPr>
        <w:t xml:space="preserve">: </w:t>
      </w:r>
    </w:p>
    <w:p w:rsidR="00163425" w:rsidRDefault="00163425" w:rsidP="00EC612F">
      <w:pPr>
        <w:spacing w:after="0" w:line="240" w:lineRule="auto"/>
        <w:ind w:right="46"/>
        <w:jc w:val="both"/>
        <w:rPr>
          <w:rFonts w:asciiTheme="majorHAnsi" w:hAnsiTheme="majorHAnsi" w:cstheme="majorBidi"/>
          <w:i/>
          <w:iCs/>
          <w:noProof/>
          <w:sz w:val="18"/>
          <w:szCs w:val="20"/>
        </w:rPr>
      </w:pPr>
    </w:p>
    <w:p w:rsidR="00163425" w:rsidRDefault="00163425" w:rsidP="00F60E13">
      <w:pPr>
        <w:spacing w:after="0" w:line="240" w:lineRule="auto"/>
        <w:ind w:right="46"/>
        <w:jc w:val="both"/>
        <w:rPr>
          <w:rFonts w:asciiTheme="majorHAnsi" w:hAnsiTheme="majorHAnsi" w:cstheme="majorBidi"/>
          <w:i/>
          <w:iCs/>
          <w:noProof/>
          <w:sz w:val="18"/>
          <w:szCs w:val="20"/>
        </w:rPr>
      </w:pPr>
    </w:p>
    <w:p w:rsidR="00163425" w:rsidRPr="00163425" w:rsidRDefault="00163425" w:rsidP="00F60E13">
      <w:pPr>
        <w:spacing w:after="0" w:line="240" w:lineRule="auto"/>
        <w:ind w:right="46"/>
        <w:jc w:val="both"/>
        <w:rPr>
          <w:rFonts w:asciiTheme="majorHAnsi" w:hAnsiTheme="majorHAnsi" w:cstheme="majorBidi"/>
          <w:i/>
          <w:iCs/>
          <w:noProof/>
          <w:sz w:val="18"/>
          <w:szCs w:val="20"/>
        </w:rPr>
        <w:sectPr w:rsidR="00163425" w:rsidRPr="00163425" w:rsidSect="00156A0C">
          <w:headerReference w:type="even" r:id="rId9"/>
          <w:headerReference w:type="default" r:id="rId10"/>
          <w:footerReference w:type="even" r:id="rId11"/>
          <w:footerReference w:type="default" r:id="rId12"/>
          <w:footerReference w:type="first" r:id="rId13"/>
          <w:pgSz w:w="11907" w:h="16840" w:code="9"/>
          <w:pgMar w:top="1151" w:right="1151" w:bottom="1151" w:left="1080" w:header="709" w:footer="709" w:gutter="720"/>
          <w:pgNumType w:start="42"/>
          <w:cols w:space="708"/>
          <w:titlePg/>
          <w:docGrid w:linePitch="360"/>
        </w:sectPr>
      </w:pPr>
    </w:p>
    <w:p w:rsidR="000246D4" w:rsidRPr="00574F9B" w:rsidRDefault="000246D4" w:rsidP="00F60E13">
      <w:pPr>
        <w:spacing w:after="0" w:line="240" w:lineRule="auto"/>
        <w:rPr>
          <w:rFonts w:asciiTheme="majorHAnsi" w:hAnsiTheme="majorHAnsi" w:cstheme="majorBidi"/>
          <w:b/>
          <w:bCs/>
          <w:sz w:val="20"/>
        </w:rPr>
      </w:pPr>
      <w:r w:rsidRPr="00574F9B">
        <w:rPr>
          <w:rFonts w:asciiTheme="majorHAnsi" w:hAnsiTheme="majorHAnsi" w:cstheme="majorBidi"/>
          <w:b/>
          <w:bCs/>
          <w:sz w:val="20"/>
        </w:rPr>
        <w:t xml:space="preserve">1. </w:t>
      </w:r>
      <w:r w:rsidR="00F60E13">
        <w:rPr>
          <w:rFonts w:asciiTheme="majorHAnsi" w:hAnsiTheme="majorHAnsi" w:cstheme="majorBidi"/>
          <w:b/>
          <w:bCs/>
          <w:sz w:val="20"/>
        </w:rPr>
        <w:t xml:space="preserve">Pendahuluan </w:t>
      </w:r>
    </w:p>
    <w:p w:rsidR="00F60E13" w:rsidRDefault="00F60E13" w:rsidP="00F60E13">
      <w:pPr>
        <w:spacing w:line="240" w:lineRule="auto"/>
        <w:ind w:firstLine="360"/>
        <w:jc w:val="both"/>
        <w:rPr>
          <w:rFonts w:asciiTheme="majorHAnsi" w:hAnsiTheme="majorHAnsi"/>
          <w:sz w:val="20"/>
          <w:szCs w:val="20"/>
        </w:rPr>
      </w:pPr>
      <w:r w:rsidRPr="00F60E13">
        <w:rPr>
          <w:rFonts w:asciiTheme="majorHAnsi" w:hAnsiTheme="majorHAnsi"/>
          <w:sz w:val="20"/>
          <w:szCs w:val="20"/>
        </w:rPr>
        <w:t>Tanaman kayu putih (</w:t>
      </w:r>
      <w:r w:rsidRPr="00F60E13">
        <w:rPr>
          <w:rFonts w:asciiTheme="majorHAnsi" w:hAnsiTheme="majorHAnsi"/>
          <w:i/>
          <w:iCs/>
          <w:sz w:val="20"/>
          <w:szCs w:val="20"/>
        </w:rPr>
        <w:t>Melaleuca cajuputi sub sp. cajuputi</w:t>
      </w:r>
      <w:r w:rsidRPr="00F60E13">
        <w:rPr>
          <w:rFonts w:asciiTheme="majorHAnsi" w:hAnsiTheme="majorHAnsi"/>
          <w:sz w:val="20"/>
          <w:szCs w:val="20"/>
        </w:rPr>
        <w:t xml:space="preserve">) merupakan tanaman yang tumbuh liar di Indonesia, khususnya di wilayah Maluku dan Papua yang dimanfaatkan melalui penyulingan tradisional sehingga minyak atsiri memiliki nilai ekonomis tinggi. Minyak atsiri adalah jenis zat yang memberikan wewangian khas kepada penggunanya. Dalam beberapa kasus, minyak atsiri mengandung komponen volatil yang sesuai dengan karakteristik tumbuhan tersebut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{"citationItems":[{"id":"ITEM-1","itemData":{"DOI":"10.1016/j.indcrop.2021.113936","ISSN":"09266690","abstract":"Forestry residue is potentially useful for obtaining bio-oil and its by-products (biochar, syngas, and acid-rich aqueous extract) via fast pyrolysis. As such, we carried out a techno-economic analysis of both the production of bio-oil from Eucalyptus grandis residues (ER) and their availability in the state of São Paulo, Brazil. Discounted cash flow was used to calculate the minimum selling price (MSP) of bio-oil. Georeferencing identified the location of 20 Eucalyptus plantations, ten of which were selected due to their better economic performance. These ten plantations were potentially able to produce 59 million L/year of bio-oil. The economic analysis of the future biorefineries showed that an MSP of 11.6–19.3 $ (US)/GJ could support the processing of 60,000–5,000 tons/year of ER. A simulation of a large biorefinery revealed a capital investment (CAPEX) of around 6 M$ (US), reaching an operating expenditure peak of approximately 3 M$/year. The sensitivity analysis identified that plant capacity had the most significant impact on MSP, while the by-products (acid extract and biochar) lowered this by 22 %. The large biorefinery simulated using the Monte Carlo method had an 80 % chance of reaching a net present value (NPV) &gt; 0, and an 80 % probability of reaching an internal rate of return (IRR) &gt; 10 %. This study demonstrated that the production of bio-oils by the ten simulated centralized biorefineries is economically viable based on the NPV and IRR indicators.","author":[{"dropping-particle":"","family":"Iglesias","given":"S. P.","non-dropping-particle":"","parse-names":false,"suffix":""},{"dropping-particle":"","family":"Miyazaki","given":"M. R.","non-dropping-particle":"","parse-names":false,"suffix":""},{"dropping-particle":"","family":"Mariano","given":"A. P.","non-dropping-particle":"","parse-names":false,"suffix":""},{"dropping-particle":"","family":"Franco","given":"T. T.","non-dropping-particle":"","parse-names":false,"suffix":""}],"container-title":"Industrial Crops and Products","id":"ITEM-1","issued":{"date-parts":[["2021"]]},"title":"Techno-economic assessment of bio-oil produced from Eucalyptus forestry residues","type":"article-journal","volume":"171"},"uris":["http://www.mendeley.com/documents/?uuid=43593b55-323d-3d8b-acd2-2b851c883bcd"]}],"mendeley":{"formattedCitation":"(Iglesias et al., 2021)","plainTextFormattedCitation":"(Iglesias et al., 2021)","previouslyFormattedCitation":"(Iglesias et al., 2021)"},"properties":{"noteIndex":0},"schema":"https://github.com/citation-style-language/schema/raw/master/csl-citation.json"}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(Iglesias et al., 2021)</w:t>
      </w:r>
      <w:r w:rsidRPr="00F60E13">
        <w:rPr>
          <w:rFonts w:asciiTheme="majorHAnsi" w:hAnsiTheme="majorHAnsi"/>
          <w:sz w:val="20"/>
          <w:szCs w:val="20"/>
        </w:rPr>
        <w:fldChar w:fldCharType="end"/>
      </w:r>
      <w:r w:rsidRPr="00F60E13">
        <w:rPr>
          <w:rFonts w:asciiTheme="majorHAnsi" w:hAnsiTheme="majorHAnsi"/>
          <w:sz w:val="20"/>
          <w:szCs w:val="20"/>
        </w:rPr>
        <w:t xml:space="preserve">. Minyak atsiri memiliki komponen yang cepat berinteraksi saat dihirup, senyawa tersebut berinteraksi dengan sistem syaraf pusat, kemudian system ini akan menstimulasi syaraf-syaraf pada otak di bawah kesetimbangan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{"citationItems":[{"id":"ITEM-1","itemData":{"DOI":"10.22146/ipas.17991","ISSN":"0126-4214","abstract":"It was necessary to obtain optimum dose of nitrogen, phosphorus, and potassium obtained through fertilisation in order to improve productivity in the intercropping. Kayu putih tree was cultivated in Yogyakarta for oil production, and the inter-row was designed for intercropping plants, including soybean. The objective of present study was to obtain optimum dose of urea, SP-36, and KCl for soybean intercropped with kayu putih. The experiment was conducted in Menggoran Forest Resort (RPH Menggoran), Playen Forest Section (BDH Playen), Yogyakarta Forest Management District (KPH Yogyakarta) using split-split plot design. The main plot was urea, subplot was SP-36, and sub-subplot was KCl. Fertilisation consisted of three levels (0, 25, 50 kg ha-1 of urea), (0, 150, 300 kg ha-1 of SP-36) and (0, 75, 150 kg ha-1 of KCl). The results showed that application of 50 kg ha-1 urea, 300 kg. ha-1 SP-36, and 150 kg. ha-1 KCl increased N, P, K uptake per hectare as much as 16.23 kg N ha-1, 86.27 kg P ha-1, 40.02 kg K ha-1, respectively. There was positive interaction between urea and SP-36, SP-36 and KCl at leaf area, photosynthetic rate, number of seeds per plants, seed weight per plants, and seed weight per hectare. Under kayu putih intercropping, optimum dosage of urea, SP-36 and KCl were 0, 298.03 and 87.12 kg ha-1, respectively. These combination enabled to produce maximum seed weight of 2.01 tons. ha-1.","author":[{"dropping-particle":"","family":"Jati","given":"Roni Ismoyo","non-dropping-particle":"","parse-names":false,"suffix":""},{"dropping-particle":"","family":"Tohari","given":"Tohari","non-dropping-particle":"","parse-names":false,"suffix":""},{"dropping-particle":"","family":"Suryanto","given":"Priyono","non-dropping-particle":"","parse-names":false,"suffix":""}],"container-title":"Ilmu Pertanian (Agricultural Science)","id":"ITEM-1","issue":"2","issued":{"date-parts":[["2017"]]},"title":"The Optimum Dose of Nitrogen, Phosporus, and Potassium to Improve Soybean (Glycine max (L) Merr) Productivity on Kayu Putih (Melaleuca cajuputi) Stands","type":"article-journal","volume":"2"},"uris":["http://www.mendeley.com/documents/?uuid=b1083a6d-ec44-31eb-9776-f19bde4a478c"]}],"mendeley":{"formattedCitation":"(Jati et al., 2017)","plainTextFormattedCitation":"(Jati et al., 2017)","previouslyFormattedCitation":"(Jati et al., 2017)"},"properties":{"noteIndex":0},"schema":"https://github.com/citation-style-language/schema/raw/master/csl-citation.json"}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(Jati et al., 2017)</w:t>
      </w:r>
      <w:r w:rsidRPr="00F60E13">
        <w:rPr>
          <w:rFonts w:asciiTheme="majorHAnsi" w:hAnsiTheme="majorHAnsi"/>
          <w:sz w:val="20"/>
          <w:szCs w:val="20"/>
        </w:rPr>
        <w:fldChar w:fldCharType="end"/>
      </w:r>
      <w:r w:rsidRPr="00F60E13">
        <w:rPr>
          <w:rFonts w:asciiTheme="majorHAnsi" w:hAnsiTheme="majorHAnsi"/>
          <w:sz w:val="20"/>
          <w:szCs w:val="20"/>
        </w:rPr>
        <w:t xml:space="preserve">. </w:t>
      </w:r>
    </w:p>
    <w:p w:rsidR="00F60E13" w:rsidRDefault="00F60E13" w:rsidP="00F60E13">
      <w:pPr>
        <w:spacing w:after="0" w:line="240" w:lineRule="auto"/>
        <w:jc w:val="both"/>
        <w:rPr>
          <w:rFonts w:asciiTheme="majorHAnsi" w:hAnsiTheme="majorHAnsi"/>
          <w:sz w:val="20"/>
          <w:szCs w:val="20"/>
        </w:rPr>
      </w:pPr>
      <w:r w:rsidRPr="00F60E13">
        <w:rPr>
          <w:rFonts w:asciiTheme="majorHAnsi" w:hAnsiTheme="majorHAnsi"/>
          <w:sz w:val="20"/>
          <w:szCs w:val="20"/>
        </w:rPr>
        <w:t xml:space="preserve">Secara khusus tanaman kayu putih cocok berkembang di daerah kering dan menghasilkan minyak dengan </w:t>
      </w:r>
      <w:r w:rsidRPr="00F60E13">
        <w:rPr>
          <w:rFonts w:asciiTheme="majorHAnsi" w:hAnsiTheme="majorHAnsi"/>
          <w:sz w:val="20"/>
          <w:szCs w:val="20"/>
        </w:rPr>
        <w:t xml:space="preserve">kualitas dan bobot yang lebih tinggi dibandingkan dengan tanahnya agak basah. Letak Kabupaten Buru di Propinsi Maluku sebagai daerah kepulauan yang memiliki kekayaan alam dan sumberdaya yang melimpah, salah satunya tanaman kayu putih yang mencapai 120.000 hektar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{"citationItems":[{"id":"ITEM-1","itemData":{"DOI":"10.47268/aiwadthu.v1i2.671","abstract":"Introduction: Indonesia is a country that has many natural resources that have the potential to be related to Geographical Indications, one of which is Putiah Wood Oil originating from Buru Island.Purposes of Devotion: To provide efforts to increase understanding in the context of the introduction and protection of Geographical Indications of Eucalyptus Oil on Buru Island. Method of Devotion: The method used in this activity is in the form of a workshop for the Office of Cooperatives, the Department of Tourism, the Department of Industry and Trade, the Department of Fisheries, the Department of Agriculture and Micro, Small and Medium Enterprises in Namlea, Buru Regency through material presentation and questions and answers.Results of the Devotion: Eucalyptus Oil until now has not Registered as a Geographical Indication product. If this is allowed, it is possible that at one time there could be disputes related to unilateral claims or public deception. Eucalyptus Oil on Buru Island has the potential to be protected as a Geographical Indication and provides legal certainty for Eucalyptus Oil if registration is the main requirement for Wood Oil to obtain legal protection.","author":[{"dropping-particle":"","family":"Labetubun","given":"Muchtar Anshary Hamid","non-dropping-particle":"","parse-names":false,"suffix":""},{"dropping-particle":"","family":"Akyuwen","given":"Rory Jeff","non-dropping-particle":"","parse-names":false,"suffix":""},{"dropping-particle":"","family":"Narwadan","given":"Theresia Nolda Agnes","non-dropping-particle":"","parse-names":false,"suffix":""}],"container-title":"AIWADTHU: Jurnal Pengabdian Hukum","id":"ITEM-1","issue":"2","issued":{"date-parts":[["2021"]]},"title":"Workshop Kekayaan Intelektual sebagai Upaya Peningkatan Pemahaman dalam Rangka Pengenalan dan Perlindungan Indikasi Geografis Minyak Kayu Putih Namlea Pulau Buru","type":"article-journal","volume":"1"},"uris":["http://www.mendeley.com/documents/?uuid=cb37a9b8-1fd7-312e-a5a6-192d3b9fe194"]}],"mendeley":{"formattedCitation":"(Labetubun et al., 2021)","plainTextFormattedCitation":"(Labetubun et al., 2021)","previouslyFormattedCitation":"(Labetubun et al., 2021)"},"properties":{"noteIndex":0},"schema":"https://github.com/citation-style-language/schema/raw/master/csl-citation.json"}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(Labetubun et al., 2021)</w:t>
      </w:r>
      <w:r w:rsidRPr="00F60E13">
        <w:rPr>
          <w:rFonts w:asciiTheme="majorHAnsi" w:hAnsiTheme="majorHAnsi"/>
          <w:sz w:val="20"/>
          <w:szCs w:val="20"/>
        </w:rPr>
        <w:fldChar w:fldCharType="end"/>
      </w:r>
      <w:r w:rsidRPr="00F60E13">
        <w:rPr>
          <w:rFonts w:asciiTheme="majorHAnsi" w:hAnsiTheme="majorHAnsi"/>
          <w:sz w:val="20"/>
          <w:szCs w:val="20"/>
        </w:rPr>
        <w:t xml:space="preserve">. </w:t>
      </w:r>
    </w:p>
    <w:p w:rsidR="00F60E13" w:rsidRDefault="00F60E13" w:rsidP="00F60E13">
      <w:pPr>
        <w:spacing w:after="0" w:line="240" w:lineRule="auto"/>
        <w:ind w:firstLine="360"/>
        <w:jc w:val="both"/>
        <w:rPr>
          <w:rFonts w:asciiTheme="majorHAnsi" w:hAnsiTheme="majorHAnsi"/>
          <w:sz w:val="20"/>
          <w:szCs w:val="20"/>
        </w:rPr>
      </w:pPr>
      <w:r w:rsidRPr="00F60E13">
        <w:rPr>
          <w:rFonts w:asciiTheme="majorHAnsi" w:hAnsiTheme="majorHAnsi"/>
          <w:sz w:val="20"/>
          <w:szCs w:val="20"/>
        </w:rPr>
        <w:t xml:space="preserve">Di masa pandemi Covid-19, minyak kayu putih semakin populer di kalangan masyarakat sebagai sumber obat antivirus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{"citationItems":[{"id":"ITEM-1","itemData":{"DOI":"10.1016/j.jiph.2020.12.037","ISSN":"1876035X","abstract":"Background: The current health concern to the entire world is the chronic respiratory disease caused by coronavirus 2 (COVID-19). A specific treatment or proper therapy is still lacking, and the investigations from across the world for proper drug/vaccine development towards disease control are in progress. The Coronavirus replication takes place by the conversion of the polypeptide into functional protein and this occurs due to the key enzyme Main protease (Mpro). Therefore, identification of natural and effective Mpro inhibitors could be a safe and promising approach for COVID-19 control. Methods: The present in silico study evaluates the effect of bioactive compounds found in Eucalyptus and Corymbia species essential oil on Mpro by docking. Molecular docking of the major seven compounds of essential oil (citronellol, alpha-terpineol, eucalyptol, D-limonene, 3-carene, o-cymene, and alpha-pinene) with Mpro was studied by AutoDock 4.2, and the properties were analysed by PreADMET and Biovia Discovery Studio visualizer. Results: The calculated parameters such as binding energy, hydrophobic interactions, and hydrogen bond interactions of 6LU7 (Mpro) with Eucalyptus and Corymbia volatile secondary metabolites represented its scope as an effective therapy option against covid-19. Among the docked compounds, eucalyptol shows the least binding energy without toxicity. Conclusions: The outcome of this study reported that the essential oil of Eucalyptus and Corymbia species, mainly eucalyptol can be utilized as a potential inhibitor against COVID-19 and also it can be used in its treatment. Hence, further analysis was required to explore its potential application in medicine.","author":[{"dropping-particle":"","family":"Panikar","given":"Sukanya","non-dropping-particle":"","parse-names":false,"suffix":""},{"dropping-particle":"","family":"Shoba","given":"Gunasekaran","non-dropping-particle":"","parse-names":false,"suffix":""},{"dropping-particle":"","family":"Arun","given":"Muthukrishnan","non-dropping-particle":"","parse-names":false,"suffix":""},{"dropping-particle":"","family":"Sahayarayan","given":"Jesudass Joseph","non-dropping-particle":"","parse-names":false,"suffix":""},{"dropping-particle":"","family":"Usha Raja Nanthini","given":"A.","non-dropping-particle":"","parse-names":false,"suffix":""},{"dropping-particle":"","family":"Chinnathambi","given":"Arunachalam","non-dropping-particle":"","parse-names":false,"suffix":""},{"dropping-particle":"","family":"Alharbi","given":"Sulaiman A.","non-dropping-particle":"","parse-names":false,"suffix":""},{"dropping-particle":"","family":"Nasif","given":"Omaima","non-dropping-particle":"","parse-names":false,"suffix":""},{"dropping-particle":"","family":"Kim","given":"Hak Jae","non-dropping-particle":"","parse-names":false,"suffix":""}],"container-title":"Journal of Infection and Public Health","id":"ITEM-1","issue":"5","issued":{"date-parts":[["2021"]]},"title":"Essential oils as an effective alternative for the treatment of COVID-19: Molecular interaction analysis of protease (Mpro) with pharmacokinetics and toxicological properties","type":"article-journal","volume":"14"},"uris":["http://www.mendeley.com/documents/?uuid=eedce461-d200-3670-9c8d-3abac505ce73"]}],"mendeley":{"formattedCitation":"(Panikar et al., 2021)","plainTextFormattedCitation":"(Panikar et al., 2021)","previouslyFormattedCitation":"(Panikar et al., 2021)"},"properties":{"noteIndex":0},"schema":"https://github.com/citation-style-language/schema/raw/master/csl-citation.json"}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(Panikar et al., 2021)</w:t>
      </w:r>
      <w:r w:rsidRPr="00F60E13">
        <w:rPr>
          <w:rFonts w:asciiTheme="majorHAnsi" w:hAnsiTheme="majorHAnsi"/>
          <w:sz w:val="20"/>
          <w:szCs w:val="20"/>
        </w:rPr>
        <w:fldChar w:fldCharType="end"/>
      </w:r>
      <w:r w:rsidRPr="00F60E13">
        <w:rPr>
          <w:rFonts w:asciiTheme="majorHAnsi" w:hAnsiTheme="majorHAnsi"/>
          <w:sz w:val="20"/>
          <w:szCs w:val="20"/>
        </w:rPr>
        <w:t xml:space="preserve">. Permintaan minyak kayu putih yang terus meningkat menyebabkan minyak kayu putih di Kabupaten Buru semakin sulit didapatkan hingga harganya saat ini telah mencapai 2 kali lipat. Pemilik lahan kemudian menggunakan kondisi tersebut untuk meningkatkan pendapatan mereka. Kondisi ini kemudian dimanfaatkan oleh pemilik lahan untuk meningkatkan pendapatan mereka. Permintaan minyak kayu putih mengalami pergeseran dari kebutuhan lokal menjadi </w:t>
      </w:r>
      <w:r w:rsidRPr="00F60E13">
        <w:rPr>
          <w:rFonts w:asciiTheme="majorHAnsi" w:hAnsiTheme="majorHAnsi"/>
          <w:sz w:val="20"/>
          <w:szCs w:val="20"/>
        </w:rPr>
        <w:lastRenderedPageBreak/>
        <w:t xml:space="preserve">kebutuhan regional dimana jumlah orang yang mengkonsumsi semakin bertambah. Sebelum pandemi, jumlah produksi kayu putih mencapai 328 liter per hari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{"citationItems":[{"id":"ITEM-1","itemData":{"DOI":"10.51967/buletinloupe.v16i02.255","ISSN":"1411-8548","abstract":"Melaleuca cajuputi merupakan salah satu tumbuhan penghasil minyak atsiri. Sejak jaman dahulu minyak kayu putih digunakan sebagai obat tradisional, karena baunya yang khas minyak kayu putih digunakan juga sebagai bahan pembuat aroma terapi untuk relaksasi. Tujuan penelitian ini adalah untuk mengetahui rendemen dan kualitas minyak kayu putih berdasarkan perbedaan suhu penyulingan. Penyulingan   menggunakan alat berupa ketel dengan menggunakan metode penyulingan uap dan air dengan menggunakan perbedaan suhu yaitu 150°C dan 200°C. Selanjutnya dilakukan penghitungan rendemen dan pengujian kualitas yang meliputi Spesific Gravity, indeks bias, dan analisis kandungan senyawa kimia menggunakan GC-MS. Hasil penelitian menggunakan suhu penyulingan 150°C diperoleh rendemen sebesar 1.99%, spesific grafity 0.9038, indeks bias 1.464,dan analisis GC-MS untuk senyawa aktif 1.8 cineol memiliki 54.56% area.  Sedangkan penyulingan pada suhu 200°C memperoleh rendemen sebesar 1.68%, spesific grafity 0.9088,  indeks bias 1.465, dan senyawa aktif 1.8 Sineol sebesar 53.67 % area.","author":[{"dropping-particle":"","family":"Farida Aryani","given":"","non-dropping-particle":"","parse-names":false,"suffix":""}],"container-title":"Buletin Loupe","id":"ITEM-1","issue":"02","issued":{"date-parts":[["2020"]]},"title":"Penyulingan Minyak Kayu Putih (Melaleuca cajuputi) dengan Suhu yang Berbeda","type":"article-journal","volume":"16"},"uris":["http://www.mendeley.com/documents/?uuid=2cf0ea67-bfc3-3b01-9ac6-e12f3969c6f0"]}],"mendeley":{"formattedCitation":"(Farida Aryani, 2020)","plainTextFormattedCitation":"(Farida Aryani, 2020)","previouslyFormattedCitation":"(Farida Aryani, 2020)"},"properties":{"noteIndex":0},"schema":"https://github.com/citation-style-language/schema/raw/master/csl-citation.json"}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(Farida Aryani, 2020)</w:t>
      </w:r>
      <w:r w:rsidRPr="00F60E13">
        <w:rPr>
          <w:rFonts w:asciiTheme="majorHAnsi" w:hAnsiTheme="majorHAnsi"/>
          <w:sz w:val="20"/>
          <w:szCs w:val="20"/>
        </w:rPr>
        <w:fldChar w:fldCharType="end"/>
      </w:r>
      <w:r w:rsidRPr="00F60E13">
        <w:rPr>
          <w:rFonts w:asciiTheme="majorHAnsi" w:hAnsiTheme="majorHAnsi"/>
          <w:sz w:val="20"/>
          <w:szCs w:val="20"/>
        </w:rPr>
        <w:t xml:space="preserve">, dengan dua klasifikasi: 24 persen laku terjual di pasar tradisional, 74 persen disimpan oleh pemilik lahan dan 2 persen dikonsumsi langsung oleh pekerja, sehingga menghasilkan surplus 70 persen. Angka produksi meningkat mencapai 742 liter per hari selama masa pandemi, namun pasar lokal mengalami kekosongan stok minyak kayu putih untuk dijual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{"citationItems":[{"id":"ITEM-1","itemData":{"DOI":"10.30598/agrilan.v8i1.947","ISSN":"2302-5352","abstract":"Penelitian ini bertujuan untuk menganalisis kontribusi industri pengolahan minyak kayu putih terhadap pendapatan rumahtangga di Desa Wamana Baru Kecamatan Fena Leisela Kabupaten Buru. Sampel diambil secara acak (random sampling) sebanyak 45 orang dari 75 orang populasi petani pengolah industri minyak kayu putih. Data yang dikumpulkan dalam penelitian yaitu, data primer dan data sekunder. Data primer diperoleh langsung melalui wawancara dengan masyarakat dengan menggunakan alat bantu daftar pertanyaan (quesioner) dan disertai dengan observasi langsung di lapangan. Sementara data sekunder diperoleh secara langsung dari instansi terkait meliputi keadaan geografis dan keadaan sosial ekonomi masyarakat serta literatur lainnya berupa artikel, skripsi dan buku dari perpustakaan yang menunjang atau berkaitan dengan penelitian ini. Hasil penelitian menunjukkan bahwa  pendapatan rata-rata dari usaha industri pengolahan minyak kayu putih per tahun sebesar Rp. 3.288.958 atau sebesar 7,87 persen terhadap pendapatan rumahtangga yang nilainya sebesar Rp. 41.772.013/tahun.","author":[{"dropping-particle":"","family":"Waemesse","given":"Geraldi W","non-dropping-particle":"","parse-names":false,"suffix":""},{"dropping-particle":"","family":"Thenu","given":"Stephen F. W","non-dropping-particle":"","parse-names":false,"suffix":""},{"dropping-particle":"","family":"Leatemia","given":"Ester D","non-dropping-particle":"","parse-names":false,"suffix":""}],"container-title":"Agrilan : Jurnal Agribisnis Kepulauan","id":"ITEM-1","issue":"1","issued":{"date-parts":[["2020"]]},"title":"KONTRIBUSI INDUSTRI PENGOLAHAN MINYAK KAYU PUTIH TERHADAP PENDAPATAN RUMAHTANGGA DI DESA WAMANA BARU KECAMATAN FENA LEISELA KABUPATEN BURU","type":"article-journal","volume":"8"},"uris":["http://www.mendeley.com/documents/?uuid=054d8e08-994d-3dfb-94cc-d0347d98faf3"]}],"mendeley":{"formattedCitation":"(Waemesse et al., 2020)","plainTextFormattedCitation":"(Waemesse et al., 2020)","previouslyFormattedCitation":"(Waemesse et al., 2020)"},"properties":{"noteIndex":0},"schema":"https://github.com/citation-style-language/schema/raw/master/csl-citation.json"}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(Waemesse et al., 2020)</w:t>
      </w:r>
      <w:r w:rsidRPr="00F60E13">
        <w:rPr>
          <w:rFonts w:asciiTheme="majorHAnsi" w:hAnsiTheme="majorHAnsi"/>
          <w:sz w:val="20"/>
          <w:szCs w:val="20"/>
        </w:rPr>
        <w:fldChar w:fldCharType="end"/>
      </w:r>
      <w:r w:rsidRPr="00F60E13">
        <w:rPr>
          <w:rFonts w:asciiTheme="majorHAnsi" w:hAnsiTheme="majorHAnsi"/>
          <w:sz w:val="20"/>
          <w:szCs w:val="20"/>
        </w:rPr>
        <w:t xml:space="preserve">, keseluruhan produksi langsung dijual kepada pembeli yang mendatangi pusat-pusat produksi minyak kayu putih melalui jaringan pemilik lahan. Dorongan untuk peningkatan produksi datang dari pemilik lahan akibat meningkatnya permintaan yang berdampak pada pola waktu kerja petani di lahan produksi. Dorongan yang disertai dengan tekanan membuat petani menggunakan strategi fisik sebagai upaya pemenuhan kebutuhan produksi yang sangat jelas orientasinya yaitu keuntungan. </w:t>
      </w:r>
    </w:p>
    <w:p w:rsidR="00F60E13" w:rsidRDefault="00F60E13" w:rsidP="00F60E13">
      <w:pPr>
        <w:spacing w:after="0" w:line="240" w:lineRule="auto"/>
        <w:ind w:firstLine="360"/>
        <w:jc w:val="both"/>
        <w:rPr>
          <w:rFonts w:asciiTheme="majorHAnsi" w:hAnsiTheme="majorHAnsi"/>
          <w:sz w:val="20"/>
          <w:szCs w:val="20"/>
        </w:rPr>
      </w:pPr>
      <w:r w:rsidRPr="00F60E13">
        <w:rPr>
          <w:rFonts w:asciiTheme="majorHAnsi" w:hAnsiTheme="majorHAnsi"/>
          <w:sz w:val="20"/>
          <w:szCs w:val="20"/>
        </w:rPr>
        <w:t xml:space="preserve">Muhammad Fathan Radityasani dalam kajian tentang strategi adaptasi rumah tangga petani dan non petani terdampak banjir rob menemukan penggunaan strategi fisik oleh rumah tangga petani dan non petani sebagai sumber pendapatan alternatif, begitu juga Syarif Husni yang menemukan strategi fisik yang dilakukan oleh nelayan dengan cara  bekerja di  luar  sector perikanan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{"citationItems":[{"id":"ITEM-1","itemData":{"author":[{"dropping-particle":"","family":"Husni","given":"Syarif","non-dropping-particle":"","parse-names":false,"suffix":""}],"container-title":"Jurnal Agrimansion","id":"ITEM-1","issue":"1","issued":{"date-parts":[["2020"]]},"page":"34-47","title":"Pendapatan Rumah Tangga Nelayan Buruh dan Strategi Adaptasi Yang Dilakukan Dalam Pemenuhan Kebutuhan Pokok Pada Saat Musim Barat (Studi Kasus di Desa Sekotong Barat Kabupaten Lombok Barat","type":"article-journal","volume":"20"},"uris":["http://www.mendeley.com/documents/?uuid=a207715d-d70c-475c-87bc-679092c10237"]}],"mendeley":{"formattedCitation":"(Husni, 2020)","plainTextFormattedCitation":"(Husni, 2020)","previouslyFormattedCitation":"(Husni, 2020)"},"properties":{"noteIndex":0},"schema":"https://github.com/citation-style-language/schema/raw/master/csl-citation.json"}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(Husni, 2020)</w:t>
      </w:r>
      <w:r w:rsidRPr="00F60E13">
        <w:rPr>
          <w:rFonts w:asciiTheme="majorHAnsi" w:hAnsiTheme="majorHAnsi"/>
          <w:sz w:val="20"/>
          <w:szCs w:val="20"/>
        </w:rPr>
        <w:fldChar w:fldCharType="end"/>
      </w:r>
      <w:r w:rsidRPr="00F60E13">
        <w:rPr>
          <w:rFonts w:asciiTheme="majorHAnsi" w:hAnsiTheme="majorHAnsi"/>
          <w:sz w:val="20"/>
          <w:szCs w:val="20"/>
        </w:rPr>
        <w:t xml:space="preserve">. Ni Nengah Dea Ayu Ferina dalam kajian tentang strategi adaptasi nelayan di kenjeran, juga menemukan strategi fisik yang digunakan dengan pendekatan  diversifikasi pekerjaan dan penganekaragaman alat tangkap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{"citationItems":[{"id":"ITEM-1","itemData":{"DOI":"10.36418/jist.v2i1.60","ISSN":"2723-6609","abstract":"Sumberdaya yang ada di pesisir Indonesia dihadapkan pada dua kondisi. Pertama, adanya kawasan yang belum tersentuh oleh aktivitas pembangunan. Kedua, terdapat adanya kawasan yang sudah dimanfaatkan secara besar. Penelitian ini dilakukan untuk mengkaji strategi adaptasi nelayan dalam menghadapi perubahan ekologi di kawasan pesisir Pantai Kenjeran, Kecamatan Sukolilo Larangan, Kabupaten Surabaya, Provinsi Jawa Timur. Metode dalam melakukan penelitian ini adalah dengan cara kualitatif dengan pengumpukan data wawancara dan obervasi lapangan. Hasil penelitian menunjukan bahwa terdapat beberapa strategi adaptasi yang diterapkan oleh kehidupan rumah tangga nelayan Kenjeran guna memenuhi kebutuhan sehari-harinya dengan kondisi ekologi yang berubah-ubah diakibatkan karena fluktuasi alam dan pembangunan jembatan Surabaya. Rumah tangga nelayan Kenjeran melakukan berbagai macam pilihan adaptasi sesuai sumberdaya yang dimiliki oleh nelayan Kenjeran, bedasarkan hasil observasi di lokasi penelitian, adaptasi yang dilakukan oleh nelayan antara lain: melakukan diversifikasi pekerjaan, penganekaragaman alat tangkap, memanfaatkan hubungan sosial, dan mobilisasi rumah tangga.","author":[{"dropping-particle":"","family":"Ni Nengah Dea Ayu Ferina","given":"","non-dropping-particle":"","parse-names":false,"suffix":""}],"container-title":"Jurnal Indonesia Sosial Teknologi","id":"ITEM-1","issue":"1","issued":{"date-parts":[["2021"]]},"title":"Strategi Adaptasi Nelayan di Kenjeran, Kecamatan Sukolilo Larangan, Kabupaten Surabaya, Provinsi Jawa Timur dalam Menghadapi Ekologinya.","type":"article-journal","volume":"2"},"uris":["http://www.mendeley.com/documents/?uuid=d7b20f9d-b8b2-3c8b-bbdc-c01da3a63bf7"]}],"mendeley":{"formattedCitation":"(Ni Nengah Dea Ayu Ferina, 2021)","plainTextFormattedCitation":"(Ni Nengah Dea Ayu Ferina, 2021)","previouslyFormattedCitation":"(Ni Nengah Dea Ayu Ferina, 2021)"},"properties":{"noteIndex":0},"schema":"https://github.com/citation-style-language/schema/raw/master/csl-citation.json"}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(Ni Nengah Dea Ayu Ferina, 2021)</w:t>
      </w:r>
      <w:r w:rsidRPr="00F60E13">
        <w:rPr>
          <w:rFonts w:asciiTheme="majorHAnsi" w:hAnsiTheme="majorHAnsi"/>
          <w:sz w:val="20"/>
          <w:szCs w:val="20"/>
        </w:rPr>
        <w:fldChar w:fldCharType="end"/>
      </w:r>
      <w:r w:rsidRPr="00F60E13">
        <w:rPr>
          <w:rFonts w:asciiTheme="majorHAnsi" w:hAnsiTheme="majorHAnsi"/>
          <w:sz w:val="20"/>
          <w:szCs w:val="20"/>
        </w:rPr>
        <w:t>.</w:t>
      </w:r>
      <w:r>
        <w:rPr>
          <w:rFonts w:asciiTheme="majorHAnsi" w:hAnsiTheme="majorHAnsi"/>
          <w:sz w:val="20"/>
          <w:szCs w:val="20"/>
        </w:rPr>
        <w:t xml:space="preserve"> </w:t>
      </w:r>
      <w:r w:rsidRPr="00F60E13">
        <w:rPr>
          <w:rFonts w:asciiTheme="majorHAnsi" w:hAnsiTheme="majorHAnsi"/>
          <w:sz w:val="20"/>
          <w:szCs w:val="20"/>
        </w:rPr>
        <w:t>Pada penelitian ini, strategi fisik yang dimaksudkan berupa tindakan yang dilakukan oleh petani untuk memenuhi dengan cara memaksimalkan waktu kerja serta eksplorasi tanaman yang dipaksa panen (belum cukup usia) agar mendapatkan minyak kayu putih. Tentu strategi ini memiliki dampak langsung terhadap petani dan juga lahan, akan tetapi orientasi keuntungan yang dimiliki oleh pemilik lahan membuat petani sebagai kelompok marjinal harus ikut menyesuaikan pola waktu kerja dan tindakan eksplorasi tanaman produksi.</w:t>
      </w:r>
    </w:p>
    <w:p w:rsidR="00F60E13" w:rsidRDefault="00F60E13" w:rsidP="00F60E13">
      <w:pPr>
        <w:spacing w:after="0" w:line="240" w:lineRule="auto"/>
        <w:ind w:firstLine="360"/>
        <w:jc w:val="both"/>
        <w:rPr>
          <w:rFonts w:asciiTheme="majorHAnsi" w:hAnsiTheme="majorHAnsi"/>
          <w:sz w:val="20"/>
          <w:szCs w:val="20"/>
        </w:rPr>
      </w:pPr>
      <w:r w:rsidRPr="00F60E13">
        <w:rPr>
          <w:rFonts w:asciiTheme="majorHAnsi" w:hAnsiTheme="majorHAnsi"/>
          <w:sz w:val="20"/>
          <w:szCs w:val="20"/>
        </w:rPr>
        <w:t xml:space="preserve">Fenomena ini menunjukan bahwa tidak ada perlindungan terhadap sistem produksi lokal yang dikenal dengan istilah sistem ekonomi Pancasila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{"citationItems":[{"id":"ITEM-1","itemData":{"DOI":"10.18510/hssr.2020.8438","abstract":"Purpose of the study: Cooperative plays an essential role in the rural community. This research provides a thorough impact analysis of cooperative funding in the community. This research comprehensively assesses the contribution of cooperative funding to the North Sumatra community, Indonesia. \r Methodology: Using the Structural Equation Modeling (SEM) and controlled variable regression methods. The independent variables used in this study are Cooperative member main saving, Cooperative member compulsory saving, Cooperative member voluntary saving, and Bank lending. While the dependent variable used in this study is Cooperative capital adequacy. \r Main Findings: This research finds that cooperative member savings and bank lending play an essential role in the cooperative capital adequacy. \r Applications of this study: Furthermore, the study finding that bank lending is a relatively cheap source of capital to the cooperative. \r Novelty/Originality of this study: Also, the study also findings imply that (i) cooperative capital adequacy heavily depends on cooperative member savings, (ii) bank and cooperative are complements rather than competitors and (iii) four dimensions affecting cooperative capital adequacy are stronger in the simultaneous situation. According to findings implied that have three suggestions on the economic policy. First, advise a policy encouraging more participants in the cooperative. Second, advise another policy encouraging banks to do more collaboration with cooperatives. Third, advise that the policy should be integrated rather than stand-alone.\r  ","author":[{"dropping-particle":"","family":"Muda","given":"Iskandar","non-dropping-particle":"","parse-names":false,"suffix":""},{"dropping-particle":"","family":"Vitriano","given":"Oskar","non-dropping-particle":"","parse-names":false,"suffix":""},{"dropping-particle":"","family":"Handika","given":"Rangga","non-dropping-particle":"","parse-names":false,"suffix":""}],"container-title":"Humanities &amp; Social Sciences Reviews","id":"ITEM-1","issue":"4","issued":{"date-parts":[["2020"]]},"title":"FACTORS AFFECTING COOPERATIVE CAPITAL ADEQUACY (A SURVEY AND EMPIRICAL STUDY OF INDONESIA'S PANCASILA ECONOMIC SYSTEM)","type":"article-journal","volume":"8"},"uris":["http://www.mendeley.com/documents/?uuid=e396b4bb-9934-3f31-afcf-8aa653ca7f00"]}],"mendeley":{"formattedCitation":"(Muda et al., 2020)","plainTextFormattedCitation":"(Muda et al., 2020)","previouslyFormattedCitation":"(Muda et al., 2020)"},"properties":{"noteIndex":0},"schema":"https://github.com/citation-style-language/schema/raw/master/csl-citation.json"}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(Muda et al., 2020)</w:t>
      </w:r>
      <w:r w:rsidRPr="00F60E13">
        <w:rPr>
          <w:rFonts w:asciiTheme="majorHAnsi" w:hAnsiTheme="majorHAnsi"/>
          <w:sz w:val="20"/>
          <w:szCs w:val="20"/>
        </w:rPr>
        <w:fldChar w:fldCharType="end"/>
      </w:r>
      <w:r w:rsidRPr="00F60E13">
        <w:rPr>
          <w:rFonts w:asciiTheme="majorHAnsi" w:hAnsiTheme="majorHAnsi"/>
          <w:sz w:val="20"/>
          <w:szCs w:val="20"/>
        </w:rPr>
        <w:t xml:space="preserve">, hadirnya pandemi merubah sistem perekonomian sebagai usaha bersama berdasar atas-asas kekeluargaan menjadi sebuah sistem yang diatur langsung oleh pasar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{"citationItems":[{"id":"ITEM-1","itemData":{"DOI":"10.18502/kss.v5i8.9390","abstract":"As current and future economic actors, the younger generation needs to be provided with a complete understanding of the economic system that should be enforced in Indonesia. Until now, the implementation of the economic system has not met the expectations of the mandate of the 1945 Constitution. One of the mandates affirmed in the Constitution is the role of cooperatives that play an important role in the national economy. But as reform progresses, the role of cooperatives has deteriorated compared to the previous period. This descriptive qualitative research was conducted with students of the Faculty of Economics in Malang Raya, to determine their literacy in cooperative economics and the Pancasila economy. The results showed that the literacy of the students was good.\r Keywords: co-operative economic literacy, Pancasila economy","author":[{"dropping-particle":"","family":"Haryono","given":"Agung","non-dropping-particle":"","parse-names":false,"suffix":""},{"dropping-particle":"","family":"Handayani","given":"Sri","non-dropping-particle":"","parse-names":false,"suffix":""},{"dropping-particle":"","family":"Munir","given":"Syahrul","non-dropping-particle":"","parse-names":false,"suffix":""},{"dropping-particle":"","family":"Megasari","given":"Rizza","non-dropping-particle":"","parse-names":false,"suffix":""}],"container-title":"KnE Social Sciences","id":"ITEM-1","issued":{"date-parts":[["2021"]]},"title":"An Analysis of Literacy in Cooperative Economics and the Pancasila Economy in Malang","type":"article-journal"},"uris":["http://www.mendeley.com/documents/?uuid=752188d8-ff27-3e88-971b-2ce1f5b16a37"]}],"mendeley":{"formattedCitation":"(Haryono et al., 2021)","plainTextFormattedCitation":"(Haryono et al., 2021)","previouslyFormattedCitation":"(Haryono et al., 2021)"},"properties":{"noteIndex":0},"schema":"https://github.com/citation-style-language/schema/raw/master/csl-citation.json"}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(Haryono et al., 2021)</w:t>
      </w:r>
      <w:r w:rsidRPr="00F60E13">
        <w:rPr>
          <w:rFonts w:asciiTheme="majorHAnsi" w:hAnsiTheme="majorHAnsi"/>
          <w:sz w:val="20"/>
          <w:szCs w:val="20"/>
        </w:rPr>
        <w:fldChar w:fldCharType="end"/>
      </w:r>
      <w:r w:rsidRPr="00F60E13">
        <w:rPr>
          <w:rFonts w:asciiTheme="majorHAnsi" w:hAnsiTheme="majorHAnsi"/>
          <w:sz w:val="20"/>
          <w:szCs w:val="20"/>
        </w:rPr>
        <w:t xml:space="preserve"> yang memiliki pengaruh terhadap kesejahteraan dan keberlanjutan lingkungan hidup manusia.</w:t>
      </w:r>
    </w:p>
    <w:p w:rsidR="00F60E13" w:rsidRDefault="00F60E13" w:rsidP="00F60E13">
      <w:pPr>
        <w:spacing w:after="0" w:line="240" w:lineRule="auto"/>
        <w:jc w:val="both"/>
        <w:rPr>
          <w:rFonts w:asciiTheme="majorHAnsi" w:hAnsiTheme="majorHAnsi"/>
          <w:sz w:val="20"/>
          <w:szCs w:val="20"/>
        </w:rPr>
      </w:pPr>
    </w:p>
    <w:p w:rsidR="00F60E13" w:rsidRPr="00F60E13" w:rsidRDefault="00F60E13" w:rsidP="00F60E13">
      <w:pPr>
        <w:spacing w:after="0" w:line="240" w:lineRule="auto"/>
        <w:jc w:val="both"/>
        <w:rPr>
          <w:rFonts w:asciiTheme="majorHAnsi" w:hAnsiTheme="majorHAnsi"/>
          <w:sz w:val="20"/>
          <w:szCs w:val="20"/>
        </w:rPr>
      </w:pPr>
      <w:r w:rsidRPr="00F60E13">
        <w:rPr>
          <w:rFonts w:asciiTheme="majorHAnsi" w:hAnsiTheme="majorHAnsi"/>
          <w:b/>
          <w:sz w:val="20"/>
          <w:szCs w:val="20"/>
        </w:rPr>
        <w:t>METODE PENELITIAN</w:t>
      </w:r>
    </w:p>
    <w:p w:rsidR="00CE62B5" w:rsidRDefault="00F60E13" w:rsidP="00CE62B5">
      <w:pPr>
        <w:spacing w:after="0" w:line="240" w:lineRule="auto"/>
        <w:ind w:firstLine="360"/>
        <w:jc w:val="both"/>
        <w:rPr>
          <w:rFonts w:asciiTheme="majorHAnsi" w:hAnsiTheme="majorHAnsi"/>
          <w:sz w:val="20"/>
          <w:szCs w:val="20"/>
        </w:rPr>
      </w:pPr>
      <w:r w:rsidRPr="00F60E13">
        <w:rPr>
          <w:rFonts w:asciiTheme="majorHAnsi" w:hAnsiTheme="majorHAnsi"/>
          <w:sz w:val="20"/>
          <w:szCs w:val="20"/>
        </w:rPr>
        <w:t xml:space="preserve">Metode penelitian yang digunakan berupa metode kualitatif dengan pendekatan fenomenologi. Pendekatan ini bertujuan untuk mengkaji strategi adaptasi yang dilakukan oleh petani minyak kayu putih terkait pandemi Covid-19 di Kabupaten Buru. </w:t>
      </w:r>
      <w:r w:rsidRPr="00F60E13">
        <w:rPr>
          <w:rFonts w:asciiTheme="majorHAnsi" w:hAnsiTheme="majorHAnsi"/>
          <w:sz w:val="20"/>
          <w:szCs w:val="20"/>
        </w:rPr>
        <w:t xml:space="preserve">Alasan utama ketika peneliti memakai fenomenologi sebagai pendekatan dalam penelitian ini karena adanya sesuatu keunikan dari pola hidup petani berupa strategi adaptasi fisik yang dipergunakan untuk memenuhi permintaan pemilik lahan. Dengan kondisi yang semakin terdesak akibat permintaan produksi yang meningkat, petani menganggap strategi adaptasi fisik menjadi instrument yang mampu membantu menyelesaikan persoalan produksi yang mereka hadapi. Pendekatan fenomenologi menjadi modus peneliti untuk mendalami  struktur kesadaran petani  yang berada dalam situasi- situasi tertentu, dengan maksud untuk memahami motif dan makna petani minyak kayu putih terkait dengan strategi adaptasi mereka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{"citationItems":[{"id":"ITEM-1","itemData":{"DOI":"10.15408/aj.v8i2.5136","ISSN":"1979-0058","abstract":"Penelitian ini bertujuan untuk menyusun strategi pengurangan emisi gas rumah kaca dari aktivitas produksi padi dengan biaya relatif rendah, sebagai usaha mitigasi (pengurangan) perubahan iklim. Metode pengumpulan data yang digunakan adalah dengan menggunakan 1) metode survey, 2) pengamatan di lapangan, 3) metode kuesioner, dan 4) metode partisipasi stakeholder dalam pengambilan keputusan strategik. Alat analisis dan teknik pengolahan data yang digunakan dalam penelitian ini adalah dengan menggunakan metode AHP (Analitical Hierarchy Process) dengan asumsi bahwa emisi gas rumah kaca dari aktivitas produksi padi merupakan permasalahan yang kompleks, strategik, tak berstruktur, dan dinamik dimana data dan informasi statistik dari masalah yang dihadapi sangat sedikit. Kesimpulan dari penelitian ini adalah, dari tiga strategi yang ditetapkan, diperoleh strategi penerapan teknik budidaya menjadi prioritas utama dalam upaya mengurangi emisi gas rumah kaca serta upaya adaptasi dengan perubahan iklim sehingga sasaran program swasembada beras yakni mempertahankan/meningkatkan produksi tetap tercapai. Saran dari penelitian ini adalah: 1) Dalam mempertahankan swasembada beras tetapi mampu menurunkan emisi gas rumah kaca, diperlukan beberapa rekomendasi seperti : manajemen air selektif, menggunakan varitas rendah emisi namun produktivitas tetap tinggi, paket teknologi budidaya ramah lingkungan, mudah diterapkan petani dan diterima konsumen. 2) Perlu penelitan lanjutan untuk mengetahui tingkat pemahaman dan langkah-langkah operasional pejabat teknis instansi terkait dan jajarannya sehingga diseminasi tentang perubahan iklim dapat tersosialisasi dan tertangani dengan baik. 3) Perlu sosialisasi secara massif dan luas kepada petani/kelompok tani terkait tentang dampak, strategi mitigasi dan adaptasi perubahan iklim dalam rangka mempertahankan dan mengembangkan usahatani komoditas pangan khususnya padi yang efisien, ramah lingkungan dan berkelanjutan","author":[{"dropping-particle":"","family":"Najamuddin","given":"Mudatsir","non-dropping-particle":"","parse-names":false,"suffix":""}],"container-title":"AGRIBUSINESS JOURNAL","id":"ITEM-1","issue":"2","issued":{"date-parts":[["2014"]]},"title":"STRATEGI MITIGASI EMISI GAS METAN PADA BUDIDAYA PADI SAWAH","type":"article-journal","volume":"8"},"uris":["http://www.mendeley.com/documents/?uuid=f4c15089-5f55-36b9-9825-92c3836fb560"]}],"mendeley":{"formattedCitation":"(Najamuddin, 2014)","plainTextFormattedCitation":"(Najamuddin, 2014)","previouslyFormattedCitation":"(Najamuddin, 2014)"},"properties":{"noteIndex":0},"schema":"https://github.com/citation-style-language/schema/raw/master/csl-citation.json"}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(Najamuddin, 2014)</w:t>
      </w:r>
      <w:r w:rsidRPr="00F60E13">
        <w:rPr>
          <w:rFonts w:asciiTheme="majorHAnsi" w:hAnsiTheme="majorHAnsi"/>
          <w:sz w:val="20"/>
          <w:szCs w:val="20"/>
        </w:rPr>
        <w:fldChar w:fldCharType="end"/>
      </w:r>
      <w:r w:rsidRPr="00F60E13">
        <w:rPr>
          <w:rFonts w:asciiTheme="majorHAnsi" w:hAnsiTheme="majorHAnsi"/>
          <w:sz w:val="20"/>
          <w:szCs w:val="20"/>
        </w:rPr>
        <w:t>.</w:t>
      </w:r>
    </w:p>
    <w:p w:rsidR="00F60E13" w:rsidRPr="00F60E13" w:rsidRDefault="00F60E13" w:rsidP="00CE62B5">
      <w:pPr>
        <w:spacing w:after="0" w:line="240" w:lineRule="auto"/>
        <w:ind w:firstLine="360"/>
        <w:jc w:val="both"/>
        <w:rPr>
          <w:rFonts w:asciiTheme="majorHAnsi" w:hAnsiTheme="majorHAnsi"/>
          <w:sz w:val="20"/>
          <w:szCs w:val="20"/>
        </w:rPr>
      </w:pPr>
      <w:r w:rsidRPr="00F60E13">
        <w:rPr>
          <w:rFonts w:asciiTheme="majorHAnsi" w:hAnsiTheme="majorHAnsi"/>
          <w:sz w:val="20"/>
          <w:szCs w:val="20"/>
        </w:rPr>
        <w:t>Penelitian ini dilakukan di Kabupaten Buru dengan sampel yang akan diambil pada 4 Desa, lokasi tersebut dipilih karena peneliti memiliki anggapan lokasi yang terpilih mewakili karakteristik petani minyak kayu putih di Kabupaten Buru.</w:t>
      </w:r>
    </w:p>
    <w:p w:rsidR="00F60E13" w:rsidRPr="00F60E13" w:rsidRDefault="00F60E13" w:rsidP="00F60E13">
      <w:pPr>
        <w:spacing w:line="240" w:lineRule="auto"/>
        <w:jc w:val="both"/>
        <w:rPr>
          <w:rFonts w:asciiTheme="majorHAnsi" w:hAnsiTheme="majorHAnsi"/>
          <w:sz w:val="20"/>
          <w:szCs w:val="20"/>
        </w:rPr>
      </w:pPr>
      <w:r w:rsidRPr="00F60E13">
        <w:rPr>
          <w:rFonts w:asciiTheme="majorHAnsi" w:hAnsiTheme="majorHAnsi"/>
          <w:sz w:val="20"/>
          <w:szCs w:val="20"/>
        </w:rPr>
        <w:t xml:space="preserve">Penentuan informan pada penelitian ini dilakukan dengan teknik purposive sampling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{"citationItems":[{"id":"ITEM-1","itemData":{"author":[{"dropping-particle":"","family":"Creswell","given":"John W","non-dropping-particle":"","parse-names":false,"suffix":""}],"editor":[{"dropping-particle":"","family":"Chryshnanda","given":"","non-dropping-particle":"","parse-names":false,"suffix":""},{"dropping-particle":"","family":"Hastobroto","given":"Bambang","non-dropping-particle":"","parse-names":false,"suffix":""}],"id":"ITEM-1","issued":{"date-parts":[["2002"]]},"publisher":"KIS Press","publisher-place":"Jakarta","title":"Reseacrh Design: Qualitatif &amp; Quantitative Approaches","type":"book"},"uris":["http://www.mendeley.com/documents/?uuid=049da103-f4f3-4879-be3d-48b9a97e9834"]},{"id":"ITEM-2","itemData":{"abstract":"(1994;90): Qualitative data analysis: An expanded sourcebook. 2nd ed. In: A. J.. Onwuegbuzie and N. L., Leech. 2007. Sampling Designs in Qualitative Research: Making the sampling process more public. The Qualitative Report, Vol 12, No. 12, June, pp. 242.","author":[{"dropping-particle":"","family":"Miles","given":"MB","non-dropping-particle":"","parse-names":false,"suffix":""},{"dropping-particle":"","family":"Huberman","given":"AM","non-dropping-particle":"","parse-names":false,"suffix":""}],"container-title":"Qualitative Data Analysis","id":"ITEM-2","issued":{"date-parts":[["1994"]]},"page":"50-72","title":"Miles and Huberman Chapter 2","type":"chapter"},"uris":["http://www.mendeley.com/documents/?uuid=3987c75d-543f-48e3-95a6-caabd14fbe42"]}],"mendeley":{"formattedCitation":"(Creswell, 2002; Miles &amp; Huberman, 1994)","plainTextFormattedCitation":"(Creswell, 2002; Miles &amp; Huberman, 1994)","previouslyFormattedCitation":"(Creswell, 2002; Miles &amp; Huberman, 1994)"},"properties":{"noteIndex":0},"schema":"https://github.com/citation-style-language/schema/raw/master/csl-citation.json"}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(Creswell, 2002; Miles &amp; Huberman, 1994)</w:t>
      </w:r>
      <w:r w:rsidRPr="00F60E13">
        <w:rPr>
          <w:rFonts w:asciiTheme="majorHAnsi" w:hAnsiTheme="majorHAnsi"/>
          <w:sz w:val="20"/>
          <w:szCs w:val="20"/>
        </w:rPr>
        <w:fldChar w:fldCharType="end"/>
      </w:r>
      <w:r w:rsidRPr="00F60E13">
        <w:rPr>
          <w:rFonts w:asciiTheme="majorHAnsi" w:hAnsiTheme="majorHAnsi"/>
          <w:sz w:val="20"/>
          <w:szCs w:val="20"/>
        </w:rPr>
        <w:t xml:space="preserve">, di mana peneliti melakukan pemilihan secara sengaja berdasarkan kriteria yang telah ditentukan dan ditetapkan berdasarkan tujuan penelitian. </w:t>
      </w:r>
      <w:bookmarkStart w:id="0" w:name="_GoBack"/>
      <w:bookmarkEnd w:id="0"/>
      <w:r w:rsidRPr="00F60E13">
        <w:rPr>
          <w:rFonts w:asciiTheme="majorHAnsi" w:hAnsiTheme="majorHAnsi"/>
          <w:sz w:val="20"/>
          <w:szCs w:val="20"/>
        </w:rPr>
        <w:t xml:space="preserve">Pada proses analisis, dekonstruksi, interpretasi dan rekonstruksi dibuat menurut pola. Peneliti awalnya berusaha untuk membagi data menjadi bagian-bagian yang lebih kecil, pada akhirnya tujuannya adalah untuk menyajikan bagaimana bagian-bagian ini dihubungkan bersama. Tujuan selanjutnya adalah untuk mengambil bagian-bagian yang terpisah dan kemudian menyatukannya untuk menciptakan gambaran di mana tema-tema tersebut saling terkait satu sama lain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{"citationItems":[{"id":"ITEM-1","itemData":{"DOI":"10.1016/j.sbspro.2014.07.156","ISSN":"18770428","abstract":"The purpose of this paper is to examine the employment of qualitative research methodology within the framework of analysis of the way the World Heritage Sites located in the Greek territory are promoted; this is outstanding heritage that has been nominated to the World Heritage List of UNESCO used to promote a specific image of Greece nationally and internationally. Similar methodology has been followed for the examination of the purposes and reasons for the implementation of decisions related to the creation of intercultural relations and networks as well, taking Trieste, Italy as an example. The research follows a case study design using multiple measures, such as documents and archival analysis, interviews and promotional material, which comprised the method of enquiry and led to the triangulation of gathering of data. Sources of data, the approach to qualitative research, methods of verification of research and the role of the researchers are discussed. The aim is to identify topics for the creation of general themes that run throughout the data and create patterns for the research under interpretative phenomenological analysis. Then, the categorisation of themes under the umbrella of a superordinate theme takes place. Methodological challenges are discussed in regard to sampling issues, the management of data, data analysis and validity checks. The procedures followed in the specific research can be extended in the exploration of other cases; generalization in case studies is about theoretical propositions not about populations.","author":[{"dropping-particle":"","family":"Kavoura","given":"Androniki","non-dropping-particle":"","parse-names":false,"suffix":""},{"dropping-particle":"","family":"Bitsani","given":"Evgenia","non-dropping-particle":"","parse-names":false,"suffix":""}],"container-title":"Procedia - Social and Behavioral Sciences","id":"ITEM-1","issued":{"date-parts":[["2014"]]},"page":"544-549","publisher":"Elsevier B.V.","title":"Methodological Considerations for Qualitative Communication Research","type":"article-journal","volume":"147"},"uris":["http://www.mendeley.com/documents/?uuid=06de72a0-90b4-4264-92bc-3862ee097f49"]}],"mendeley":{"formattedCitation":"(Kavoura &amp; Bitsani, 2014)","plainTextFormattedCitation":"(Kavoura &amp; Bitsani, 2014)","previouslyFormattedCitation":"(Kavoura &amp; Bitsani, 2014)"},"properties":{"noteIndex":0},"schema":"https://github.com/citation-style-language/schema/raw/master/csl-citation.json"}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(Kavoura &amp; Bitsani, 2014)</w:t>
      </w:r>
      <w:r w:rsidRPr="00F60E13">
        <w:rPr>
          <w:rFonts w:asciiTheme="majorHAnsi" w:hAnsiTheme="majorHAnsi"/>
          <w:sz w:val="20"/>
          <w:szCs w:val="20"/>
        </w:rPr>
        <w:fldChar w:fldCharType="end"/>
      </w:r>
      <w:r w:rsidRPr="00F60E13">
        <w:rPr>
          <w:rFonts w:asciiTheme="majorHAnsi" w:hAnsiTheme="majorHAnsi"/>
          <w:sz w:val="20"/>
          <w:szCs w:val="20"/>
        </w:rPr>
        <w:t>.</w:t>
      </w:r>
    </w:p>
    <w:p w:rsidR="00F60E13" w:rsidRPr="00F60E13" w:rsidRDefault="00F60E13" w:rsidP="00F60E13">
      <w:pPr>
        <w:spacing w:after="0" w:line="240" w:lineRule="auto"/>
        <w:jc w:val="both"/>
        <w:rPr>
          <w:rFonts w:asciiTheme="majorHAnsi" w:hAnsiTheme="majorHAnsi"/>
          <w:b/>
          <w:sz w:val="20"/>
          <w:szCs w:val="20"/>
        </w:rPr>
      </w:pPr>
      <w:r w:rsidRPr="00F60E13">
        <w:rPr>
          <w:rFonts w:asciiTheme="majorHAnsi" w:hAnsiTheme="majorHAnsi"/>
          <w:b/>
          <w:sz w:val="20"/>
          <w:szCs w:val="20"/>
        </w:rPr>
        <w:t>HASIL DAN PEMBAHASAN</w:t>
      </w:r>
    </w:p>
    <w:p w:rsidR="00F60E13" w:rsidRPr="00F60E13" w:rsidRDefault="00F60E13" w:rsidP="00F60E13">
      <w:pPr>
        <w:spacing w:after="0" w:line="240" w:lineRule="auto"/>
        <w:jc w:val="both"/>
        <w:rPr>
          <w:rFonts w:asciiTheme="majorHAnsi" w:hAnsiTheme="majorHAnsi"/>
          <w:b/>
          <w:bCs/>
          <w:sz w:val="20"/>
          <w:szCs w:val="20"/>
        </w:rPr>
      </w:pPr>
      <w:r w:rsidRPr="00F60E13">
        <w:rPr>
          <w:rFonts w:asciiTheme="majorHAnsi" w:hAnsiTheme="majorHAnsi"/>
          <w:b/>
          <w:bCs/>
          <w:sz w:val="20"/>
          <w:szCs w:val="20"/>
        </w:rPr>
        <w:t>Waktu Kerja, Tenaga dan Upah</w:t>
      </w:r>
    </w:p>
    <w:p w:rsidR="00BF57A5" w:rsidRDefault="00F60E13" w:rsidP="00BF57A5">
      <w:pPr>
        <w:spacing w:after="0" w:line="240" w:lineRule="auto"/>
        <w:ind w:firstLine="360"/>
        <w:jc w:val="both"/>
        <w:rPr>
          <w:rFonts w:asciiTheme="majorHAnsi" w:hAnsiTheme="majorHAnsi"/>
          <w:sz w:val="20"/>
          <w:szCs w:val="20"/>
        </w:rPr>
      </w:pPr>
      <w:r w:rsidRPr="00F60E13">
        <w:rPr>
          <w:rFonts w:asciiTheme="majorHAnsi" w:hAnsiTheme="majorHAnsi"/>
          <w:sz w:val="20"/>
          <w:szCs w:val="20"/>
        </w:rPr>
        <w:t xml:space="preserve">Luas Lahan Tanaman Kayu Putih di Kabupaten Buru mencakup 12.000 ha dan mempekerjakan sekitar 1.215 orang, termasuk 23 persen dari populasi yang bekerja sebagai buruh pengurut daun. Fluktuasi jumlah pekerja sangat dipengaruhi oleh fluktuasi musim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{"citationItems":[{"id":"ITEM-1","itemData":{"DOI":"10.18551/rjoas.2020-07.14","abstract":"Horticultural food commodities such as shallots are a staple and strategic commodity in Indonesia which is affected by the covid-19 pandemic situation. This study is to answer the pattern of price movements and disparities, as well as the level of fluctuations in the price of shallots due to the covid-19 pandemic in traditional markets in Kupang and Surabaya. Kupang NTT as the recipient of shallots supplies from Surabaya, East Java. Using time-series data of the shallot prices for the period of June 2016 - March 2020 to see disparities and fluctuations, which analyzed using graphics and coefficient of variation (CV). The results of the analysis found that the disparity and fluctuations of the price of shallots between the periods of June 2016 - March 2020, showed a movement that continues to increase, but with a fluctuating increase. Price disparity and fluctuation in Kupang is higher than in Surabaya. This difference is in addition to the seasonal factor also because Surabaya is one of the main suppliers of shallots to Kupang. So that the prices sensitively will rise if there is a disruption in distribution (supply). This seems clear when the initial enactment of social distancing and panic buying took place. Market operations and policies to improve efficiency in the distribution of trade in goods need attention.","author":[{"dropping-particle":"","family":"Nendissa","given":"D.R.","non-dropping-particle":"","parse-names":false,"suffix":""},{"dropping-particle":"","family":"Olviana","given":"T.","non-dropping-particle":"","parse-names":false,"suffix":""},{"dropping-particle":"","family":"Kapioru","given":"C.","non-dropping-particle":"","parse-names":false,"suffix":""}],"container-title":"Russian Journal of Agricultural and Socio-Economic Sciences","id":"ITEM-1","issue":"7","issued":{"date-parts":[["2020"]]},"title":"THE IMPACT OF THE COVID-19 PANDEMIC ON PRICE DISPARITIES AND FLUCTUATIONS OF SHALLOTS IN TRADITIONAL MARKETS","type":"article-journal","volume":"103"},"uris":["http://www.mendeley.com/documents/?uuid=32dc4609-40bf-3196-9269-079d21b3801f"]}],"mendeley":{"formattedCitation":"(Nendissa et al., 2020)","plainTextFormattedCitation":"(Nendissa et al., 2020)","previouslyFormattedCitation":"(Nendissa et al., 2020)"},"properties":{"noteIndex":0},"schema":"https://github.com/citation-style-language/schema/raw/master/csl-citation.json"}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(Nendissa et al., 2020)</w:t>
      </w:r>
      <w:r w:rsidRPr="00F60E13">
        <w:rPr>
          <w:rFonts w:asciiTheme="majorHAnsi" w:hAnsiTheme="majorHAnsi"/>
          <w:sz w:val="20"/>
          <w:szCs w:val="20"/>
        </w:rPr>
        <w:fldChar w:fldCharType="end"/>
      </w:r>
      <w:r w:rsidRPr="00F60E13">
        <w:rPr>
          <w:rFonts w:asciiTheme="majorHAnsi" w:hAnsiTheme="majorHAnsi"/>
          <w:sz w:val="20"/>
          <w:szCs w:val="20"/>
        </w:rPr>
        <w:t xml:space="preserve">, musim kemarau peningkatan dapat mencapai 20%, sementara musim hujan penurunan dapat mencapai 35%. Keseluruhan jumlah petani yang bekerja untuk penyulingan minyak kayu putih di Kabupaten Buru mencapai 14,6% dari total petani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{"citationItems":[{"id":"ITEM-1","itemData":{"DOI":"10.24246/agric.2020.v32.i1.p51-64","ISSN":"0854-9028","abstract":"Women roles are not only in domestic sphere, but has entered public sphere. This research aims to analyze the change of women roles in domestic and public spheres, and also to understand women roles in determination of livelihood strategies and their contribution to household income. Sample village was deliberately chosen, namely Fatmite Village in Namrole District with 30 female informants. Data collection technique involves questionnaire followed by in-depth interview with key informants. Data analysis is focused on the list of daily activities conducted by household women and the calculation of their income. This analysis is aimed to find out the contribution of women to the household income and also their spending proportion. Some results are obtained from this analysis. Women activities in pure domestic category have drained their time for 7 (seven) hours in a day. Women activities in additional domestic category have used their time for 11 (eleven) hours in a day. Total time effusion of women in domesticated activities is 18 hours a day. The contribution of woman to household income is reaching IDR (Indonesian Rupiah) 32,275,000, whereas their average income per month is IDR 2,689,583. Captured fishery, livestock, plantation farming, and crop farming are the kinds of job that provide income to household women.","author":[{"dropping-particle":"","family":"Sopamena","given":"Junianita Fridianova","non-dropping-particle":"","parse-names":false,"suffix":""},{"dropping-particle":"","family":"Pattiselanno","given":"August Ernst","non-dropping-particle":"","parse-names":false,"suffix":""}],"container-title":"Agric","id":"ITEM-1","issue":"1","issued":{"date-parts":[["2020"]]},"title":"THE ROLE CHANGES IN DOMESTIC AND PUBLIC SPHERES OF FARMER WOMEN THROUGH HOUSEHOLD LIVELIHOOD STRATEGY IN FATMITE VILLAGE, NAMROLE DISTRICT, SOUTH BURU REGENCY","type":"article-journal","volume":"32"},"uris":["http://www.mendeley.com/documents/?uuid=5c95f518-0b43-31ab-aa18-021de405cda8"]}],"mendeley":{"formattedCitation":"(Sopamena &amp; Pattiselanno, 2020)","plainTextFormattedCitation":"(Sopamena &amp; Pattiselanno, 2020)","previouslyFormattedCitation":"(Sopamena &amp; Pattiselanno, 2020)"},"properties":{"noteIndex":0},"schema":"https://github.com/citation-style-language/schema/raw/master/csl-citation.json"}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(Sopamena &amp; Pattiselanno, 2020)</w:t>
      </w:r>
      <w:r w:rsidRPr="00F60E13">
        <w:rPr>
          <w:rFonts w:asciiTheme="majorHAnsi" w:hAnsiTheme="majorHAnsi"/>
          <w:sz w:val="20"/>
          <w:szCs w:val="20"/>
        </w:rPr>
        <w:fldChar w:fldCharType="end"/>
      </w:r>
      <w:r w:rsidRPr="00F60E13">
        <w:rPr>
          <w:rFonts w:asciiTheme="majorHAnsi" w:hAnsiTheme="majorHAnsi"/>
          <w:sz w:val="20"/>
          <w:szCs w:val="20"/>
        </w:rPr>
        <w:t>.</w:t>
      </w:r>
    </w:p>
    <w:p w:rsidR="00BF57A5" w:rsidRDefault="00F60E13" w:rsidP="00BF57A5">
      <w:pPr>
        <w:spacing w:after="0" w:line="240" w:lineRule="auto"/>
        <w:ind w:firstLine="360"/>
        <w:jc w:val="both"/>
        <w:rPr>
          <w:rFonts w:asciiTheme="majorHAnsi" w:hAnsiTheme="majorHAnsi"/>
          <w:sz w:val="20"/>
          <w:szCs w:val="20"/>
        </w:rPr>
      </w:pPr>
      <w:r w:rsidRPr="00F60E13">
        <w:rPr>
          <w:rFonts w:asciiTheme="majorHAnsi" w:hAnsiTheme="majorHAnsi"/>
          <w:sz w:val="20"/>
          <w:szCs w:val="20"/>
        </w:rPr>
        <w:t xml:space="preserve">Proses kerja dalam produksi minyak kayu putih meliputi perawatan, pengurutan, dan penyulingan. Aktivitas kerja tersebut dilakukan di hutan dan maupun sekitar lahan tanaman kayu putih dengan durasi waktu kerja 14-30 hari untuk satu masa produksi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{"citationItems":[{"id":"ITEM-1","itemData":{"DOI":"10.1080/00049158.2021.1973225","ISSN":"00049158","abstract":"There is a paucity of eucalypt species in tropical Australia that produce a foliar essential oil in high concentration and rich in 1,8-cineole, the sought-after component of medicinal eucalyptus oils. Eucalyptus bakeri, a mallee from the dry subtropical parts of northern New South Wales and Queensland, is an exception, with limited earlier studies reporting that this species produced foliar oil with commercial characteristics. The aim of this study was to determine the variation in foliar oil characteristics throughout the natural range of E. bakeri as a precursor to the more intensive field-testing of the species as a commercial source of eucalyptus oil. Mature leaves and, when available, coppice leaves for comparison were collected over three separate field trips in 2020 from individual trees representing each of 17 provenances throughout the natural range of E. bakeri in Queensland. Foliar oil concentrations on a fresh-weight basis throughout the provenances sampled were relatively high, averaging 2.3% for mature leaves and 2.8% for coppice leaves, with an individual tree high of 4.1% for both leaf categories. 1,8-Cineole was the dominant compound in all foliar oils sampled, averaging 89.3% (range 70.2–94.6%) in oils from mature leaves and 87.6% (range 79–92.5%) from coppice leaves. Sabinene levels, restricted to a maximum of 0.3% in some oil standards, averaged 0.3% (range trace–1.5%) in oils from mature leaves and 0.4% (range trace–0.7%) from coppice leaves. The high foliar oil concentrations and consistency in oil qualities mark this species as a potential candidate as a eucalyptus oil source species for the dry subtropics. Provenance/progeny trials are now needed to determine which provenances produce adequate growth rates and the silviculture required to manage the species as an oil-producing crop, as well as to investigate variations in oil characteristics, including sabinene levels, when all sources are grown at a common site.","author":[{"dropping-particle":"","family":"Doran","given":"J. C.","non-dropping-particle":"","parse-names":false,"suffix":""},{"dropping-particle":"","family":"Macdonell","given":"P. F.","non-dropping-particle":"","parse-names":false,"suffix":""},{"dropping-particle":"","family":"Brophy","given":"J. J.","non-dropping-particle":"","parse-names":false,"suffix":""},{"dropping-particle":"","family":"Davis","given":"R.","non-dropping-particle":"","parse-names":false,"suffix":""}],"container-title":"Australian Forestry","id":"ITEM-1","issue":"4","issued":{"date-parts":[["2021"]]},"title":"Eucalyptus bakeri: a potential source species for eucalyptus oil production in the subtropics","type":"article-journal","volume":"84"},"uris":["http://www.mendeley.com/documents/?uuid=2d6989f9-998d-3c74-a621-198435b6a500"]}],"mendeley":{"formattedCitation":"(Doran et al., 2021)","plainTextFormattedCitation":"(Doran et al., 2021)","previouslyFormattedCitation":"(Doran et al., 2021)"},"properties":{"noteIndex":0},"schema":"https://github.com/citation-style-language/schema/raw/master/csl-citation.json"}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(Doran et al., 2021)</w:t>
      </w:r>
      <w:r w:rsidRPr="00F60E13">
        <w:rPr>
          <w:rFonts w:asciiTheme="majorHAnsi" w:hAnsiTheme="majorHAnsi"/>
          <w:sz w:val="20"/>
          <w:szCs w:val="20"/>
        </w:rPr>
        <w:fldChar w:fldCharType="end"/>
      </w:r>
      <w:r w:rsidRPr="00F60E13">
        <w:rPr>
          <w:rFonts w:asciiTheme="majorHAnsi" w:hAnsiTheme="majorHAnsi"/>
          <w:sz w:val="20"/>
          <w:szCs w:val="20"/>
        </w:rPr>
        <w:t xml:space="preserve">. Waktu kerja terbagi berdasarkan kelompok kerja yang terdiri dari perawatan, pengurutan serta penyulingan dengan jumlah jam kerja mencapai 8 jam per hari bagi </w:t>
      </w:r>
      <w:r w:rsidRPr="00F60E13">
        <w:rPr>
          <w:rFonts w:asciiTheme="majorHAnsi" w:hAnsiTheme="majorHAnsi"/>
          <w:sz w:val="20"/>
          <w:szCs w:val="20"/>
        </w:rPr>
        <w:lastRenderedPageBreak/>
        <w:t xml:space="preserve">pengurut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{"citationItems":[{"id":"ITEM-1","itemData":{"DOI":"10.29244/jpsl.11.4.631-637","ISSN":"2086-4639","abstract":"One of the consequences of deforestation is the spread of critical land both inside and outside the forest area. Agroforestry or intercropping is developed to provide benefits and improve welfare for the community, and to optimize the results of a form of sustainable land use to ensure and improve food needs. Eucalyptus is one type of plant that is suitable for forest land rehabilitation because of its ability to live on marginal lands. The purpose of the study was to assess the feasibility of eucalyptus oil business and formulate business sustainability development from seven aspects/feasibility parameters, which are namely: (1) legal aspects, (2) social, economic and cultural aspects, (3) market aspects, (4) management and human resources, (5) risk management aspects, (6) technical aspects, and (7) financial aspects. Meanwhile, to find out whether the eucalyptus business activity as a whole can be sustainable, and its development model, a sustainability analysis was carried out using the cobweb (Amoeba) method. Within the framework of sustainability, eucalyptus concessions must make changes and innovations (Estimated business feasibility on a planting area of 5,200 ha obtained a Net Present Value (NPV) of Rp. 950,734,956,062, - with a discounted interest rate of 12% shows that the eucalyptus oil industry will get a net profit of Rp 7,076,409,779,281, - BC Ratio of 12.56, Interest Rate of Return (IRR) of 55%, Payback Period in the 5th year 4 months shows that in a period of 5 years and 4 months from the investment can be returned from business revenues. The results showed that the seven aspects/parameters were declared feasible and continued with a sustainability analysis and concluded that the eucalyptus oil concession was declared sustainable.","author":[{"dropping-particle":"","family":"Ernawati","given":"Titik","non-dropping-particle":"","parse-names":false,"suffix":""},{"dropping-particle":"","family":"Syaufina","given":"Lailan","non-dropping-particle":"","parse-names":false,"suffix":""},{"dropping-particle":"","family":"Hariyadi","given":"","non-dropping-particle":"","parse-names":false,"suffix":""}],"container-title":"Jurnal Pengelolaan Sumberdaya Alam dan Lingkungan (Journal of Natural Resources and Environmental Management)","id":"ITEM-1","issue":"4","issued":{"date-parts":[["2022"]]},"page":"631-637","title":"Sustainable analysis of integrated cajuput oil business development as a sustainable forestry multi-business at PT Inhutani I","type":"article-journal","volume":"11"},"uris":["http://www.mendeley.com/documents/?uuid=4a6f3b7f-42eb-4535-8fe0-803000b57af9"]}],"mendeley":{"formattedCitation":"(Ernawati et al., 2022)","plainTextFormattedCitation":"(Ernawati et al., 2022)","previouslyFormattedCitation":"(Ernawati et al., 2022)"},"properties":{"noteIndex":0},"schema":"https://github.com/citation-style-language/schema/raw/master/csl-citation.json"}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(Ernawati et al., 2022)</w:t>
      </w:r>
      <w:r w:rsidRPr="00F60E13">
        <w:rPr>
          <w:rFonts w:asciiTheme="majorHAnsi" w:hAnsiTheme="majorHAnsi"/>
          <w:sz w:val="20"/>
          <w:szCs w:val="20"/>
        </w:rPr>
        <w:fldChar w:fldCharType="end"/>
      </w:r>
      <w:r w:rsidRPr="00F60E13">
        <w:rPr>
          <w:rFonts w:asciiTheme="majorHAnsi" w:hAnsiTheme="majorHAnsi"/>
          <w:sz w:val="20"/>
          <w:szCs w:val="20"/>
        </w:rPr>
        <w:t xml:space="preserve">, 6 jam bagi perawatan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{"citationItems":[{"id":"ITEM-1","itemData":{"DOI":"10.3390/f12121743","ISSN":"19994907","abstract":"Non-Timber Forest Products (NTFPs) management can lead to various benefits for community livelihood and forest sustainability. However, such management has not been carried out optimally and sustainably in Indonesia, due to various limiting factors including ineffective policies, undeveloped cultivation technologies, and inadequate innovation in processing technologies. Further, the diversity of NTFPs species requires that policy-makers determine the priority species to be developed. Agarwood (Aquilaria spp. and Gyrinops spp.), benzoin (Styrax spp.), sandalwood (Santalum album L.), and cajuput (Melaleuca cajuputi Powell) are aromatic NTFPs species in Indonesia that forest-dwellers have utilized across generations. This paper reviews the current governance, cultivation systems, processing and valuation, and benefits and uses of these species. We also highlights the future challenges and prospects of these NTFPs species, which are expected to be useful in designing NTFPs governance, in order to maximize the associated benefits for the farmers and all related stakeholders.","author":[{"dropping-particle":"","family":"Pasaribu","given":"Gunawan","non-dropping-particle":"","parse-names":false,"suffix":""},{"dropping-particle":"","family":"Winarni","given":"Ina","non-dropping-particle":"","parse-names":false,"suffix":""},{"dropping-particle":"","family":"Gusti","given":"Raden Esa Pangersa","non-dropping-particle":"","parse-names":false,"suffix":""},{"dropping-particle":"","family":"Maharani","given":"Rizki","non-dropping-particle":"","parse-names":false,"suffix":""},{"dropping-particle":"","family":"Fernandes","given":"Andrian","non-dropping-particle":"","parse-names":false,"suffix":""},{"dropping-particle":"","family":"Harianja","given":"Alfonsus Hasudungan","non-dropping-particle":"","parse-names":false,"suffix":""},{"dropping-particle":"","family":"Saragih","given":"Grace Serepina","non-dropping-particle":"","parse-names":false,"suffix":""},{"dropping-particle":"","family":"Turjaman","given":"Maman","non-dropping-particle":"","parse-names":false,"suffix":""},{"dropping-particle":"","family":"Tampubolon","given":"Agustinus Panusunan","non-dropping-particle":"","parse-names":false,"suffix":""},{"dropping-particle":"","family":"Kuspradini","given":"Harlinda","non-dropping-particle":"","parse-names":false,"suffix":""},{"dropping-particle":"","family":"Lukmandaru","given":"Ganis","non-dropping-particle":"","parse-names":false,"suffix":""},{"dropping-particle":"","family":"Njurumana","given":"Gerson Ndawa","non-dropping-particle":"","parse-names":false,"suffix":""},{"dropping-particle":"","family":"Sukito","given":"Agus","non-dropping-particle":"","parse-names":false,"suffix":""},{"dropping-particle":"","family":"Aswandi","given":"Aswandi","non-dropping-particle":"","parse-names":false,"suffix":""},{"dropping-particle":"","family":"Kholibrina","given":"Cut Rizlani","non-dropping-particle":"","parse-names":false,"suffix":""}],"container-title":"Forests","id":"ITEM-1","issue":"12","issued":{"date-parts":[["2021"]]},"title":"Current challenges and prospects of indonesian non-timber forest products (Ntfps): A review","type":"article-journal","volume":"12"},"uris":["http://www.mendeley.com/documents/?uuid=a42871be-3d7d-4056-bc8c-0b4de678f877"]}],"mendeley":{"formattedCitation":"(Pasaribu et al., 2021)","plainTextFormattedCitation":"(Pasaribu et al., 2021)","previouslyFormattedCitation":"(Pasaribu et al., 2021)"},"properties":{"noteIndex":0},"schema":"https://github.com/citation-style-language/schema/raw/master/csl-citation.json"}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(Pasaribu et al., 2021)</w:t>
      </w:r>
      <w:r w:rsidRPr="00F60E13">
        <w:rPr>
          <w:rFonts w:asciiTheme="majorHAnsi" w:hAnsiTheme="majorHAnsi"/>
          <w:sz w:val="20"/>
          <w:szCs w:val="20"/>
        </w:rPr>
        <w:fldChar w:fldCharType="end"/>
      </w:r>
      <w:r w:rsidRPr="00F60E13">
        <w:rPr>
          <w:rFonts w:asciiTheme="majorHAnsi" w:hAnsiTheme="majorHAnsi"/>
          <w:sz w:val="20"/>
          <w:szCs w:val="20"/>
        </w:rPr>
        <w:t xml:space="preserve"> serta 12 jam bagi penyulingan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{"citationItems":[{"id":"ITEM-1","itemData":{"DOI":"10.2991/assehr.k.201021.018","author":[{"dropping-particle":"","family":"Alu","given":"Amina Kurniasi","non-dropping-particle":"","parse-names":false,"suffix":""},{"dropping-particle":"","family":"Machfud","given":"","non-dropping-particle":"","parse-names":false,"suffix":""},{"dropping-particle":"","family":"Rusli","given":"Meika Syahbana","non-dropping-particle":"","parse-names":false,"suffix":""}],"container-title":"Proceedings of the Brawijaya International Conference on Multidisciplinary Sciences and Technology (BICMST 2020) Formulating","id":"ITEM-1","issue":"Bicmst","issued":{"date-parts":[["2020"]]},"page":"72-75","title":"Formulating Strategies for Improving the Competitiveness of Cajuput Small Industry in Buru Regency’s (A Case Study)","type":"paper-conference","volume":"456"},"uris":["http://www.mendeley.com/documents/?uuid=42b770f2-4dff-4f88-9f3b-62f653f251cb"]}],"mendeley":{"formattedCitation":"(Alu et al., 2020)","plainTextFormattedCitation":"(Alu et al., 2020)","previouslyFormattedCitation":"(Alu et al., 2020)"},"properties":{"noteIndex":0},"schema":"https://github.com/citation-style-language/schema/raw/master/csl-citation.json"}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(Alu et al., 2020)</w:t>
      </w:r>
      <w:r w:rsidRPr="00F60E13">
        <w:rPr>
          <w:rFonts w:asciiTheme="majorHAnsi" w:hAnsiTheme="majorHAnsi"/>
          <w:sz w:val="20"/>
          <w:szCs w:val="20"/>
        </w:rPr>
        <w:fldChar w:fldCharType="end"/>
      </w:r>
      <w:r w:rsidRPr="00F60E13">
        <w:rPr>
          <w:rFonts w:asciiTheme="majorHAnsi" w:hAnsiTheme="majorHAnsi"/>
          <w:sz w:val="20"/>
          <w:szCs w:val="20"/>
        </w:rPr>
        <w:t xml:space="preserve">. Tenaga kerja dalam satu proses produksi merupakan kelompok yang terdiri dari 8-12 orang terbagi menjadi 1-2 orang sebagai perawat lahan dan tanaman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{"citationItems":[{"id":"ITEM-1","itemData":{"DOI":"10.1016/j.sbspro.2016.06.150","ISSN":"18770428","abstract":"Eucalyptus forest area and total production of eucalyptus oil on Buru Island are the largest in Indonesia. The revenue of eucalyptus oil industry in Buru decreased in the last 5 years and is still managed conventionally. The increasing production capacity and value added is necessary, because eucalyptus oil is the leading commodity in Buru. Therefore, the development of agro-processing eucalyptus oil is one solution to the economic development in Buru. This research which is done through: determining the factors that influence the development of agro-processing eucalyptus oil; clustering potential development of agro-processing; and the preparation of the development of agro-processing of eucalyptus oil. The result of this research, there are 6 development clusters and 2 phases of the roadmap, namely: establishment of new industrial cluster, optimization of raw materials cluster, and the increasing of production capacity efficiently cluster (Factor-Driven); raw material efficiency cluster, industrial activity maintenance cluster, and product differentiation cluster (Capital-Driven).","author":[{"dropping-particle":"","family":"Ghiffari","given":"Rizki Adriadi","non-dropping-particle":"","parse-names":false,"suffix":""}],"container-title":"Procedia - Social and Behavioral Sciences","id":"ITEM-1","issued":{"date-parts":[["2016"]]},"title":"Development of Eucalyptus Oil Agro-industries in Kabupaten Buru","type":"article-journal","volume":"227"},"uris":["http://www.mendeley.com/documents/?uuid=28f806fc-55db-3992-8be8-9dc30891ff6b"]}],"mendeley":{"formattedCitation":"(Ghiffari, 2016)","plainTextFormattedCitation":"(Ghiffari, 2016)","previouslyFormattedCitation":"(Ghiffari, 2016)"},"properties":{"noteIndex":0},"schema":"https://github.com/citation-style-language/schema/raw/master/csl-citation.json"}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(Ghiffari, 2016)</w:t>
      </w:r>
      <w:r w:rsidRPr="00F60E13">
        <w:rPr>
          <w:rFonts w:asciiTheme="majorHAnsi" w:hAnsiTheme="majorHAnsi"/>
          <w:sz w:val="20"/>
          <w:szCs w:val="20"/>
        </w:rPr>
        <w:fldChar w:fldCharType="end"/>
      </w:r>
      <w:r w:rsidRPr="00F60E13">
        <w:rPr>
          <w:rFonts w:asciiTheme="majorHAnsi" w:hAnsiTheme="majorHAnsi"/>
          <w:sz w:val="20"/>
          <w:szCs w:val="20"/>
        </w:rPr>
        <w:t xml:space="preserve">, 6 orang pengurut daun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{"citationItems":[{"id":"ITEM-1","itemData":{"DOI":"10.1016/j.bej.2008.12.012","ISSN":"1369703X","abstract":"Cineolic essential oils are used in medicinal, perfumery and flavour preparations. 1,8-Cineole, being an ecofriendly compound, has the potential to replace the ozone depleting industrial solvents. Optimized process parameters for hydrodistillation and production of essential oil enriched with 1,8-cineole from Eucalyptus cinerea grown in the mid-hills of western Himalaya, were reported. The effect of drying of the foliage prior to distillation with respect to oil composition and content was studied. The first order kinetic and Langmuir adsorption models were evaluated to simulate hydrodistillation of E. cinerea oil. The Langmuir model parameters that simulate the hydrodistillation process were determined. GCMS analysis revealed that the oil produced from fresh foliage contained higher 1,8-cineole content (84.4%) than the dried foliage (77.6%). The other major constituents were limonene and α-terpineol. © 2008 Elsevier B.V. All rights reserved.","author":[{"dropping-particle":"","family":"Babu","given":"Garikapati D.Kiran","non-dropping-particle":"","parse-names":false,"suffix":""},{"dropping-particle":"","family":"Singh","given":"Bikram","non-dropping-particle":"","parse-names":false,"suffix":""}],"container-title":"Biochemical Engineering Journal","id":"ITEM-1","issue":"2-3","issued":{"date-parts":[["2009"]]},"title":"Simulation of Eucalyptus cinerea oil distillation: A study on optimization of 1,8-cineole production","type":"article-journal","volume":"44"},"uris":["http://www.mendeley.com/documents/?uuid=d3b085d9-b87f-322c-9acb-44bef4552260"]}],"mendeley":{"formattedCitation":"(Babu &amp; Singh, 2009)","plainTextFormattedCitation":"(Babu &amp; Singh, 2009)","previouslyFormattedCitation":"(Babu &amp; Singh, 2009)"},"properties":{"noteIndex":0},"schema":"https://github.com/citation-style-language/schema/raw/master/csl-citation.json"}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(Babu &amp; Singh, 2009)</w:t>
      </w:r>
      <w:r w:rsidRPr="00F60E13">
        <w:rPr>
          <w:rFonts w:asciiTheme="majorHAnsi" w:hAnsiTheme="majorHAnsi"/>
          <w:sz w:val="20"/>
          <w:szCs w:val="20"/>
        </w:rPr>
        <w:fldChar w:fldCharType="end"/>
      </w:r>
      <w:r w:rsidRPr="00F60E13">
        <w:rPr>
          <w:rFonts w:asciiTheme="majorHAnsi" w:hAnsiTheme="majorHAnsi"/>
          <w:sz w:val="20"/>
          <w:szCs w:val="20"/>
        </w:rPr>
        <w:t xml:space="preserve"> dan 4-5 orang sebagai penyuling minyak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{"citationItems":[{"id":"ITEM-1","itemData":{"DOI":"10.25077/aijsed.v1.i01.8-10.2021","abstract":"Background: The utilization of liquid hand soap is an alternative to prevent virus transmission in COVID 19 Pandemic. The production of aromatic hand soap and distribution to the public will be an effort to support the prevention of the spread of the corona virus. Methodology: Aromatic hand soap made from eucalyptus is produced and distributed to people in Padang City as an alternative product for people to maintain their personal hygiene. Conclusion: This eucalyptus-flavored handsoap has received a lot of positive feedback. This product can assist people in maintaining their personal hygiene. The public does not like the smell of eucalyptus oil in this hand soap product. The formulation of this product will need to be completed in the future.","author":[{"dropping-particle":"","family":"Rasdiana","given":"Felga Zulfia","non-dropping-particle":"","parse-names":false,"suffix":""},{"dropping-particle":"","family":"Novelina","given":"Novelina","non-dropping-particle":"","parse-names":false,"suffix":""},{"dropping-particle":"","family":"Aisman","given":"Aisman","non-dropping-particle":"","parse-names":false,"suffix":""},{"dropping-particle":"","family":"Hari","given":"Purnama Dini","non-dropping-particle":"","parse-names":false,"suffix":""},{"dropping-particle":"","family":"Nazir","given":"Novizar","non-dropping-particle":"","parse-names":false,"suffix":""}],"container-title":"Andalasian International Journal of Social and Entrepreneurial Development","id":"ITEM-1","issue":"01","issued":{"date-parts":[["2021"]]},"title":"DISTRIBUTION OF HAND SOAP WITH THE AROMA OF EUCALYPTUS FOR PEOPLE AFFECTED BY THE COVID-19 PANDEMIC: A COMMUNITY SERVICE REPORT","type":"article-journal","volume":"1"},"uris":["http://www.mendeley.com/documents/?uuid=55280239-108f-3f68-8506-79821ca1c68a"]},{"id":"ITEM-2","itemData":{"DOI":"10.24246/agric.2020.v32.i1.p51-64","ISSN":"0854-9028","abstract":"Women roles are not only in domestic sphere, but has entered public sphere. This research aims to analyze the change of women roles in domestic and public spheres, and also to understand women roles in determination of livelihood strategies and their contribution to household income. Sample village was deliberately chosen, namely Fatmite Village in Namrole District with 30 female informants. Data collection technique involves questionnaire followed by in-depth interview with key informants. Data analysis is focused on the list of daily activities conducted by household women and the calculation of their income. This analysis is aimed to find out the contribution of women to the household income and also their spending proportion. Some results are obtained from this analysis. Women activities in pure domestic category have drained their time for 7 (seven) hours in a day. Women activities in additional domestic category have used their time for 11 (eleven) hours in a day. Total time effusion of women in domesticated activities is 18 hours a day. The contribution of woman to household income is reaching IDR (Indonesian Rupiah) 32,275,000, whereas their average income per month is IDR 2,689,583. Captured fishery, livestock, plantation farming, and crop farming are the kinds of job that provide income to household women.","author":[{"dropping-particle":"","family":"Sopamena","given":"Junianita Fridianova","non-dropping-particle":"","parse-names":false,"suffix":""},{"dropping-particle":"","family":"Pattiselanno","given":"August Ernst","non-dropping-particle":"","parse-names":false,"suffix":""}],"container-title":"Agric","id":"ITEM-2","issue":"1","issued":{"date-parts":[["2020"]]},"title":"THE ROLE CHANGES IN DOMESTIC AND PUBLIC SPHERES OF FARMER WOMEN THROUGH HOUSEHOLD LIVELIHOOD STRATEGY IN FATMITE VILLAGE, NAMROLE DISTRICT, SOUTH BURU REGENCY","type":"article-journal","volume":"32"},"uris":["http://www.mendeley.com/documents/?uuid=5c95f518-0b43-31ab-aa18-021de405cda8"]}],"mendeley":{"formattedCitation":"(Rasdiana et al., 2021; Sopamena &amp; Pattiselanno, 2020)","plainTextFormattedCitation":"(Rasdiana et al., 2021; Sopamena &amp; Pattiselanno, 2020)","previouslyFormattedCitation":"(Rasdiana et al., 2021)"},"properties":{"noteIndex":0},"schema":"https://github.com/citation-style-language/schema/raw/master/csl-citation.json"}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(Rasdiana et al., 2021; Sopamena &amp; Pattiselanno, 2020)</w:t>
      </w:r>
      <w:r w:rsidRPr="00F60E13">
        <w:rPr>
          <w:rFonts w:asciiTheme="majorHAnsi" w:hAnsiTheme="majorHAnsi"/>
          <w:sz w:val="20"/>
          <w:szCs w:val="20"/>
        </w:rPr>
        <w:fldChar w:fldCharType="end"/>
      </w:r>
      <w:r w:rsidRPr="00F60E13">
        <w:rPr>
          <w:rFonts w:asciiTheme="majorHAnsi" w:hAnsiTheme="majorHAnsi"/>
          <w:sz w:val="20"/>
          <w:szCs w:val="20"/>
        </w:rPr>
        <w:t xml:space="preserve">. Pembagian upah kerja berdasarkan hasil produksi minyak kayu putih yang disusun berdasarkan total produksi; pemilik lahan 50 persen, perawatan 10 persen, pengurut 20 persen dan penyulingan 30 persen. Ada kemudahan yang diberikan pemilik lahan yakni dengan pemberian hutang kepada pekerja yang nantinya dipotong dengan jumlah produksi minyak kayu putih yang dihasilkan. </w:t>
      </w:r>
    </w:p>
    <w:p w:rsidR="00BF57A5" w:rsidRDefault="00F60E13" w:rsidP="00BF57A5">
      <w:pPr>
        <w:spacing w:after="0" w:line="240" w:lineRule="auto"/>
        <w:ind w:firstLine="360"/>
        <w:jc w:val="both"/>
        <w:rPr>
          <w:rFonts w:asciiTheme="majorHAnsi" w:hAnsiTheme="majorHAnsi"/>
          <w:sz w:val="20"/>
          <w:szCs w:val="20"/>
        </w:rPr>
      </w:pPr>
      <w:r w:rsidRPr="00F60E13">
        <w:rPr>
          <w:rFonts w:asciiTheme="majorHAnsi" w:hAnsiTheme="majorHAnsi"/>
          <w:sz w:val="20"/>
          <w:szCs w:val="20"/>
        </w:rPr>
        <w:t>Dalam pola pembagian kerja, Harold Koontz menetapkan departemen berdasarkan jumlah orang, waktu, fungsi bisnis, pasar, dan proses atau prosedur yang diperlukan. Pekerjaan Petani diorganisasikan ke dalam departemen-departemen yang masing-masing memiliki sub-kelompok yang bertanggung jawab atas tugas tertentu yang dihadapi. Nature dan Nurture adalah dua teori perilaku manusia yang dapat digunakan untuk menjelaskan bagaimana orang berperilaku dalam kelompok. Peran laki-laki dan perempuan yang terjadi oleh biologi dan secara alami sudah digariskan, seperti teori perspektif alam. Perbedaan yang diakibatkan oleh teori alam mengakibatkan perbedaan antara maskulin dan feminin. Teori Nurture, di sisi lain, mengamati bahwa ada perbedaan antara karakteristik maskulin dan feminin, bukan karena faktor biologis, tetapi karena faktor sosial dan budaya, dan tidak terjadi secara diprediksi, seperti klaim teori alam. Posisi pembagian pekerja petani minyak kayu putih di Kabupaten Buru terkonstruksi dari budaya lokal petani minyak kayu putih.</w:t>
      </w:r>
    </w:p>
    <w:p w:rsidR="00BF57A5" w:rsidRDefault="00F60E13" w:rsidP="00BF57A5">
      <w:pPr>
        <w:spacing w:after="0" w:line="240" w:lineRule="auto"/>
        <w:ind w:firstLine="360"/>
        <w:jc w:val="both"/>
        <w:rPr>
          <w:rFonts w:asciiTheme="majorHAnsi" w:hAnsiTheme="majorHAnsi"/>
          <w:sz w:val="20"/>
          <w:szCs w:val="20"/>
        </w:rPr>
      </w:pPr>
      <w:r w:rsidRPr="00F60E13">
        <w:rPr>
          <w:rFonts w:asciiTheme="majorHAnsi" w:hAnsiTheme="majorHAnsi"/>
          <w:sz w:val="20"/>
          <w:szCs w:val="20"/>
        </w:rPr>
        <w:t xml:space="preserve">Lokasi lahan pohon kayu putih di Kabupaten Buru seluruhnya berada di wilayah pedesaan. Situasi ini memberikan penjelasan bahwa keberadaan agroindustri ini memanfaatkan keuntungan komperatif dari pasar tenaga kerja yang murah. Masuknya angkatan kerja seperti pemuda desa, remaja putus sekolah serta perempuan dalam usaha penyulingan minyak kayu putih ini dapat dijelaskan melalui mekanisme penawaran dan permintaan tenaga kerja. Secara umum terjadi kondisi surplus tenaga kerja sektor pertanian di Kabupaten Buru, akibat pertambahan penduduk dan keterbatasan kesempatan kerja di sektor pertanian dan sempitnya lahan dan ketidaksuburan tanah. </w:t>
      </w:r>
    </w:p>
    <w:p w:rsidR="00BF57A5" w:rsidRDefault="00F60E13" w:rsidP="00BF57A5">
      <w:pPr>
        <w:spacing w:after="0" w:line="240" w:lineRule="auto"/>
        <w:ind w:firstLine="360"/>
        <w:jc w:val="both"/>
        <w:rPr>
          <w:rFonts w:asciiTheme="majorHAnsi" w:hAnsiTheme="majorHAnsi"/>
          <w:sz w:val="20"/>
          <w:szCs w:val="20"/>
        </w:rPr>
      </w:pPr>
      <w:r w:rsidRPr="00F60E13">
        <w:rPr>
          <w:rFonts w:asciiTheme="majorHAnsi" w:hAnsiTheme="majorHAnsi"/>
          <w:sz w:val="20"/>
          <w:szCs w:val="20"/>
        </w:rPr>
        <w:t xml:space="preserve">Persoalan tenaga kerja yang dibayar murah dengan waktu kerja yang panjang menjadi permisif pada petani tanaman minyak kayu putih, tradisi kerja gotong royong hanya menguntungkan pemilik lahan dengan keuntungan yang besar, kesulitan dalam memenuhi kebutuhan sehari-hari menjadi dasar petani tanaman kayu putih di kabupaten Buru menerima pola kerja yang memarjinalkan mereka. </w:t>
      </w:r>
      <w:r w:rsidRPr="00F60E13">
        <w:rPr>
          <w:rFonts w:asciiTheme="majorHAnsi" w:hAnsiTheme="majorHAnsi"/>
          <w:sz w:val="20"/>
          <w:szCs w:val="20"/>
        </w:rPr>
        <w:t xml:space="preserve">Hasil produksi dalam sekali masa kerja 10 hari menghasilkan 100 liter yang dihargai oleh pemilik seharga Rp. 120.000. per liter, apabila dikalikan 100 liter maka menjadi Rp. 12.000.000. sementara itu, Rp. 6.000.000 menjadi keuntungan pemilik lahan sedangkan 10 orang petani harus berbagi dengan Rp. 6.000.000 sisa dari keuntungan pemilik lahan. </w:t>
      </w:r>
    </w:p>
    <w:p w:rsidR="00F60E13" w:rsidRDefault="00F60E13" w:rsidP="00BF57A5">
      <w:pPr>
        <w:spacing w:after="0" w:line="240" w:lineRule="auto"/>
        <w:ind w:firstLine="360"/>
        <w:jc w:val="both"/>
        <w:rPr>
          <w:rFonts w:asciiTheme="majorHAnsi" w:hAnsiTheme="majorHAnsi"/>
          <w:sz w:val="20"/>
          <w:szCs w:val="20"/>
        </w:rPr>
      </w:pPr>
      <w:r w:rsidRPr="00F60E13">
        <w:rPr>
          <w:rFonts w:asciiTheme="majorHAnsi" w:hAnsiTheme="majorHAnsi"/>
          <w:sz w:val="20"/>
          <w:szCs w:val="20"/>
        </w:rPr>
        <w:t xml:space="preserve">Kombinasi dari kondisi upah rendah dan waktu kerja yang lama menyebabkan petani minyak kayu putih menjadi marginal. Dalam limit waktu 25 tahun (1997 - 2022) struktur upah petani pada produksi minyak kayu putih secara nominal mengalami peningkat, namun daya beli menjadi turun. Kondisi pendapatan yang minim disertai kondisi kerja tidak memenuhi syarat kerja. Fenomena seperti ini umumnya terjadi pada kelompok-kelompok petani minyak kayu putih yang tersebar di Kabupaten Buru. Dari jumlah upah terhitung cukup besar dalam ukuran sumbangan pada ekonomi rumah tangga, namun tetap berada di bawah upah minimum regional. Upah Minimum Regional (UMR) Maluku pada tahun 2022 adalah sebesar Rp. 2.618.312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{"citationItems":[{"id":"ITEM-1","itemData":{"DOI":"10.24127/akuntansi.v1i2.382","ISSN":"2722-0281","abstract":"This study aims to examine the impact of region minimum wage and infrastructure ratio onIncomeDistribution Gap in Indonesia. This study uses panel data for the period 2011-2017 and consists of 33provinces, except North Kalimantan Province because it is a new province. By using fixed effectpanel data regression analysis, with dependent variable is gini index. While independent variable areregional minimum wage and infrastructure ratio.On the one hand, based on hypothetical test, theresults show that the regional minimum wage and infrastructure ratio have a negative and significanteffect on the income distribution gap in Indonesia. On the other hand, based on the individual effectstest, the large islands such as Sumatera, Java, Kalimantan, Sulawesi, Bali, Maluku, and Papua have apositive effect on the gini ratio. This shows that there is an impact of the infrastructure ratio functionand regional minimum wages in increasing the distribution of income as measured by the gini index.","author":[{"dropping-particle":"","family":"Noviana","given":"Siti Nurul","non-dropping-particle":"","parse-names":false,"suffix":""}],"container-title":"Jurnal Akuntansi AKTIVA","id":"ITEM-1","issue":"2","issued":{"date-parts":[["2020"]]},"title":"PENGARUH UPAH MINIMUM REGIONAL DAN RASIO INFRASTRUKTUR TERHADAPKESENJANGAN DISTRIBUSI PENDAPATAN DI INDONESIA","type":"article-journal","volume":"1"},"uris":["http://www.mendeley.com/documents/?uuid=7659f02f-8f9b-3bf5-9f01-3f0b893612ad"]}],"mendeley":{"formattedCitation":"(Noviana, 2020)","plainTextFormattedCitation":"(Noviana, 2020)","previouslyFormattedCitation":"(Noviana, 2020)"},"properties":{"noteIndex":0},"schema":"https://github.com/citation-style-language/schema/raw/master/csl-citation.json"}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(Noviana, 2020)</w:t>
      </w:r>
      <w:r w:rsidRPr="00F60E13">
        <w:rPr>
          <w:rFonts w:asciiTheme="majorHAnsi" w:hAnsiTheme="majorHAnsi"/>
          <w:sz w:val="20"/>
          <w:szCs w:val="20"/>
        </w:rPr>
        <w:fldChar w:fldCharType="end"/>
      </w:r>
      <w:r w:rsidRPr="00F60E13">
        <w:rPr>
          <w:rFonts w:asciiTheme="majorHAnsi" w:hAnsiTheme="majorHAnsi"/>
          <w:sz w:val="20"/>
          <w:szCs w:val="20"/>
        </w:rPr>
        <w:t xml:space="preserve">, sedangkan penerimaan petani per bulan Rp. 1.800.000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{"citationItems":[{"id":"ITEM-1","itemData":{"DOI":"10.13106/jafeb.2021.vol8.no4.0181","ISSN":"22884645","abstract":"The aim of the study is to empirically investigate and analyze the influence of public welfare, audit findings, and follow-up of audit recommendations on audit opinion with the disclosure level of financial reports as an intervening variable using agency theory and signaling theory. To achieve this purpose, a quantitative research method was employed. Population of this study is Provincial Government Financial Reports in Indonesia for fiscal years 2016 to 2018. There were 84 financial reports that met the criteria of purposive sampling. The data were gathered from the websites of the Audit Board of the Republic of Indonesia and the Indonesian Central Bureau of Statistics. In this study, the hypothesis-testing tool is path analysis using the Statistical Package for Social Sciences version 15. Based on the multiple regression analysis, the results show that audit findings, public income, and the disclosure level of financial reports significantly influenced audit opinion. Besides, the follow-up of audit recommendations and public health significantly influenced audit opinion through the disclosure level of financial reports. This study suggests that, in order to have better audit opinion, local governments need to improve public welfare, follow-up audit finding, and disclose more details in financial report.","author":[{"dropping-particle":"","family":"Yaya","given":"Rizal","non-dropping-particle":"","parse-names":false,"suffix":""},{"dropping-particle":"","family":"Irfana","given":"Siti Syifa","non-dropping-particle":"","parse-names":false,"suffix":""},{"dropping-particle":"","family":"Riyadh","given":"Hosam Alden","non-dropping-particle":"","parse-names":false,"suffix":""},{"dropping-particle":"","family":"Sofyani","given":"Hafiez","non-dropping-particle":"","parse-names":false,"suffix":""}],"container-title":"Journal of Asian Finance, Economics and Business","id":"ITEM-1","issue":"4","issued":{"date-parts":[["2021"]]},"title":"The Influence of Public Welfare and Audit Findings on Audit Opinion: Empirical Evidence from Provincial Data in Indonesia","type":"article-journal","volume":"8"},"uris":["http://www.mendeley.com/documents/?uuid=19a0c2af-53b1-3b6e-ba19-b0fa93dd8e93"]}],"mendeley":{"formattedCitation":"(Yaya et al., 2021)","plainTextFormattedCitation":"(Yaya et al., 2021)","previouslyFormattedCitation":"(Yaya et al., 2021)"},"properties":{"noteIndex":0},"schema":"https://github.com/citation-style-language/schema/raw/master/csl-citation.json"}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(Yaya et al., 2021)</w:t>
      </w:r>
      <w:r w:rsidRPr="00F60E13">
        <w:rPr>
          <w:rFonts w:asciiTheme="majorHAnsi" w:hAnsiTheme="majorHAnsi"/>
          <w:sz w:val="20"/>
          <w:szCs w:val="20"/>
        </w:rPr>
        <w:fldChar w:fldCharType="end"/>
      </w:r>
      <w:r w:rsidRPr="00F60E13">
        <w:rPr>
          <w:rFonts w:asciiTheme="majorHAnsi" w:hAnsiTheme="majorHAnsi"/>
          <w:sz w:val="20"/>
          <w:szCs w:val="20"/>
        </w:rPr>
        <w:t>.</w:t>
      </w:r>
    </w:p>
    <w:p w:rsidR="00BF57A5" w:rsidRPr="00F60E13" w:rsidRDefault="00BF57A5" w:rsidP="00BF57A5">
      <w:pPr>
        <w:spacing w:after="0" w:line="240" w:lineRule="auto"/>
        <w:ind w:firstLine="360"/>
        <w:jc w:val="both"/>
        <w:rPr>
          <w:rFonts w:asciiTheme="majorHAnsi" w:hAnsiTheme="majorHAnsi"/>
          <w:sz w:val="20"/>
          <w:szCs w:val="20"/>
        </w:rPr>
      </w:pPr>
    </w:p>
    <w:p w:rsidR="00BF57A5" w:rsidRDefault="00F60E13" w:rsidP="00BF57A5">
      <w:pPr>
        <w:spacing w:after="0" w:line="240" w:lineRule="auto"/>
        <w:jc w:val="both"/>
        <w:rPr>
          <w:rFonts w:asciiTheme="majorHAnsi" w:hAnsiTheme="majorHAnsi"/>
          <w:b/>
          <w:bCs/>
          <w:sz w:val="20"/>
          <w:szCs w:val="20"/>
        </w:rPr>
      </w:pPr>
      <w:r w:rsidRPr="00F60E13">
        <w:rPr>
          <w:rFonts w:asciiTheme="majorHAnsi" w:hAnsiTheme="majorHAnsi"/>
          <w:b/>
          <w:bCs/>
          <w:sz w:val="20"/>
          <w:szCs w:val="20"/>
        </w:rPr>
        <w:t>Adaptasi Fisik Sebagai Upaya Peningkatan Produksi</w:t>
      </w:r>
    </w:p>
    <w:p w:rsidR="00BF57A5" w:rsidRDefault="00F60E13" w:rsidP="00BF57A5">
      <w:pPr>
        <w:spacing w:after="0" w:line="240" w:lineRule="auto"/>
        <w:ind w:firstLine="360"/>
        <w:jc w:val="both"/>
        <w:rPr>
          <w:rFonts w:asciiTheme="majorHAnsi" w:hAnsiTheme="majorHAnsi"/>
          <w:b/>
          <w:bCs/>
          <w:sz w:val="20"/>
          <w:szCs w:val="20"/>
        </w:rPr>
      </w:pPr>
      <w:r w:rsidRPr="00F60E13">
        <w:rPr>
          <w:rFonts w:asciiTheme="majorHAnsi" w:hAnsiTheme="majorHAnsi"/>
          <w:sz w:val="20"/>
          <w:szCs w:val="20"/>
        </w:rPr>
        <w:t>Sistem produksi minyak kayu putih sangat rentan (</w:t>
      </w:r>
      <w:r w:rsidRPr="00F60E13">
        <w:rPr>
          <w:rFonts w:asciiTheme="majorHAnsi" w:hAnsiTheme="majorHAnsi"/>
          <w:i/>
          <w:iCs/>
          <w:sz w:val="20"/>
          <w:szCs w:val="20"/>
        </w:rPr>
        <w:t>vulnerable</w:t>
      </w:r>
      <w:r w:rsidRPr="00F60E13">
        <w:rPr>
          <w:rFonts w:asciiTheme="majorHAnsi" w:hAnsiTheme="majorHAnsi"/>
          <w:sz w:val="20"/>
          <w:szCs w:val="20"/>
        </w:rPr>
        <w:t>) dan paling menderita terkena dampak pandemic covid-19, peningkatan permintaan yang mengubah pola produksi dan perawatan sehingga menurunkan prduktivitas, kualitas minyak, dan kerusakan tanaman. Oleh sebab itu, adaptasi sistem produksi minyak kayu putih sangat tergantung dari pola permintaan mengikuti kebutuhan pembeli.  Secara konseptual, adaptasi merupakan upaya penyesuaian tindakan dengan sumber daya terhadap tujuan yang akan dicapai oleh individu maupun kelompok. Adaptasi yang penulis konstruksi terhadap fenomena petani minyak kayu putih adalah adaptasi fisik dimana tujuan peningkatan produksi diupayakan melalui: (1) optimalisasi pengelolaan sumberdaya dengan memaksimalkan tenaga kerja; (2) penyesuaian pengelolaan pola dan waktu panen; (3) optimalisasi pemanfaatan lahan.</w:t>
      </w:r>
    </w:p>
    <w:p w:rsidR="00BF57A5" w:rsidRDefault="00F60E13" w:rsidP="00BF57A5">
      <w:pPr>
        <w:spacing w:after="0" w:line="240" w:lineRule="auto"/>
        <w:ind w:firstLine="360"/>
        <w:jc w:val="both"/>
        <w:rPr>
          <w:rFonts w:asciiTheme="majorHAnsi" w:hAnsiTheme="majorHAnsi"/>
          <w:b/>
          <w:bCs/>
          <w:sz w:val="20"/>
          <w:szCs w:val="20"/>
        </w:rPr>
      </w:pPr>
      <w:r w:rsidRPr="00F60E13">
        <w:rPr>
          <w:rFonts w:asciiTheme="majorHAnsi" w:hAnsiTheme="majorHAnsi"/>
          <w:sz w:val="20"/>
          <w:szCs w:val="20"/>
        </w:rPr>
        <w:t xml:space="preserve">Optimalisasi dengan memaksimalkan tenaga kerja adalah suatu tindakan yang sengaja dilakukan untuk mendapatkan hasil produksi yang maksimal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{"citationItems":[{"id":"ITEM-1","itemData":{"DOI":"10.1108/BIJ-01-2020-0034","ISSN":"14635771","abstract":"Purpose: The purpose of this paper is to develop a workforce optimisation model that maximises the profitability of a knowledge-based service organisation in the quaternary sector. Design/methodology/approach: An optimisation model that allocates resources from different skillsets and seniority to projects that are delivered from several geographies has been developed in this paper. With the objective of maximising the profitability of a pipeline of projects, the model selects which projects to accept and which not to and indicates how many resources to hire for (or layoff from) each skillset-seniority-geography combination. Findings: The paper discusses the model and its scalable nature. Through hypothetical scenarios, it is shown that the model, using a simple non-linear algorithm, converges to optimal solutions. Research limitations/implications: The model depends on inputs that are exogenously supplied by the organisation. The applicability of the outcome is dependent on them. However, on the other hand, it allows for the alignment of the outcomes with the strategic objective of the organisation. Practical implications: The paper discusses the multi-dimensional nature of effective human resource allocation problem. It not only maximises profitability but also allows organisations to strategically screen projects. With proper calibration and minor modifications, the model may be used to allocate resources across the knowledge-based industry. Originality/value: The paper integrates the demand and supply-side problems of workforce allocation to projects in a novel way to form a tractable model that is pragmatic and applicable.","author":[{"dropping-particle":"","family":"Ghosh","given":"Anindya","non-dropping-particle":"","parse-names":false,"suffix":""},{"dropping-particle":"","family":"Kundu","given":"Sayantan","non-dropping-particle":"","parse-names":false,"suffix":""},{"dropping-particle":"","family":"Ghosh","given":"Piyali","non-dropping-particle":"","parse-names":false,"suffix":""},{"dropping-particle":"","family":"Dutta","given":"Tanusree","non-dropping-particle":"","parse-names":false,"suffix":""}],"container-title":"Benchmarking","id":"ITEM-1","issue":"10","issued":{"date-parts":[["2020"]]},"title":"Maximising profitability of quaternary sector organisations through workforce optimisation","type":"article-journal","volume":"27"},"uris":["http://www.mendeley.com/documents/?uuid=da6da804-8ce2-32b0-b96f-bd28998f5c2e"]}],"mendeley":{"formattedCitation":"(Ghosh et al., 2020)","plainTextFormattedCitation":"(Ghosh et al., 2020)","previouslyFormattedCitation":"(Ghosh et al., 2020)"},"properties":{"noteIndex":0},"schema":"https://github.com/citation-style-language/schema/raw/master/csl-citation.json"}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(Ghosh et al., 2020)</w:t>
      </w:r>
      <w:r w:rsidRPr="00F60E13">
        <w:rPr>
          <w:rFonts w:asciiTheme="majorHAnsi" w:hAnsiTheme="majorHAnsi"/>
          <w:sz w:val="20"/>
          <w:szCs w:val="20"/>
        </w:rPr>
        <w:fldChar w:fldCharType="end"/>
      </w:r>
      <w:r w:rsidRPr="00F60E13">
        <w:rPr>
          <w:rFonts w:asciiTheme="majorHAnsi" w:hAnsiTheme="majorHAnsi"/>
          <w:sz w:val="20"/>
          <w:szCs w:val="20"/>
        </w:rPr>
        <w:t xml:space="preserve">. Tenaga kerja yang berasal dari keluarga merupakan satu pilihan yang dilakukan oleh petani minyak kayu putih untuk mendorong kecepatan produksi sehari-hari. Pelibatan anggota keluarga mencapai titik maksimum dengan keikutsertaan keseluruhan keluarga inti sebagai pengurut daun. Robert K. Merton dalam kajian pola adaptasi mengungkapkan bahwa konformitas merupakan cara adaptasi seseorang mengikuti cara dan tujuan yang telah ditetapkan oleh masyarakat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{"citationItems":[{"id":"ITEM-1","itemData":{"DOI":"10.2307/587363","ISSN":"00071315","abstract":"Merton, Robert K. (1957). THE ROLE-SET: PROBLEMS IN SOCIOLOGICAL THEORY, British Journal of Sociology, Jun1957, Vol. 8 Issue 2, p106-120, 15p","author":[{"dropping-particle":"","family":"Merton","given":"Robert K.","non-dropping-particle":"","parse-names":false,"suffix":""}],"container-title":"The British Journal of Sociology","id":"ITEM-1","issue":"2","issued":{"date-parts":[["1957"]]},"page":"106","title":"The Role-Set: Problems in Sociological Theory","type":"article-journal","volume":"8"},"uris":["http://www.mendeley.com/documents/?uuid=38f239f0-c1f9-4b34-89c3-83800b4aaddb"]}],"mendeley":{"formattedCitation":"(Merton, 1957)","plainTextFormattedCitation":"(Merton, 1957)","previouslyFormattedCitation":"(Merton, 1957)"},"properties":{"noteIndex":0},"schema":"https://github.com/citation-style-language/schema/raw/master/csl-citation.json"}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(Merton, 1957)</w:t>
      </w:r>
      <w:r w:rsidRPr="00F60E13">
        <w:rPr>
          <w:rFonts w:asciiTheme="majorHAnsi" w:hAnsiTheme="majorHAnsi"/>
          <w:sz w:val="20"/>
          <w:szCs w:val="20"/>
        </w:rPr>
        <w:fldChar w:fldCharType="end"/>
      </w:r>
      <w:r w:rsidRPr="00F60E13">
        <w:rPr>
          <w:rFonts w:asciiTheme="majorHAnsi" w:hAnsiTheme="majorHAnsi"/>
          <w:sz w:val="20"/>
          <w:szCs w:val="20"/>
        </w:rPr>
        <w:t xml:space="preserve">, konformitas yang dimaksud Merton berhubungan langsung dengan fenomena </w:t>
      </w:r>
      <w:r w:rsidRPr="00F60E13">
        <w:rPr>
          <w:rFonts w:asciiTheme="majorHAnsi" w:hAnsiTheme="majorHAnsi"/>
          <w:sz w:val="20"/>
          <w:szCs w:val="20"/>
        </w:rPr>
        <w:lastRenderedPageBreak/>
        <w:t>peningkatan produksi minyak kayu putih yang meningkat disaat pandemi covid-19.</w:t>
      </w:r>
    </w:p>
    <w:p w:rsidR="00BF57A5" w:rsidRDefault="00F60E13" w:rsidP="00BF57A5">
      <w:pPr>
        <w:spacing w:after="0" w:line="240" w:lineRule="auto"/>
        <w:ind w:firstLine="360"/>
        <w:jc w:val="both"/>
        <w:rPr>
          <w:rFonts w:asciiTheme="majorHAnsi" w:hAnsiTheme="majorHAnsi"/>
          <w:b/>
          <w:bCs/>
          <w:sz w:val="20"/>
          <w:szCs w:val="20"/>
        </w:rPr>
      </w:pPr>
      <w:r w:rsidRPr="00F60E13">
        <w:rPr>
          <w:rFonts w:asciiTheme="majorHAnsi" w:hAnsiTheme="majorHAnsi"/>
          <w:sz w:val="20"/>
          <w:szCs w:val="20"/>
        </w:rPr>
        <w:t>Penggunaan tenaga kerja dalam proses produksi minyak kayu putih dapat dikaji menggunakan pendekatan tenaga kerja (</w:t>
      </w:r>
      <w:r w:rsidRPr="00F60E13">
        <w:rPr>
          <w:rFonts w:asciiTheme="majorHAnsi" w:hAnsiTheme="majorHAnsi"/>
          <w:i/>
          <w:iCs/>
          <w:sz w:val="20"/>
          <w:szCs w:val="20"/>
        </w:rPr>
        <w:t>labor utilization approach</w:t>
      </w:r>
      <w:r w:rsidRPr="00F60E13">
        <w:rPr>
          <w:rFonts w:asciiTheme="majorHAnsi" w:hAnsiTheme="majorHAnsi"/>
          <w:sz w:val="20"/>
          <w:szCs w:val="20"/>
        </w:rPr>
        <w:t xml:space="preserve">)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{"citationItems":[{"id":"ITEM-1","itemData":{"DOI":"10.1111/jar.12915","ISSN":"14683148","abstract":"Background: Research suggests that providing staff with input in relation to Positive Behavioural Support (PBS) can have beneficial outcomes. Much of this research, however, fails to take account of systemic issues and does not include a control group. Method: We used a non-randomised, controlled group design to evaluate accredited PBS programmes, delivered as part of a systemic, regional and workforce development approach. We compared outcomes of those attending the programmes (n = 240) with a control group (n = 54), pre- and post-intervention and at 3-months follow-up. Results: The programme and its wider impact were rated positively. Significant intervention effects were found for staff practice and retention, but not for staff knowledge and attributions, or behaviours that challenge and quality of life of those being supported. Conclusions: The results are discussed in the context of the study limitations and restrictions resulting from the Covid-19 pandemic.","author":[{"dropping-particle":"","family":"McKenzie","given":"Karen","non-dropping-particle":"","parse-names":false,"suffix":""},{"dropping-particle":"","family":"Murray","given":"George","non-dropping-particle":"","parse-names":false,"suffix":""},{"dropping-particle":"","family":"Martin","given":"Rachel","non-dropping-particle":"","parse-names":false,"suffix":""},{"dropping-particle":"","family":"Murray","given":"Aja","non-dropping-particle":"","parse-names":false,"suffix":""},{"dropping-particle":"","family":"Metcalfe","given":"Dale","non-dropping-particle":"","parse-names":false,"suffix":""}],"container-title":"Journal of Applied Research in Intellectual Disabilities","id":"ITEM-1","issue":"6","issued":{"date-parts":[["2021"]]},"title":"A quantitative evaluation of a regional Positive Behavioural Support workforce development approach","type":"article-journal","volume":"34"},"uris":["http://www.mendeley.com/documents/?uuid=0c4359bc-fe2a-3300-9194-c0a8fc2d7c78"]}],"mendeley":{"formattedCitation":"(McKenzie et al., 2021)","plainTextFormattedCitation":"(McKenzie et al., 2021)","previouslyFormattedCitation":"(McKenzie et al., 2021)"},"properties":{"noteIndex":0},"schema":"https://github.com/citation-style-language/schema/raw/master/csl-citation.json"}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(McKenzie et al., 2021)</w:t>
      </w:r>
      <w:r w:rsidRPr="00F60E13">
        <w:rPr>
          <w:rFonts w:asciiTheme="majorHAnsi" w:hAnsiTheme="majorHAnsi"/>
          <w:sz w:val="20"/>
          <w:szCs w:val="20"/>
        </w:rPr>
        <w:fldChar w:fldCharType="end"/>
      </w:r>
      <w:r w:rsidRPr="00F60E13">
        <w:rPr>
          <w:rFonts w:asciiTheme="majorHAnsi" w:hAnsiTheme="majorHAnsi"/>
          <w:sz w:val="20"/>
          <w:szCs w:val="20"/>
        </w:rPr>
        <w:t>, angkatan kerja dibedakan dalam tiga golongan, yaitu (a) Menganggur, orang yang sama sekali tidak bekerja (</w:t>
      </w:r>
      <w:r w:rsidRPr="00F60E13">
        <w:rPr>
          <w:rFonts w:asciiTheme="majorHAnsi" w:hAnsiTheme="majorHAnsi"/>
          <w:i/>
          <w:iCs/>
          <w:sz w:val="20"/>
          <w:szCs w:val="20"/>
        </w:rPr>
        <w:t>open unemployed</w:t>
      </w:r>
      <w:r w:rsidRPr="00F60E13">
        <w:rPr>
          <w:rFonts w:asciiTheme="majorHAnsi" w:hAnsiTheme="majorHAnsi"/>
          <w:sz w:val="20"/>
          <w:szCs w:val="20"/>
        </w:rPr>
        <w:t xml:space="preserve">) dan sedang berusaha mencari kerja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{"citationItems":[{"id":"ITEM-1","itemData":{"DOI":"10.1186/s12913-019-4424-3","ISSN":"14726963","abstract":"Background: An adequate and qualified health workforce is critical for achieving Universal Health Coverage (UHC) and responding to the Sustainable Development Goals (SDGs). Frontline health workers who are mainly women, play important roles in responses to crisis. Despite women making up the vast majority of the health workforce, men occupy the majority of leadership positions. This study aims to understand the career progression of female health workers by exploring how gender norms influence women's upward career trajectories. Methods: A qualitative methodology deployed a life history approach was used to explore the perspectives and experiences of health workers in Battambang province, Cambodia. Twenty male and female health managers were purposively selected based five criteria: age 40 and above, starting their career during 1980s or 1990s, clinical skills, management roles and evidence of career progression. Themes and sub-themes were developed based on available data and informed by Tlaiss's (2013) social theory framework in order to understand how gender norms, roles and relations shape the career of women in the health industry. Results: The findings from life histories show that gender norms shape men's and women's career progression at different levels of society. At the macro level, social, cultural, political, and gender norms are favorably changing by allowing more women to enter medical education; however, leadership is bias towards men. At the meso organziational level, empowerment of women in the health sector has increased with the support of gender working groups and women's associations. At the micro individual level, female facility managers identified capacity and qualifications as important factors in helping women to obtain leadership positions. Conclusion: While Cambodia has made progress, it still has far to go to achieve equality in leadership. Promoting gender equity in leadership within the health workforce requires a long vision and commitment along with collaboration among different stakeholders and across social structures. If more women are not able to obtain leadership roles, the goals of having an equitable health system, promoting UHC, and responding to the SDGs milestones by leaving no one behind will remain unattainable objectives.","author":[{"dropping-particle":"","family":"Vong","given":"Sreytouch","non-dropping-particle":"","parse-names":false,"suffix":""},{"dropping-particle":"","family":"Ros","given":"Bandeth","non-dropping-particle":"","parse-names":false,"suffix":""},{"dropping-particle":"","family":"Morgan","given":"Rosemary","non-dropping-particle":"","parse-names":false,"suffix":""},{"dropping-particle":"","family":"Theobald","given":"Sally","non-dropping-particle":"","parse-names":false,"suffix":""}],"container-title":"BMC Health Services Research","id":"ITEM-1","issue":"1","issued":{"date-parts":[["2019"]]},"title":"Why are fewer women rising to the top? A life history gender analysis of Cambodia's health workforce","type":"article-journal","volume":"19"},"uris":["http://www.mendeley.com/documents/?uuid=891a0525-2570-3acf-bf7d-89007be51f5b"]}],"mendeley":{"formattedCitation":"(Vong et al., 2019)","plainTextFormattedCitation":"(Vong et al., 2019)","previouslyFormattedCitation":"(Vong et al., 2019)"},"properties":{"noteIndex":0},"schema":"https://github.com/citation-style-language/schema/raw/master/csl-citation.json"}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(Vong et al., 2019)</w:t>
      </w:r>
      <w:r w:rsidRPr="00F60E13">
        <w:rPr>
          <w:rFonts w:asciiTheme="majorHAnsi" w:hAnsiTheme="majorHAnsi"/>
          <w:sz w:val="20"/>
          <w:szCs w:val="20"/>
        </w:rPr>
        <w:fldChar w:fldCharType="end"/>
      </w:r>
      <w:r w:rsidRPr="00F60E13">
        <w:rPr>
          <w:rFonts w:asciiTheme="majorHAnsi" w:hAnsiTheme="majorHAnsi"/>
          <w:sz w:val="20"/>
          <w:szCs w:val="20"/>
        </w:rPr>
        <w:t>; (b) Setengah menganggur (</w:t>
      </w:r>
      <w:r w:rsidRPr="00F60E13">
        <w:rPr>
          <w:rFonts w:asciiTheme="majorHAnsi" w:hAnsiTheme="majorHAnsi"/>
          <w:i/>
          <w:iCs/>
          <w:sz w:val="20"/>
          <w:szCs w:val="20"/>
        </w:rPr>
        <w:t>under employed</w:t>
      </w:r>
      <w:r w:rsidRPr="00F60E13">
        <w:rPr>
          <w:rFonts w:asciiTheme="majorHAnsi" w:hAnsiTheme="majorHAnsi"/>
          <w:sz w:val="20"/>
          <w:szCs w:val="20"/>
        </w:rPr>
        <w:t>), mereka yang kurang dimanfaatkan dalam bekerja (</w:t>
      </w:r>
      <w:r w:rsidRPr="00F60E13">
        <w:rPr>
          <w:rFonts w:asciiTheme="majorHAnsi" w:hAnsiTheme="majorHAnsi"/>
          <w:i/>
          <w:iCs/>
          <w:sz w:val="20"/>
          <w:szCs w:val="20"/>
        </w:rPr>
        <w:t>underutilized</w:t>
      </w:r>
      <w:r w:rsidRPr="00F60E13">
        <w:rPr>
          <w:rFonts w:asciiTheme="majorHAnsi" w:hAnsiTheme="majorHAnsi"/>
          <w:sz w:val="20"/>
          <w:szCs w:val="20"/>
        </w:rPr>
        <w:t xml:space="preserve">) dilihat dari segi jam kerja, produktivitas kerja dan pendapatan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{"citationItems":[{"id":"ITEM-1","itemData":{"DOI":"10.1108/shr-08-2021-0035","ISSN":"1475-4398","abstract":"Purpose This paper aims to illustrate a simple, holistic overview of contingent workforce management. Design/methodology/approach This paper’s viewpoint outlines benefits and challenges that employers and employees encounter with contingent work arrangements and highlights relevant human resource (HR) practices to effectively manage contingent workforce. Findings Benefits to employers are cost-effective hiring solutions, filling-up skill requirements, increasing numerical flexibility and diversity and broadened talent pool. Challenges include legal ramifications, hidden costs, confidentiality and security issues, low organisational commitment and productivity. For employees, benefits are working flexibility and financial gain and gaining work experience. Challenges include dependence on economy, irregular work hours, health risks and exploitation and differential treatment by employers. “Value-adding” practices of holistic hiring, onboarding, performance management, workplace training and developing resilient organisational culture can effectively manage contingent workforce. Research limitations/implications This paper provides a broader outline of benefits and challenges, both from employers’ and employees’ perspectives, linked with precarious employment. Further investigations on employers’ and employee’s perspectives based on specific types of contingent work arrangements (e.g. temporary agency workers and gig workers) can give in-depth insights. Originality/value This paper provides a simplified framework of pros and cons of contingent employment, along with practical HR remedies to manage contingent workforce.","author":[{"dropping-particle":"","family":"Santra","given":"Sayoni","non-dropping-particle":"","parse-names":false,"suffix":""}],"container-title":"Strategic HR Review","id":"ITEM-1","issue":"6","issued":{"date-parts":[["2021"]]},"title":"Contingent workforce management: a holistic overview","type":"article-journal","volume":"20"},"uris":["http://www.mendeley.com/documents/?uuid=60973046-cde6-3d37-8783-c47051466a20"]}],"mendeley":{"formattedCitation":"(Santra, 2021)","plainTextFormattedCitation":"(Santra, 2021)","previouslyFormattedCitation":"(Santra, 2021)"},"properties":{"noteIndex":0},"schema":"https://github.com/citation-style-language/schema/raw/master/csl-citation.json"}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(Santra, 2021)</w:t>
      </w:r>
      <w:r w:rsidRPr="00F60E13">
        <w:rPr>
          <w:rFonts w:asciiTheme="majorHAnsi" w:hAnsiTheme="majorHAnsi"/>
          <w:sz w:val="20"/>
          <w:szCs w:val="20"/>
        </w:rPr>
        <w:fldChar w:fldCharType="end"/>
      </w:r>
      <w:r w:rsidRPr="00F60E13">
        <w:rPr>
          <w:rFonts w:asciiTheme="majorHAnsi" w:hAnsiTheme="majorHAnsi"/>
          <w:sz w:val="20"/>
          <w:szCs w:val="20"/>
        </w:rPr>
        <w:t xml:space="preserve">; dan (c) Bekerja penuh atau dimanfaatkan secara optimal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{"citationItems":[{"id":"ITEM-1","itemData":{"DOI":"10.21082/akp.v8n1.2010.49-65","ISSN":"1693-2021","abstract":"&lt;p&gt;Para pemikir ekonomi pembangunan telah lama menyadari peranan sektor pertanian dalam pembangunan perekonomian. Tulisan ini mengulas permasalahan dan strategi pengembangan ekonomi ketenagakerjaan pertanian, khususnya dalam aspek (1) Sektor pertanian menjadi tumpuan penyerapan tenaga kerja di perdesaan; (2) Penganggguran tidak kentara di sektor pertanian yang relatif tinggi; (3) Pendidikan tenaga kerja sektor pertanian masih rendah; dan (4) Meningkatnya tenaga kerja berusia lanjut dan kurang minatnya generasi muda bekerja di sektor pertanian. Hasil kajian menunjukkan terjadinya penurunan rasio alokasi pengeluaran pemerintah untuk sektor pertanian terhadap Produk Domestik Bruto (PDB) yaitu 8,7 persen pada PELITA IV menjadi 3,6 persen pada PELITA VI. Sektor pertanian harus menanggung beban yang berat dengan PDB sebesar 13,0-14,4 persen (2005-2009), tetapi masih harus menyerap tenaga kerja 42-43 juta tenaga kerja. Rata-rata tingkat pendidikan masih tergolong rendah sehingga mempengaruhi indek pembangunan manusia (&lt;em&gt;Human Development Index&lt;/em&gt;/HDI) Indonesia. Pergeseran komposisi pekerja sektor pertanian yaitu peningkatan pekerja pertanian yang berusia lanjut dan terdapat indikasi kurang tertariknya generasi muda memasuki dunia pertanian. Beberapa strategi kebijakan yang relevan adalah : (1) memperkuat politik pertanian; (2) mempercepat proses transformasi melalui transisi pengembangan agroindustri; (3) meningkatkan pendidikan baik formal, nonformal, maupun informal; dan (4) merubah pandangan generasi muda tentang stigma pertanian terbelakang melalui pembentukan karakter pemuda serta kebijakan insentif dan fasilitatif pengembangan agribisnis dan agroindustri berbasis komoditas unggulan.&lt;strong&gt;&lt;/strong&gt;&lt;/p&gt;","author":[{"dropping-particle":"","family":"Supriyati","given":"Supriyati","non-dropping-particle":"","parse-names":false,"suffix":""}],"container-title":"Analisis Kebijakan Pertanian","id":"ITEM-1","issue":"1","issued":{"date-parts":[["2016"]]},"page":"49","title":"Dinamika Ekonomi Ketenagakerjaan Pertanian: Permasalahan Dan Kebijakan Strategis Pengembangan","type":"article-journal","volume":"8"},"uris":["http://www.mendeley.com/documents/?uuid=529087aa-6c9b-4397-bd57-97b9a4239304"]},{"id":"ITEM-2","itemData":{"DOI":"10.24246/agric.2021.v33.i1.p29-42","ISSN":"0854-9028","abstract":"This research was conducted to: 1) analyze the contribution of female worker income to household income, and 2) analyze the factors that influence the female worker income of plantation female workers at P.T. Agro Muko (Mukomuko Estate). The number of female workers at P.T. Agro Muko (Mukomuko Estate) was 297. Therefore, by using the Slovin formula, the counted number respondents was 75. The contribution of female worker’s income to household income was counted with the percentage of female worker’s income contribution to the total of household income. Meanwhile, the factors that influenced to the income of female worker was analyzed using multiple linear regression model. The results indicate that the average income of female worker is Rp 1,481,680/month with an average contribution of 55.17% to household income. Female worker ages and husband’s income had negative effect on the female worker income, while formal education, number of family dependents, and working experience had positive effect. Other family member’s income had no effect.","author":[{"dropping-particle":"","family":"Sari","given":"Devi Retno","non-dropping-particle":"","parse-names":false,"suffix":""},{"dropping-particle":"","family":"Arianti","given":"Nyayu Neti","non-dropping-particle":"","parse-names":false,"suffix":""},{"dropping-particle":"","family":"Priyono","given":"Basuki Sigit","non-dropping-particle":"","parse-names":false,"suffix":""}],"container-title":"Agric","id":"ITEM-2","issue":"1","issued":{"date-parts":[["2021"]]},"title":"THE ANALYSIS OF PLANTATION FEMALE WORKER INCOME DETERMINANT","type":"article-journal","volume":"33"},"uris":["http://www.mendeley.com/documents/?uuid=491ae687-353e-309d-9d41-161327af691b"]}],"mendeley":{"formattedCitation":"(Sari et al., 2021; Supriyati, 2016)","plainTextFormattedCitation":"(Sari et al., 2021; Supriyati, 2016)","previouslyFormattedCitation":"(Sari et al., 2021; Supriyati, 2016)"},"properties":{"noteIndex":0},"schema":"https://github.com/citation-style-language/schema/raw/master/csl-citation.json"}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(Sari et al., 2021; Supriyati, 2016)</w:t>
      </w:r>
      <w:r w:rsidRPr="00F60E13">
        <w:rPr>
          <w:rFonts w:asciiTheme="majorHAnsi" w:hAnsiTheme="majorHAnsi"/>
          <w:sz w:val="20"/>
          <w:szCs w:val="20"/>
        </w:rPr>
        <w:fldChar w:fldCharType="end"/>
      </w:r>
      <w:r w:rsidRPr="00F60E13">
        <w:rPr>
          <w:rFonts w:asciiTheme="majorHAnsi" w:hAnsiTheme="majorHAnsi"/>
          <w:sz w:val="20"/>
          <w:szCs w:val="20"/>
        </w:rPr>
        <w:t>. Posisi tenaga kerja yang dimanfaatkan oleh petani minyak kayu putih adalah mereka yang masih bersekolah dan ada pula yang bekerja (sektor non pertanian) yang kemudian diikutkan sebagai tenaga kerja yang bekerja penuh dan dimanfaatkan secara optimal. Tindakan yang dilakukan semata-mata untuk pemenuhan produksi yang semakin meningkat.</w:t>
      </w:r>
    </w:p>
    <w:p w:rsidR="00BF57A5" w:rsidRDefault="00F60E13" w:rsidP="00BF57A5">
      <w:pPr>
        <w:spacing w:after="0" w:line="240" w:lineRule="auto"/>
        <w:ind w:firstLine="360"/>
        <w:jc w:val="both"/>
        <w:rPr>
          <w:rFonts w:asciiTheme="majorHAnsi" w:hAnsiTheme="majorHAnsi"/>
          <w:b/>
          <w:bCs/>
          <w:sz w:val="20"/>
          <w:szCs w:val="20"/>
        </w:rPr>
      </w:pPr>
      <w:r w:rsidRPr="00F60E13">
        <w:rPr>
          <w:rFonts w:asciiTheme="majorHAnsi" w:hAnsiTheme="majorHAnsi"/>
          <w:sz w:val="20"/>
          <w:szCs w:val="20"/>
        </w:rPr>
        <w:t xml:space="preserve">Adaptasi fisik menjadi modus terjadinya eksplorasi tenaga kerja manusia yang berlebihan dan dapat menimbulkan adaptasi pemberontakan seperti yang dikemukakan oleh Robert K. Merton; Orang mencapai suatu titik di mana mereka tidak dapat lagi mengenali struktur sosial yang sudah ada, dan akibatnya, mereka berusaha untuk menciptakan struktur sosial yang baru. Tujuan budaya yang sudah mapan dipandang sebagai hambatan terhadap tujuan yang diinginkan. Dalam nada yang sama, cara yang sudah ada sebelumnya untuk mencapai tujuan ini tidak diakui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{"citationItems":[{"id":"ITEM-1","itemData":{"DOI":"10.1177/1468795X07078032","ISSN":"1468795X","author":[{"dropping-particle":"","family":"Kalleberg","given":"Ragnvald","non-dropping-particle":"","parse-names":false,"suffix":""}],"container-title":"Journal of Classical Sociology","id":"ITEM-1","issue":"2","issued":{"date-parts":[["2007"]]},"page":"131-136","title":"Robert K. Merton: A Modern Sociological Classic","type":"article-journal","volume":"7"},"uris":["http://www.mendeley.com/documents/?uuid=1df56f54-08ca-479f-b40e-a9a8ac542406"]}],"mendeley":{"formattedCitation":"(Kalleberg, 2007)","plainTextFormattedCitation":"(Kalleberg, 2007)","previouslyFormattedCitation":"(Kalleberg, 2007)"},"properties":{"noteIndex":0},"schema":"https://github.com/citation-style-language/schema/raw/master/csl-citation.json"}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(Kalleberg, 2007)</w:t>
      </w:r>
      <w:r w:rsidRPr="00F60E13">
        <w:rPr>
          <w:rFonts w:asciiTheme="majorHAnsi" w:hAnsiTheme="majorHAnsi"/>
          <w:sz w:val="20"/>
          <w:szCs w:val="20"/>
        </w:rPr>
        <w:fldChar w:fldCharType="end"/>
      </w:r>
      <w:r w:rsidRPr="00F60E13">
        <w:rPr>
          <w:rFonts w:asciiTheme="majorHAnsi" w:hAnsiTheme="majorHAnsi"/>
          <w:sz w:val="20"/>
          <w:szCs w:val="20"/>
        </w:rPr>
        <w:t>. Tatanan yang rusak akan memiliki dampak buruk terhadap keberlanjutan eksistensi petani dalam memproduksi minyak kayu putih.</w:t>
      </w:r>
    </w:p>
    <w:p w:rsidR="00F60E13" w:rsidRDefault="00F60E13" w:rsidP="00BF57A5">
      <w:pPr>
        <w:spacing w:after="0" w:line="240" w:lineRule="auto"/>
        <w:ind w:firstLine="360"/>
        <w:jc w:val="both"/>
        <w:rPr>
          <w:rFonts w:asciiTheme="majorHAnsi" w:hAnsiTheme="majorHAnsi"/>
          <w:b/>
          <w:bCs/>
          <w:sz w:val="20"/>
          <w:szCs w:val="20"/>
        </w:rPr>
      </w:pPr>
      <w:r w:rsidRPr="00F60E13">
        <w:rPr>
          <w:rFonts w:asciiTheme="majorHAnsi" w:hAnsiTheme="majorHAnsi"/>
          <w:sz w:val="20"/>
          <w:szCs w:val="20"/>
        </w:rPr>
        <w:t>Selain tenaga kerja, penyesuaian pengelolaan pola dan waktu panen masuk dalam strategi fisik yang dilakukan oleh petani, pengambilan daun yang belum berkategori layak untuk dipanen menjadi target untuk sekedar memenuhi jumlah produksi sementara untuk waktu kerja diperpanjang hingga mencapai jumlah yang ditargetkan. Pola dan waktu panen memasuki tahapan yang cukup memprihatinkan tanpa melihat faktor keberlanjutan serta kualitas minyak yang dihasilkan. Kondisi pekerja dengan pola makan dan tidur yang tidak optimal sangat dimungkinkan terjadi kecelakaan disaat mereka bekerja, kondisi seperti ini dapat mengakibatkan kerusakan fisik pekerja tanpa adanya jaminan kesehatan dari pemilik lahan.</w:t>
      </w:r>
    </w:p>
    <w:p w:rsidR="00BF57A5" w:rsidRPr="00BF57A5" w:rsidRDefault="00BF57A5" w:rsidP="00BF57A5">
      <w:pPr>
        <w:spacing w:after="0" w:line="240" w:lineRule="auto"/>
        <w:ind w:firstLine="360"/>
        <w:jc w:val="both"/>
        <w:rPr>
          <w:rFonts w:asciiTheme="majorHAnsi" w:hAnsiTheme="majorHAnsi"/>
          <w:b/>
          <w:bCs/>
          <w:sz w:val="20"/>
          <w:szCs w:val="20"/>
        </w:rPr>
      </w:pPr>
    </w:p>
    <w:p w:rsidR="00F60E13" w:rsidRPr="00F60E13" w:rsidRDefault="00F60E13" w:rsidP="00BF57A5">
      <w:pPr>
        <w:spacing w:after="0" w:line="240" w:lineRule="auto"/>
        <w:jc w:val="both"/>
        <w:rPr>
          <w:rFonts w:asciiTheme="majorHAnsi" w:hAnsiTheme="majorHAnsi"/>
          <w:b/>
          <w:bCs/>
          <w:sz w:val="20"/>
          <w:szCs w:val="20"/>
        </w:rPr>
      </w:pPr>
      <w:r w:rsidRPr="00F60E13">
        <w:rPr>
          <w:rFonts w:asciiTheme="majorHAnsi" w:hAnsiTheme="majorHAnsi"/>
          <w:b/>
          <w:bCs/>
          <w:sz w:val="20"/>
          <w:szCs w:val="20"/>
        </w:rPr>
        <w:t>Dampak Pola Adaptasi Terhadap Keberlanjutan Lahan dan Petani Minyak Kayu Putih</w:t>
      </w:r>
    </w:p>
    <w:p w:rsidR="00BF57A5" w:rsidRDefault="00F60E13" w:rsidP="00BF57A5">
      <w:pPr>
        <w:spacing w:after="0" w:line="240" w:lineRule="auto"/>
        <w:ind w:firstLine="360"/>
        <w:jc w:val="both"/>
        <w:rPr>
          <w:rFonts w:asciiTheme="majorHAnsi" w:hAnsiTheme="majorHAnsi"/>
          <w:sz w:val="20"/>
          <w:szCs w:val="20"/>
        </w:rPr>
      </w:pPr>
      <w:r w:rsidRPr="00F60E13">
        <w:rPr>
          <w:rFonts w:asciiTheme="majorHAnsi" w:hAnsiTheme="majorHAnsi"/>
          <w:sz w:val="20"/>
          <w:szCs w:val="20"/>
        </w:rPr>
        <w:t xml:space="preserve">Secara umum, pola adaptasi yang mengandalkan fisik sebagai instrument penyesuaian terhadap perubahan situasi memiliki dampak dan resiko yang buruk terhadap petani maupun keberlanjutan lahan pohon kayu putih. Fenomena strategi adaptasi yang dilakukan oleh petani minyak kayu putih di Kabupaten Buru mengindikasikan bahwa ada </w:t>
      </w:r>
      <w:r w:rsidRPr="00F60E13">
        <w:rPr>
          <w:rFonts w:asciiTheme="majorHAnsi" w:hAnsiTheme="majorHAnsi"/>
          <w:sz w:val="20"/>
          <w:szCs w:val="20"/>
        </w:rPr>
        <w:t>kerentanan terhadap fisik yang berimplikasi pada regenerasi pekerja dan kualitas produksi. Pada bagian lain, keberlanjutan lahan memiliki dampak yang buruk dimana akan terjadi kerusakan dan menimbulkan disfungsi lahan serta mengancam ketersediaan bahan baku (daun kayu putih) untuk jangka waktu yang panjang.</w:t>
      </w:r>
    </w:p>
    <w:p w:rsidR="00BF57A5" w:rsidRDefault="00F60E13" w:rsidP="00BF57A5">
      <w:pPr>
        <w:spacing w:after="0" w:line="240" w:lineRule="auto"/>
        <w:ind w:firstLine="360"/>
        <w:jc w:val="both"/>
        <w:rPr>
          <w:rFonts w:asciiTheme="majorHAnsi" w:hAnsiTheme="majorHAnsi"/>
          <w:sz w:val="20"/>
          <w:szCs w:val="20"/>
        </w:rPr>
      </w:pPr>
      <w:r w:rsidRPr="00F60E13">
        <w:rPr>
          <w:rFonts w:asciiTheme="majorHAnsi" w:hAnsiTheme="majorHAnsi"/>
          <w:sz w:val="20"/>
          <w:szCs w:val="20"/>
        </w:rPr>
        <w:t xml:space="preserve">Eksploitasi terhadap tenaga kerja (petani) mengakibatkan penurunan daya tahan tubuh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{"citationItems":[{"id":"ITEM-1","itemData":{"DOI":"10.1441/100860","ISSN":"26122162","abstract":"The essay addresses the theoretical issue of labour exploitation in labour law starting from the pyramid drawn up by the European Union Agency for Fundamental Rights (FRA) to graphically represent the phenomenon of labour exploitation. At the bottom of the pyramid are represented the least severe forms of exploitation, while the top of the pyramid represents the slavery. After recalling the facts that have most recently showed the issue of labour law exploitation in Italy (the attacks on migrant workers in agriculture in the Plain of Gioia Tauro, in Rosarno), the essay focuses on its multiple regulatory dimensions (International law, EU law and domestic law, with particular regard to Criminal law). The issue of labour law exploitation not only has multiple regulatory dimensions, but also theoretical ones. The economic exploitation of labour is a large part of the theory of surplus value, while considerations related to materialist feminism underline how empowerment is a central topic. The theoretical approach to fundamental human rights, moreover, leads to a limiting response to the private powers of employers in dialectical relation with the Marxist theory of exploitation. The labour exploitation in its multiple dimensions can be expressed with the term intersectional exploitation. The conclusions link exploitation to the different perspectives of labour flexibility of migrants and EU citizens by answering one of Luigi Mariucci’s questions to which the essay is dedicated: after flexibility, what?","author":[{"dropping-particle":"","family":"Calafà","given":"Laura","non-dropping-particle":"","parse-names":false,"suffix":""}],"container-title":"Lavoro e Diritto","id":"ITEM-1","issue":"2","issued":{"date-parts":[["2021"]]},"title":"For a multidimensional approach to labour exploitation","type":"article","volume":"35"},"uris":["http://www.mendeley.com/documents/?uuid=c28c2eef-9728-38d3-bed4-69a1e5ffce29"]}],"mendeley":{"formattedCitation":"(Calafà, 2021)","plainTextFormattedCitation":"(Calafà, 2021)","previouslyFormattedCitation":"(Calafà, 2021)"},"properties":{"noteIndex":0},"schema":"https://github.com/citation-style-language/schema/raw/master/csl-citation.json"}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(Calafà, 2021)</w:t>
      </w:r>
      <w:r w:rsidRPr="00F60E13">
        <w:rPr>
          <w:rFonts w:asciiTheme="majorHAnsi" w:hAnsiTheme="majorHAnsi"/>
          <w:sz w:val="20"/>
          <w:szCs w:val="20"/>
        </w:rPr>
        <w:fldChar w:fldCharType="end"/>
      </w:r>
      <w:r w:rsidRPr="00F60E13">
        <w:rPr>
          <w:rFonts w:asciiTheme="majorHAnsi" w:hAnsiTheme="majorHAnsi"/>
          <w:sz w:val="20"/>
          <w:szCs w:val="20"/>
        </w:rPr>
        <w:t xml:space="preserve"> Sangat mungkin bagi seorang petani untuk menderita penyakit autoimun yang dapat menyerang hampir semua bagian tubuh, termasuk otak, saraf, otot, kulit, persendian, mata, jantung, paru-paru, ginjal, saluran pencernaan, kelenjar, dan darah. pembuluh. Kemungkinan seorang petani terkena penyakit autoimun meningkat seiring dengan lamanya mereka bekerja sebagai petani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{"citationItems":[{"id":"ITEM-1","itemData":{"DOI":"10.1016/j.jmb.2020.11.003","ISSN":"0022-2836","author":[{"dropping-particle":"","family":"Rose","given":"Yana","non-dropping-particle":"","parse-names":false,"suffix":""},{"dropping-particle":"","family":"Duarte","given":"Jose M","non-dropping-particle":"","parse-names":false,"suffix":""},{"dropping-particle":"","family":"Lowe","given":"Robert","non-dropping-particle":"","parse-names":false,"suffix":""},{"dropping-particle":"","family":"Segura","given":"Joan","non-dropping-particle":"","parse-names":false,"suffix":""},{"dropping-particle":"","family":"Bi","given":"Chunxiao","non-dropping-particle":"","parse-names":false,"suffix":""},{"dropping-particle":"","family":"Bhikadiya","given":"Charmi","non-dropping-particle":"","parse-names":false,"suffix":""},{"dropping-particle":"","family":"Chen","given":"Li","non-dropping-particle":"","parse-names":false,"suffix":""},{"dropping-particle":"","family":"Rose","given":"Alexander S","non-dropping-particle":"","parse-names":false,"suffix":""},{"dropping-particle":"","family":"Bittrich","given":"Sebastian","non-dropping-particle":"","parse-names":false,"suffix":""},{"dropping-particle":"","family":"Burley","given":"Stephen K","non-dropping-particle":"","parse-names":false,"suffix":""},{"dropping-particle":"","family":"Westbrook","given":"John D","non-dropping-particle":"","parse-names":false,"suffix":""}],"container-title":"Journal of Molecular Biology","id":"ITEM-1","issue":"11","issued":{"date-parts":[["2021"]]},"page":"166704","publisher":"The Authors","title":"RCSB Protein Data Bank : Architectural Advances Towards Integrated Searching and Efficient Access to Macromolecular Structure Data from the PDB Archive","type":"article-journal","volume":"433"},"uris":["http://www.mendeley.com/documents/?uuid=e1784952-19d6-4ef2-b130-a9bf4fbea729"]}],"mendeley":{"formattedCitation":"(Rose et al., 2021)","plainTextFormattedCitation":"(Rose et al., 2021)","previouslyFormattedCitation":"(Rose et al., 2021)"},"properties":{"noteIndex":0},"schema":"https://github.com/citation-style-language/schema/raw/master/csl-citation.json"}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(Rose et al., 2021)</w:t>
      </w:r>
      <w:r w:rsidRPr="00F60E13">
        <w:rPr>
          <w:rFonts w:asciiTheme="majorHAnsi" w:hAnsiTheme="majorHAnsi"/>
          <w:sz w:val="20"/>
          <w:szCs w:val="20"/>
        </w:rPr>
        <w:fldChar w:fldCharType="end"/>
      </w:r>
      <w:r w:rsidRPr="00F60E13">
        <w:rPr>
          <w:rFonts w:asciiTheme="majorHAnsi" w:hAnsiTheme="majorHAnsi"/>
          <w:sz w:val="20"/>
          <w:szCs w:val="20"/>
        </w:rPr>
        <w:t>. Konsekuensi logis yang harus diterima berupa biaya pengobatan yang mahal dan terputusnya mereka dari pekerjaan atau sumber ekonomi keluarga. Sementara itu, bagi pekerja yang masih berusia muda (12-17 tahun) akan mengalami fisiologis yan</w:t>
      </w:r>
      <w:r w:rsidR="00BF57A5">
        <w:rPr>
          <w:rFonts w:asciiTheme="majorHAnsi" w:hAnsiTheme="majorHAnsi"/>
          <w:sz w:val="20"/>
          <w:szCs w:val="20"/>
        </w:rPr>
        <w:t xml:space="preserve">g berkelanjutan hingga mencapai </w:t>
      </w:r>
      <w:r w:rsidRPr="00F60E13">
        <w:rPr>
          <w:rFonts w:asciiTheme="majorHAnsi" w:hAnsiTheme="majorHAnsi"/>
          <w:sz w:val="20"/>
          <w:szCs w:val="20"/>
        </w:rPr>
        <w:t xml:space="preserve">hipersensitivitas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{"citationItems":[{"id":"ITEM-1","itemData":{"DOI":"10.1177/08969205211028964","ISSN":"15691632","abstract":"Contrary to what orthodox Marxism claims, the article defends that the legal field has been a fundamental aspect of the capitalist social ordering, and an unavoidable feature to understand how dominated subjectivities are produced and exploited. Expanding Lessig’s concept of ‘code as law’ with Marxist scholarly insight, the article argues that digital capitalists are reorganising work and the labour force through a form of algorithmic regulation. The article states that algorithms – that is, digital machines – have become not only part of the means of production of the era of automation, but also the code by which capitalists are writing the conditions of existence and exploitation of the digital proletariat. The article bridges recent contributions on labour law, AI and algorithmic regulation with the latest Marxist sociological contributions analysing the relation of work and digital exploitation, opening with it new ways to understand how sociotechnical systems owned by corporations regulate the behaviour not only of the working class but of the wider citizenry.","author":[{"dropping-particle":"","family":"Jiménez González","given":"Aitor","non-dropping-particle":"","parse-names":false,"suffix":""}],"container-title":"Critical Sociology","id":"ITEM-1","issue":"2","issued":{"date-parts":[["2022"]]},"title":"Law, Code and Exploitation: How Corporations Regulate the Working Conditions of the Digital Proletariat","type":"article-journal","volume":"48"},"uris":["http://www.mendeley.com/documents/?uuid=ebee6fda-a04c-3e9e-9a72-270621d34f5f"]}],"mendeley":{"formattedCitation":"(Jiménez González, 2022)","plainTextFormattedCitation":"(Jiménez González, 2022)","previouslyFormattedCitation":"(Jiménez González, 2022)"},"properties":{"noteIndex":0},"schema":"https://github.com/citation-style-language/schema/raw/master/csl-citation.json"}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(Jiménez González, 2022)</w:t>
      </w:r>
      <w:r w:rsidRPr="00F60E13">
        <w:rPr>
          <w:rFonts w:asciiTheme="majorHAnsi" w:hAnsiTheme="majorHAnsi"/>
          <w:sz w:val="20"/>
          <w:szCs w:val="20"/>
        </w:rPr>
        <w:fldChar w:fldCharType="end"/>
      </w:r>
      <w:r w:rsidRPr="00F60E13">
        <w:rPr>
          <w:rFonts w:asciiTheme="majorHAnsi" w:hAnsiTheme="majorHAnsi"/>
          <w:sz w:val="20"/>
          <w:szCs w:val="20"/>
        </w:rPr>
        <w:t>.</w:t>
      </w:r>
    </w:p>
    <w:p w:rsidR="00BF57A5" w:rsidRDefault="00F60E13" w:rsidP="00BF57A5">
      <w:pPr>
        <w:spacing w:after="0" w:line="240" w:lineRule="auto"/>
        <w:ind w:firstLine="360"/>
        <w:jc w:val="both"/>
        <w:rPr>
          <w:rFonts w:asciiTheme="majorHAnsi" w:hAnsiTheme="majorHAnsi"/>
          <w:sz w:val="20"/>
          <w:szCs w:val="20"/>
        </w:rPr>
      </w:pPr>
      <w:r w:rsidRPr="00F60E13">
        <w:rPr>
          <w:rFonts w:asciiTheme="majorHAnsi" w:hAnsiTheme="majorHAnsi"/>
          <w:sz w:val="20"/>
          <w:szCs w:val="20"/>
        </w:rPr>
        <w:t xml:space="preserve">Strategi adaptasi fisik yang dilakukan mengakibatkan terjadinya degradasi lahan tanaman kayu putih disebabkan oleh penurunan sifat akibat erosi. Erosi terjadi karena berkurangnya daya tahan tanaman terhadap tanah, tingkat erosi tanah yang tinggi di suatu wilayah dalam waktu yang singkat dapat menyebabkan tanah di wilayah tersebut menjadi terdegradasi. Erosi adalah proses perpindahan tanah dari satu lokasi ke lokasi lain. Banyaknya tanah yang dipindahkan tergantung pada jumlah curah hujan di wilayah tersebut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{"citationItems":[{"id":"ITEM-1","itemData":{"DOI":"10.1007/978-3-030-49732-3_2","abstract":"Despite significant progress in increasing agricultural production, meeting the changing dietary preferences and increasing food demands of future populations remain significant challenges. This is especially the case in developing countries. Climate change and variability, unstable markets, and shrinking arable land resources that result from urbanization and industrialization represent additional challenges. In many countries-especially those with dense populations and/ or diverse ecosystems in need of conservation-expanding agriculture to new lands to increase production is not an option. Conversely, where farmers' practices result in land degradation and deterioration of soils and natural resources upon which future productivity depends, urgent research and policy attention is needed to arrest and reverse declines in land degradation and adverse soil quality in consideration of mounting global demands for agricultural goods. This chapter provides a synopsis of agricultural land degradation issues while providing potential solutions to reverse","author":[{"dropping-particle":"","family":"Hossain","given":"Akbar","non-dropping-particle":"","parse-names":false,"suffix":""},{"dropping-particle":"","family":"Krupnik","given":"Timothy J.","non-dropping-particle":"","parse-names":false,"suffix":""},{"dropping-particle":"","family":"Timsina","given":"Jagadish","non-dropping-particle":"","parse-names":false,"suffix":""},{"dropping-particle":"","family":"Mahboob","given":"M. Golam","non-dropping-particle":"","parse-names":false,"suffix":""},{"dropping-particle":"","family":"Chaki","given":"Apurbo Kumar","non-dropping-particle":"","parse-names":false,"suffix":""},{"dropping-particle":"","family":"Farooq","given":"Muhammad","non-dropping-particle":"","parse-names":false,"suffix":""},{"dropping-particle":"","family":"Bhatt","given":"Rajan","non-dropping-particle":"","parse-names":false,"suffix":""},{"dropping-particle":"","family":"Fahad","given":"Shah","non-dropping-particle":"","parse-names":false,"suffix":""},{"dropping-particle":"","family":"Hasanuzzaman","given":"Mirza","non-dropping-particle":"","parse-names":false,"suffix":""}],"container-title":"Environment, Climate, Plant and Vegetation Growth","id":"ITEM-1","issued":{"date-parts":[["2020"]]},"title":"Agricultural Land Degradation: Processes and Problems Undermining Future Food Security","type":"chapter"},"uris":["http://www.mendeley.com/documents/?uuid=4d1fcae4-0c23-321e-b172-5156671be100"]}],"mendeley":{"formattedCitation":"(Hossain et al., 2020)","plainTextFormattedCitation":"(Hossain et al., 2020)","previouslyFormattedCitation":"(Hossain et al., 2020)"},"properties":{"noteIndex":0},"schema":"https://github.com/citation-style-language/schema/raw/master/csl-citation.json"}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(Hossain et al., 2020)</w:t>
      </w:r>
      <w:r w:rsidRPr="00F60E13">
        <w:rPr>
          <w:rFonts w:asciiTheme="majorHAnsi" w:hAnsiTheme="majorHAnsi"/>
          <w:sz w:val="20"/>
          <w:szCs w:val="20"/>
        </w:rPr>
        <w:fldChar w:fldCharType="end"/>
      </w:r>
      <w:r w:rsidRPr="00F60E13">
        <w:rPr>
          <w:rFonts w:asciiTheme="majorHAnsi" w:hAnsiTheme="majorHAnsi"/>
          <w:sz w:val="20"/>
          <w:szCs w:val="20"/>
        </w:rPr>
        <w:t xml:space="preserve">. Hal ini disebabkan karena air permukaan mengalir sebelum sempat meresap ke dalam tanah, dan selama proses erosi terbawa oleh lapisan atas tanah yang mengandung unsur hara </w:t>
      </w:r>
      <w:r w:rsidRPr="00F60E13">
        <w:rPr>
          <w:rFonts w:asciiTheme="majorHAnsi" w:hAnsiTheme="majorHAnsi"/>
          <w:sz w:val="20"/>
          <w:szCs w:val="20"/>
        </w:rPr>
        <w:fldChar w:fldCharType="begin" w:fldLock="1"/>
      </w:r>
      <w:r w:rsidRPr="00F60E13">
        <w:rPr>
          <w:rFonts w:asciiTheme="majorHAnsi" w:hAnsiTheme="majorHAnsi"/>
          <w:sz w:val="20"/>
          <w:szCs w:val="20"/>
        </w:rPr>
        <w:instrText>ADDIN CSL_CITATION {"citationItems":[{"id":"ITEM-1","itemData":{"DOI":"10.1002/ldr.2595","ISSN":"1099145X","abstract":"Soil degradation is globally concerning due to its adverse effects on the environment and agricultural production. Much of Swaziland is at risk from degradation. This paper assesses farmer perceptions and responses to soil degradation in 2002 and 2014, focusing on two land uses that underpin rural livelihoods: arable land and rangeland areas. It uses repeat household surveys and semi-structured interviews, in two case study chiefdoms in the country's middleveld (KaBhudla and Engcayini) in the first longitudinal study of its kind. We find that observations of land degradation are perceived mainly through changes in land productivity, with chemical degradation occurring predominantly on arable land and physical degradation and erosion mainly in rangeland areas. Changes in rainfall are particularly important in determining responses. While perceptions of the causes and impacts of degradation largely concur with the scientific literature, responses were constrained by poor land availability, shorter and more unpredictable cropping seasons because of changing rains and low awareness, access to or knowledge of agricultural inputs. We suggest that sustainable arable land management can be enhanced through improved access to alternative sources of water, use of management practices that retain soil and moisture and greater access to agricultural inputs and capacity building to ensure their appropriate use. We suggest collaborative management for settlement planning that integrates soil conservation and livestock management strategies such as controlled stocking levels and rotational grazing could improve land quality in rangeland areas. Together, these approaches can help land users to better manage change. © 2016 The Authors. Land Degradation &amp; Development published by John Wiley &amp; Sons Ltd.","author":[{"dropping-particle":"","family":"Orchard","given":"Steven E.","non-dropping-particle":"","parse-names":false,"suffix":""},{"dropping-particle":"","family":"Stringer","given":"Lindsay C.","non-dropping-particle":"","parse-names":false,"suffix":""},{"dropping-particle":"","family":"Manyatsi","given":"Absalom M.","non-dropping-particle":"","parse-names":false,"suffix":""}],"container-title":"Land Degradation and Development","id":"ITEM-1","issue":"1","issued":{"date-parts":[["2017"]]},"title":"Farmer Perceptions and Responses to Soil Degradation in Swaziland","type":"article-journal","volume":"28"},"uris":["http://www.mendeley.com/documents/?uuid=b0bddec4-fbac-3349-8fe9-53bbb355ba25"]}],"mendeley":{"formattedCitation":"(Orchard et al., 2017)","plainTextFormattedCitation":"(Orchard et al., 2017)","previouslyFormattedCitation":"(Orchard et al., 2017)"},"properties":{"noteIndex":0},"schema":"https://github.com/citation-style-language/schema/raw/master/csl-citation.json"}</w:instrText>
      </w:r>
      <w:r w:rsidRPr="00F60E13">
        <w:rPr>
          <w:rFonts w:asciiTheme="majorHAnsi" w:hAnsiTheme="majorHAnsi"/>
          <w:sz w:val="20"/>
          <w:szCs w:val="20"/>
        </w:rPr>
        <w:fldChar w:fldCharType="separate"/>
      </w:r>
      <w:r w:rsidRPr="00F60E13">
        <w:rPr>
          <w:rFonts w:asciiTheme="majorHAnsi" w:hAnsiTheme="majorHAnsi"/>
          <w:noProof/>
          <w:sz w:val="20"/>
          <w:szCs w:val="20"/>
        </w:rPr>
        <w:t>(Orchard et al., 2017)</w:t>
      </w:r>
      <w:r w:rsidRPr="00F60E13">
        <w:rPr>
          <w:rFonts w:asciiTheme="majorHAnsi" w:hAnsiTheme="majorHAnsi"/>
          <w:sz w:val="20"/>
          <w:szCs w:val="20"/>
        </w:rPr>
        <w:fldChar w:fldCharType="end"/>
      </w:r>
      <w:r w:rsidRPr="00F60E13">
        <w:rPr>
          <w:rFonts w:asciiTheme="majorHAnsi" w:hAnsiTheme="majorHAnsi"/>
          <w:sz w:val="20"/>
          <w:szCs w:val="20"/>
        </w:rPr>
        <w:t xml:space="preserve">. Degradasi lahan menjadi penyebab menurunnya kualitas tanaman dan memengaruhi jumlah produksi, dalam jangka waktu panjang akan berakibat rusaknya struktur tanaman. </w:t>
      </w:r>
    </w:p>
    <w:p w:rsidR="00BF57A5" w:rsidRDefault="00F60E13" w:rsidP="00BF57A5">
      <w:pPr>
        <w:spacing w:after="0" w:line="240" w:lineRule="auto"/>
        <w:ind w:firstLine="360"/>
        <w:jc w:val="both"/>
        <w:rPr>
          <w:rFonts w:asciiTheme="majorHAnsi" w:hAnsiTheme="majorHAnsi"/>
          <w:sz w:val="20"/>
          <w:szCs w:val="20"/>
        </w:rPr>
      </w:pPr>
      <w:r w:rsidRPr="00F60E13">
        <w:rPr>
          <w:rFonts w:asciiTheme="majorHAnsi" w:hAnsiTheme="majorHAnsi"/>
          <w:sz w:val="20"/>
          <w:szCs w:val="20"/>
        </w:rPr>
        <w:t>Seharusnya strategi fisik yang dilakukan oleh petani dimasa pandemi diikuti juga dengan dua tindakan pencegahan, yakni dengan pendekatan rehabilitasi produksi yang berimplikasi pada tenaga kerja dan lahan. Pemilik lahan selayaknya memiliki sirkulasi pekerja yang ditentukan untuk mencapai produksi tertentu dengan meningkatkan waktu kerja dan penambahan tenaga kerja. Waktu kerja yang bisa meningkat mencapai 14 jam sehari dapat berkurang mencapai 7-8 jam apabila pencapaian target produksi dibebankan kepada dua sampai tiga kelompok pada satu lokasi. Kondisi ini menyebkan berkurangnya waktu kerja dan pemenuhan waktu istirahat dapat terpenuhi dengan baik.</w:t>
      </w:r>
    </w:p>
    <w:p w:rsidR="00BF57A5" w:rsidRDefault="00F60E13" w:rsidP="00BF57A5">
      <w:pPr>
        <w:spacing w:after="0" w:line="240" w:lineRule="auto"/>
        <w:ind w:firstLine="360"/>
        <w:jc w:val="both"/>
        <w:rPr>
          <w:rFonts w:asciiTheme="majorHAnsi" w:hAnsiTheme="majorHAnsi"/>
          <w:sz w:val="20"/>
          <w:szCs w:val="20"/>
        </w:rPr>
      </w:pPr>
      <w:r w:rsidRPr="00F60E13">
        <w:rPr>
          <w:rFonts w:asciiTheme="majorHAnsi" w:hAnsiTheme="majorHAnsi"/>
          <w:sz w:val="20"/>
          <w:szCs w:val="20"/>
        </w:rPr>
        <w:t xml:space="preserve">Dengan menggunakan berbagai jenis tanaman, seperti tanaman dari dasar hutan, tanaman dari strip, dan tanaman dari tanah, metode rehabilitasi lahan secara vegetatif telah terbukti menjadi pilihan yang </w:t>
      </w:r>
      <w:r w:rsidRPr="00F60E13">
        <w:rPr>
          <w:rFonts w:asciiTheme="majorHAnsi" w:hAnsiTheme="majorHAnsi"/>
          <w:sz w:val="20"/>
          <w:szCs w:val="20"/>
        </w:rPr>
        <w:lastRenderedPageBreak/>
        <w:t>praktis. Pengolahan tanah secara vegetatif dapat menjamin stabilitas tanah dan udara dalam jangka panjang karena dapat meningkatkan porositas tanah, meningkatkan infiltrasi, dan mencegah terjadinya erosi melalui peningkatan granularitas tanah, serta meningkatkan kapasitas aktivitas tanah. mikroorganisme yang mengakibatkan peningkatan porositas, yang pada gilirannya meningkatkan jumlah infiltrasi dan mencegah erosi.</w:t>
      </w:r>
    </w:p>
    <w:p w:rsidR="00F60E13" w:rsidRPr="00F60E13" w:rsidRDefault="00F60E13" w:rsidP="00BF57A5">
      <w:pPr>
        <w:spacing w:after="0" w:line="240" w:lineRule="auto"/>
        <w:ind w:firstLine="360"/>
        <w:jc w:val="both"/>
        <w:rPr>
          <w:rFonts w:asciiTheme="majorHAnsi" w:hAnsiTheme="majorHAnsi"/>
          <w:sz w:val="20"/>
          <w:szCs w:val="20"/>
        </w:rPr>
      </w:pPr>
      <w:r w:rsidRPr="00F60E13">
        <w:rPr>
          <w:rFonts w:asciiTheme="majorHAnsi" w:hAnsiTheme="majorHAnsi"/>
          <w:sz w:val="20"/>
          <w:szCs w:val="20"/>
        </w:rPr>
        <w:t>Rehabilitasi produksi yang dilakukan secara intensif dan konsisten dapat mencegah dampak buruk dari strategi fisik yang dilakukan oleh petani minyak kayu putih selama pandemi sehingga eksistensi petani dan lahan memiliki potensi keberlanjutan yang lebih baik.</w:t>
      </w:r>
    </w:p>
    <w:p w:rsidR="00F60E13" w:rsidRPr="00F60E13" w:rsidRDefault="00F60E13" w:rsidP="00F60E13">
      <w:pPr>
        <w:spacing w:line="240" w:lineRule="auto"/>
        <w:jc w:val="both"/>
        <w:rPr>
          <w:rFonts w:asciiTheme="majorHAnsi" w:hAnsiTheme="majorHAnsi"/>
          <w:sz w:val="20"/>
          <w:szCs w:val="20"/>
        </w:rPr>
      </w:pPr>
    </w:p>
    <w:p w:rsidR="00BF57A5" w:rsidRDefault="00F60E13" w:rsidP="00BF57A5">
      <w:pPr>
        <w:spacing w:after="0" w:line="240" w:lineRule="auto"/>
        <w:jc w:val="both"/>
        <w:rPr>
          <w:rFonts w:asciiTheme="majorHAnsi" w:hAnsiTheme="majorHAnsi"/>
          <w:b/>
          <w:sz w:val="20"/>
          <w:szCs w:val="20"/>
        </w:rPr>
      </w:pPr>
      <w:r w:rsidRPr="00F60E13">
        <w:rPr>
          <w:rFonts w:asciiTheme="majorHAnsi" w:hAnsiTheme="majorHAnsi"/>
          <w:b/>
          <w:sz w:val="20"/>
          <w:szCs w:val="20"/>
        </w:rPr>
        <w:t>KESIMPULAN</w:t>
      </w:r>
    </w:p>
    <w:p w:rsidR="00F60E13" w:rsidRDefault="00F60E13" w:rsidP="00BF57A5">
      <w:pPr>
        <w:spacing w:after="0" w:line="240" w:lineRule="auto"/>
        <w:ind w:firstLine="360"/>
        <w:jc w:val="both"/>
        <w:rPr>
          <w:rFonts w:asciiTheme="majorHAnsi" w:hAnsiTheme="majorHAnsi"/>
          <w:sz w:val="20"/>
          <w:szCs w:val="20"/>
        </w:rPr>
      </w:pPr>
      <w:r w:rsidRPr="00F60E13">
        <w:rPr>
          <w:rFonts w:asciiTheme="majorHAnsi" w:hAnsiTheme="majorHAnsi"/>
          <w:sz w:val="20"/>
          <w:szCs w:val="20"/>
        </w:rPr>
        <w:t xml:space="preserve">Keunggulan minyak kayu putih sebagai bahan baku obat menyebabkan peningkatan kebutuhan terjadi ditengah-tengah kondisi pandami covid-19 di Kabupaten Buru, pemenuhan permintaan diikuti dengan strategi adaptasi yang dilakukan oleh petani sebagai cara memenuhi permintaan pemilik lahan. Strategi yang dipergunakan berupa strategi adaptasi fisik yang mengandalkan kemampuan kerja tubuh manusia dalam sumberdaya tanaman dan lahan. </w:t>
      </w:r>
      <w:r w:rsidR="00BF57A5">
        <w:rPr>
          <w:rFonts w:asciiTheme="majorHAnsi" w:hAnsiTheme="majorHAnsi"/>
          <w:b/>
          <w:sz w:val="20"/>
          <w:szCs w:val="20"/>
        </w:rPr>
        <w:t xml:space="preserve"> </w:t>
      </w:r>
      <w:r w:rsidRPr="00F60E13">
        <w:rPr>
          <w:rFonts w:asciiTheme="majorHAnsi" w:hAnsiTheme="majorHAnsi"/>
          <w:sz w:val="20"/>
          <w:szCs w:val="20"/>
        </w:rPr>
        <w:t xml:space="preserve">Strategi adaptasi yang mengedepankan penggunaan kemampuan fisik tubuh manusia maupun sumberdaya lahan mengakibatkan penurunan daya tahan tubuh petani yang berimplikasi pada penyakit sementara untuk sumberdaya lahan akan menghasilkan degradasi yang berdampak pada daya tahan tanaman. Strategi adaptasi yang dilakukan oleh petani rentan terhadap kerusakan fisik manusia serta lahan pertanian dalam jangka waktu yang panjang. </w:t>
      </w:r>
      <w:r w:rsidR="00BF57A5">
        <w:rPr>
          <w:rFonts w:asciiTheme="majorHAnsi" w:hAnsiTheme="majorHAnsi"/>
          <w:b/>
          <w:sz w:val="20"/>
          <w:szCs w:val="20"/>
        </w:rPr>
        <w:t xml:space="preserve"> </w:t>
      </w:r>
      <w:r w:rsidRPr="00F60E13">
        <w:rPr>
          <w:rFonts w:asciiTheme="majorHAnsi" w:hAnsiTheme="majorHAnsi"/>
          <w:sz w:val="20"/>
          <w:szCs w:val="20"/>
        </w:rPr>
        <w:t>Strategi adaptasi yang dilakukan tanpa kesadaran oleh petani, mengakibatkan kerusakan fisik dan lingkungan pada jangka waktu panjang sehingga rentan terhadap penghasilan dan keberlanjutan nafkah hidup petani yang berimplikasi pada kemiskinan.</w:t>
      </w:r>
    </w:p>
    <w:p w:rsidR="00947FE0" w:rsidRPr="00BF57A5" w:rsidRDefault="00947FE0" w:rsidP="00BF57A5">
      <w:pPr>
        <w:spacing w:after="0" w:line="240" w:lineRule="auto"/>
        <w:ind w:firstLine="360"/>
        <w:jc w:val="both"/>
        <w:rPr>
          <w:rFonts w:asciiTheme="majorHAnsi" w:hAnsiTheme="majorHAnsi"/>
          <w:b/>
          <w:sz w:val="20"/>
          <w:szCs w:val="20"/>
        </w:rPr>
      </w:pPr>
    </w:p>
    <w:p w:rsidR="00947FE0" w:rsidRDefault="00F60E13" w:rsidP="00947FE0">
      <w:pPr>
        <w:spacing w:after="0" w:line="240" w:lineRule="auto"/>
        <w:jc w:val="both"/>
        <w:rPr>
          <w:rFonts w:asciiTheme="majorHAnsi" w:hAnsiTheme="majorHAnsi"/>
          <w:b/>
          <w:sz w:val="20"/>
          <w:szCs w:val="20"/>
        </w:rPr>
      </w:pPr>
      <w:bookmarkStart w:id="1" w:name="_Hlk109577019"/>
      <w:r w:rsidRPr="00F60E13">
        <w:rPr>
          <w:rFonts w:asciiTheme="majorHAnsi" w:hAnsiTheme="majorHAnsi"/>
          <w:b/>
          <w:sz w:val="20"/>
          <w:szCs w:val="20"/>
        </w:rPr>
        <w:t>UCAPAN TERIMAKASIH</w:t>
      </w:r>
    </w:p>
    <w:p w:rsidR="00F60E13" w:rsidRPr="00947FE0" w:rsidRDefault="00F60E13" w:rsidP="00947FE0">
      <w:pPr>
        <w:spacing w:after="0" w:line="240" w:lineRule="auto"/>
        <w:jc w:val="both"/>
        <w:rPr>
          <w:rFonts w:asciiTheme="majorHAnsi" w:hAnsiTheme="majorHAnsi"/>
          <w:b/>
          <w:sz w:val="20"/>
          <w:szCs w:val="20"/>
        </w:rPr>
      </w:pPr>
      <w:r w:rsidRPr="00947FE0">
        <w:rPr>
          <w:rFonts w:asciiTheme="majorHAnsi" w:hAnsiTheme="majorHAnsi"/>
          <w:sz w:val="20"/>
          <w:szCs w:val="20"/>
          <w:lang w:val="id-ID"/>
        </w:rPr>
        <w:t>Penelitian ini didanai oleh Direktorat Jenderal Pendidikan Tinggi, Riset, dan Teknologi. Kementerian Pendidikan, Kebudayaan, Riset, dan Teknologi Republik Indonesia melalui Program Riset Ilmiah 2021 dengan nomor kontrak: 242/E4.1/AK.04.RA/2021. Penulis mengucapkan terima kasih kepada Direktur Jenderal Pendidikan Tinggi, Riset, dan Teknologi dan Direktur Sumber Daya, Kementerian Pendidikan, Kebudayaan, Riset, dan Teknologi Republik Indonesia. Lembaga Pengelola Dana Pendidikan (LPDP), Kementerian Keuangan Republik Indonesia, dan semua pihak yang telah membantu sehingga proses penelitian ini dapat diselesaikan.</w:t>
      </w:r>
      <w:bookmarkEnd w:id="1"/>
    </w:p>
    <w:p w:rsidR="00F60E13" w:rsidRPr="00947FE0" w:rsidRDefault="00F60E13" w:rsidP="00F60E13">
      <w:pPr>
        <w:spacing w:line="240" w:lineRule="auto"/>
        <w:rPr>
          <w:rFonts w:asciiTheme="majorHAnsi" w:hAnsiTheme="majorHAnsi"/>
          <w:sz w:val="20"/>
          <w:szCs w:val="20"/>
        </w:rPr>
      </w:pPr>
    </w:p>
    <w:p w:rsidR="00F60E13" w:rsidRPr="00BF57A5" w:rsidRDefault="00F60E13" w:rsidP="00F60E13">
      <w:pPr>
        <w:pStyle w:val="Heading4"/>
        <w:spacing w:before="0" w:line="240" w:lineRule="auto"/>
        <w:jc w:val="both"/>
        <w:rPr>
          <w:color w:val="auto"/>
          <w:sz w:val="20"/>
          <w:szCs w:val="20"/>
          <w:lang w:val="id-ID"/>
        </w:rPr>
      </w:pPr>
      <w:r w:rsidRPr="00BF57A5">
        <w:rPr>
          <w:color w:val="auto"/>
          <w:sz w:val="20"/>
          <w:szCs w:val="20"/>
          <w:lang w:val="id-ID"/>
        </w:rPr>
        <w:t>DAFTAR PUSTAKA</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sz w:val="18"/>
          <w:szCs w:val="20"/>
          <w:lang w:val="id-ID" w:eastAsia="id-ID"/>
        </w:rPr>
        <w:fldChar w:fldCharType="begin" w:fldLock="1"/>
      </w:r>
      <w:r w:rsidRPr="00D9549E">
        <w:rPr>
          <w:rFonts w:asciiTheme="majorHAnsi" w:hAnsiTheme="majorHAnsi"/>
          <w:sz w:val="18"/>
          <w:szCs w:val="20"/>
        </w:rPr>
        <w:instrText xml:space="preserve">ADDIN Mendeley Bibliography CSL_BIBLIOGRAPHY </w:instrText>
      </w:r>
      <w:r w:rsidRPr="00D9549E">
        <w:rPr>
          <w:rFonts w:asciiTheme="majorHAnsi" w:hAnsiTheme="majorHAnsi"/>
          <w:sz w:val="18"/>
          <w:szCs w:val="20"/>
          <w:lang w:val="id-ID" w:eastAsia="id-ID"/>
        </w:rPr>
        <w:fldChar w:fldCharType="separate"/>
      </w:r>
      <w:r w:rsidRPr="00D9549E">
        <w:rPr>
          <w:rFonts w:asciiTheme="majorHAnsi" w:hAnsiTheme="majorHAnsi"/>
          <w:noProof/>
          <w:sz w:val="18"/>
          <w:szCs w:val="20"/>
        </w:rPr>
        <w:t xml:space="preserve">Alu, A. K., Machfud, &amp; Rusli, M. S. (2020). Formulating Strategies for Improving the Competitiveness of Cajuput Small Industry in Buru Regency’s (A Case Study). </w:t>
      </w:r>
      <w:r w:rsidRPr="00D9549E">
        <w:rPr>
          <w:rFonts w:asciiTheme="majorHAnsi" w:hAnsiTheme="majorHAnsi"/>
          <w:i/>
          <w:iCs/>
          <w:noProof/>
          <w:sz w:val="18"/>
          <w:szCs w:val="20"/>
        </w:rPr>
        <w:t>Proceedings of the Brawijaya International Conference on Multidisciplinary Sciences and Technology (BICMST 2020) Formulating</w:t>
      </w:r>
      <w:r w:rsidRPr="00D9549E">
        <w:rPr>
          <w:rFonts w:asciiTheme="majorHAnsi" w:hAnsiTheme="majorHAnsi"/>
          <w:noProof/>
          <w:sz w:val="18"/>
          <w:szCs w:val="20"/>
        </w:rPr>
        <w:t xml:space="preserve">, </w:t>
      </w:r>
      <w:r w:rsidRPr="00D9549E">
        <w:rPr>
          <w:rFonts w:asciiTheme="majorHAnsi" w:hAnsiTheme="majorHAnsi"/>
          <w:i/>
          <w:iCs/>
          <w:noProof/>
          <w:sz w:val="18"/>
          <w:szCs w:val="20"/>
        </w:rPr>
        <w:t>456</w:t>
      </w:r>
      <w:r w:rsidRPr="00D9549E">
        <w:rPr>
          <w:rFonts w:asciiTheme="majorHAnsi" w:hAnsiTheme="majorHAnsi"/>
          <w:noProof/>
          <w:sz w:val="18"/>
          <w:szCs w:val="20"/>
        </w:rPr>
        <w:t>(Bicmst), 72–75. https://doi.org/10.2991/assehr.k.201021.018</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Babu, G. D. K., &amp; Singh, B. (2009). Simulation of Eucalyptus cinerea oil distillation: A study on optimization of 1,8-cineole production. </w:t>
      </w:r>
      <w:r w:rsidRPr="00D9549E">
        <w:rPr>
          <w:rFonts w:asciiTheme="majorHAnsi" w:hAnsiTheme="majorHAnsi"/>
          <w:i/>
          <w:iCs/>
          <w:noProof/>
          <w:sz w:val="18"/>
          <w:szCs w:val="20"/>
        </w:rPr>
        <w:t>Biochemical Engineering Journal</w:t>
      </w:r>
      <w:r w:rsidRPr="00D9549E">
        <w:rPr>
          <w:rFonts w:asciiTheme="majorHAnsi" w:hAnsiTheme="majorHAnsi"/>
          <w:noProof/>
          <w:sz w:val="18"/>
          <w:szCs w:val="20"/>
        </w:rPr>
        <w:t xml:space="preserve">, </w:t>
      </w:r>
      <w:r w:rsidRPr="00D9549E">
        <w:rPr>
          <w:rFonts w:asciiTheme="majorHAnsi" w:hAnsiTheme="majorHAnsi"/>
          <w:i/>
          <w:iCs/>
          <w:noProof/>
          <w:sz w:val="18"/>
          <w:szCs w:val="20"/>
        </w:rPr>
        <w:t>44</w:t>
      </w:r>
      <w:r w:rsidRPr="00D9549E">
        <w:rPr>
          <w:rFonts w:asciiTheme="majorHAnsi" w:hAnsiTheme="majorHAnsi"/>
          <w:noProof/>
          <w:sz w:val="18"/>
          <w:szCs w:val="20"/>
        </w:rPr>
        <w:t>(2–3). https://doi.org/10.1016/j.bej.2008.12.012</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Calafà, L. (2021). For a multidimensional approach to labour exploitation. In </w:t>
      </w:r>
      <w:r w:rsidRPr="00D9549E">
        <w:rPr>
          <w:rFonts w:asciiTheme="majorHAnsi" w:hAnsiTheme="majorHAnsi"/>
          <w:i/>
          <w:iCs/>
          <w:noProof/>
          <w:sz w:val="18"/>
          <w:szCs w:val="20"/>
        </w:rPr>
        <w:t>Lavoro e Diritto</w:t>
      </w:r>
      <w:r w:rsidRPr="00D9549E">
        <w:rPr>
          <w:rFonts w:asciiTheme="majorHAnsi" w:hAnsiTheme="majorHAnsi"/>
          <w:noProof/>
          <w:sz w:val="18"/>
          <w:szCs w:val="20"/>
        </w:rPr>
        <w:t xml:space="preserve"> (Vol. 35, Issue 2). https://doi.org/10.1441/100860</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Creswell, J. W. (2002). </w:t>
      </w:r>
      <w:r w:rsidRPr="00D9549E">
        <w:rPr>
          <w:rFonts w:asciiTheme="majorHAnsi" w:hAnsiTheme="majorHAnsi"/>
          <w:i/>
          <w:iCs/>
          <w:noProof/>
          <w:sz w:val="18"/>
          <w:szCs w:val="20"/>
        </w:rPr>
        <w:t>Reseacrh Design: Qualitatif &amp; Quantitative Approaches</w:t>
      </w:r>
      <w:r w:rsidRPr="00D9549E">
        <w:rPr>
          <w:rFonts w:asciiTheme="majorHAnsi" w:hAnsiTheme="majorHAnsi"/>
          <w:noProof/>
          <w:sz w:val="18"/>
          <w:szCs w:val="20"/>
        </w:rPr>
        <w:t xml:space="preserve"> (Chryshnanda &amp; B. Hastobroto (eds.)). KIS Press.</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Doran, J. C., Macdonell, P. F., Brophy, J. J., &amp; Davis, R. (2021). Eucalyptus bakeri: a potential source species for eucalyptus oil production in the subtropics. </w:t>
      </w:r>
      <w:r w:rsidRPr="00D9549E">
        <w:rPr>
          <w:rFonts w:asciiTheme="majorHAnsi" w:hAnsiTheme="majorHAnsi"/>
          <w:i/>
          <w:iCs/>
          <w:noProof/>
          <w:sz w:val="18"/>
          <w:szCs w:val="20"/>
        </w:rPr>
        <w:t>Australian Forestry</w:t>
      </w:r>
      <w:r w:rsidRPr="00D9549E">
        <w:rPr>
          <w:rFonts w:asciiTheme="majorHAnsi" w:hAnsiTheme="majorHAnsi"/>
          <w:noProof/>
          <w:sz w:val="18"/>
          <w:szCs w:val="20"/>
        </w:rPr>
        <w:t xml:space="preserve">, </w:t>
      </w:r>
      <w:r w:rsidRPr="00D9549E">
        <w:rPr>
          <w:rFonts w:asciiTheme="majorHAnsi" w:hAnsiTheme="majorHAnsi"/>
          <w:i/>
          <w:iCs/>
          <w:noProof/>
          <w:sz w:val="18"/>
          <w:szCs w:val="20"/>
        </w:rPr>
        <w:t>84</w:t>
      </w:r>
      <w:r w:rsidRPr="00D9549E">
        <w:rPr>
          <w:rFonts w:asciiTheme="majorHAnsi" w:hAnsiTheme="majorHAnsi"/>
          <w:noProof/>
          <w:sz w:val="18"/>
          <w:szCs w:val="20"/>
        </w:rPr>
        <w:t>(4). https://doi.org/10.1080/00049158.2021.1973225</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Ernawati, T., Syaufina, L., &amp; Hariyadi. (2022). Sustainable analysis of integrated cajuput oil business development as a sustainable forestry multi-business at PT Inhutani I. </w:t>
      </w:r>
      <w:r w:rsidRPr="00D9549E">
        <w:rPr>
          <w:rFonts w:asciiTheme="majorHAnsi" w:hAnsiTheme="majorHAnsi"/>
          <w:i/>
          <w:iCs/>
          <w:noProof/>
          <w:sz w:val="18"/>
          <w:szCs w:val="20"/>
        </w:rPr>
        <w:t>Jurnal Pengelolaan Sumberdaya Alam Dan Lingkungan (Journal of Natural Resources and Environmental Management)</w:t>
      </w:r>
      <w:r w:rsidRPr="00D9549E">
        <w:rPr>
          <w:rFonts w:asciiTheme="majorHAnsi" w:hAnsiTheme="majorHAnsi"/>
          <w:noProof/>
          <w:sz w:val="18"/>
          <w:szCs w:val="20"/>
        </w:rPr>
        <w:t xml:space="preserve">, </w:t>
      </w:r>
      <w:r w:rsidRPr="00D9549E">
        <w:rPr>
          <w:rFonts w:asciiTheme="majorHAnsi" w:hAnsiTheme="majorHAnsi"/>
          <w:i/>
          <w:iCs/>
          <w:noProof/>
          <w:sz w:val="18"/>
          <w:szCs w:val="20"/>
        </w:rPr>
        <w:t>11</w:t>
      </w:r>
      <w:r w:rsidRPr="00D9549E">
        <w:rPr>
          <w:rFonts w:asciiTheme="majorHAnsi" w:hAnsiTheme="majorHAnsi"/>
          <w:noProof/>
          <w:sz w:val="18"/>
          <w:szCs w:val="20"/>
        </w:rPr>
        <w:t>(4), 631–637. https://doi.org/10.29244/jpsl.11.4.631-637</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Farida Aryani. (2020). Penyulingan Minyak Kayu Putih (Melaleuca cajuputi) dengan Suhu yang Berbeda. </w:t>
      </w:r>
      <w:r w:rsidRPr="00D9549E">
        <w:rPr>
          <w:rFonts w:asciiTheme="majorHAnsi" w:hAnsiTheme="majorHAnsi"/>
          <w:i/>
          <w:iCs/>
          <w:noProof/>
          <w:sz w:val="18"/>
          <w:szCs w:val="20"/>
        </w:rPr>
        <w:t>Buletin Loupe</w:t>
      </w:r>
      <w:r w:rsidRPr="00D9549E">
        <w:rPr>
          <w:rFonts w:asciiTheme="majorHAnsi" w:hAnsiTheme="majorHAnsi"/>
          <w:noProof/>
          <w:sz w:val="18"/>
          <w:szCs w:val="20"/>
        </w:rPr>
        <w:t xml:space="preserve">, </w:t>
      </w:r>
      <w:r w:rsidRPr="00D9549E">
        <w:rPr>
          <w:rFonts w:asciiTheme="majorHAnsi" w:hAnsiTheme="majorHAnsi"/>
          <w:i/>
          <w:iCs/>
          <w:noProof/>
          <w:sz w:val="18"/>
          <w:szCs w:val="20"/>
        </w:rPr>
        <w:t>16</w:t>
      </w:r>
      <w:r w:rsidRPr="00D9549E">
        <w:rPr>
          <w:rFonts w:asciiTheme="majorHAnsi" w:hAnsiTheme="majorHAnsi"/>
          <w:noProof/>
          <w:sz w:val="18"/>
          <w:szCs w:val="20"/>
        </w:rPr>
        <w:t>(02). https://doi.org/10.51967/buletinloupe.v16i02.255</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Ghiffari, R. A. (2016). Development of Eucalyptus Oil Agro-industries in Kabupaten Buru. </w:t>
      </w:r>
      <w:r w:rsidRPr="00D9549E">
        <w:rPr>
          <w:rFonts w:asciiTheme="majorHAnsi" w:hAnsiTheme="majorHAnsi"/>
          <w:i/>
          <w:iCs/>
          <w:noProof/>
          <w:sz w:val="18"/>
          <w:szCs w:val="20"/>
        </w:rPr>
        <w:t>Procedia - Social and Behavioral Sciences</w:t>
      </w:r>
      <w:r w:rsidRPr="00D9549E">
        <w:rPr>
          <w:rFonts w:asciiTheme="majorHAnsi" w:hAnsiTheme="majorHAnsi"/>
          <w:noProof/>
          <w:sz w:val="18"/>
          <w:szCs w:val="20"/>
        </w:rPr>
        <w:t xml:space="preserve">, </w:t>
      </w:r>
      <w:r w:rsidRPr="00D9549E">
        <w:rPr>
          <w:rFonts w:asciiTheme="majorHAnsi" w:hAnsiTheme="majorHAnsi"/>
          <w:i/>
          <w:iCs/>
          <w:noProof/>
          <w:sz w:val="18"/>
          <w:szCs w:val="20"/>
        </w:rPr>
        <w:t>227</w:t>
      </w:r>
      <w:r w:rsidRPr="00D9549E">
        <w:rPr>
          <w:rFonts w:asciiTheme="majorHAnsi" w:hAnsiTheme="majorHAnsi"/>
          <w:noProof/>
          <w:sz w:val="18"/>
          <w:szCs w:val="20"/>
        </w:rPr>
        <w:t>. https://doi.org/10.1016/j.sbspro.2016.06.150</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Ghosh, A., Kundu, S., Ghosh, P., &amp; Dutta, T. (2020). Maximising profitability of quaternary sector organisations through workforce optimisation. </w:t>
      </w:r>
      <w:r w:rsidRPr="00D9549E">
        <w:rPr>
          <w:rFonts w:asciiTheme="majorHAnsi" w:hAnsiTheme="majorHAnsi"/>
          <w:i/>
          <w:iCs/>
          <w:noProof/>
          <w:sz w:val="18"/>
          <w:szCs w:val="20"/>
        </w:rPr>
        <w:t>Benchmarking</w:t>
      </w:r>
      <w:r w:rsidRPr="00D9549E">
        <w:rPr>
          <w:rFonts w:asciiTheme="majorHAnsi" w:hAnsiTheme="majorHAnsi"/>
          <w:noProof/>
          <w:sz w:val="18"/>
          <w:szCs w:val="20"/>
        </w:rPr>
        <w:t xml:space="preserve">, </w:t>
      </w:r>
      <w:r w:rsidRPr="00D9549E">
        <w:rPr>
          <w:rFonts w:asciiTheme="majorHAnsi" w:hAnsiTheme="majorHAnsi"/>
          <w:i/>
          <w:iCs/>
          <w:noProof/>
          <w:sz w:val="18"/>
          <w:szCs w:val="20"/>
        </w:rPr>
        <w:t>27</w:t>
      </w:r>
      <w:r w:rsidRPr="00D9549E">
        <w:rPr>
          <w:rFonts w:asciiTheme="majorHAnsi" w:hAnsiTheme="majorHAnsi"/>
          <w:noProof/>
          <w:sz w:val="18"/>
          <w:szCs w:val="20"/>
        </w:rPr>
        <w:t>(10). https://doi.org/10.1108/BIJ-01-2020-0034</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Haryono, A., Handayani, S., Munir, S., &amp; Megasari, R. (2021). An Analysis of Literacy in Cooperative Economics and the Pancasila Economy in Malang. </w:t>
      </w:r>
      <w:r w:rsidRPr="00D9549E">
        <w:rPr>
          <w:rFonts w:asciiTheme="majorHAnsi" w:hAnsiTheme="majorHAnsi"/>
          <w:i/>
          <w:iCs/>
          <w:noProof/>
          <w:sz w:val="18"/>
          <w:szCs w:val="20"/>
        </w:rPr>
        <w:t>KnE Social Sciences</w:t>
      </w:r>
      <w:r w:rsidRPr="00D9549E">
        <w:rPr>
          <w:rFonts w:asciiTheme="majorHAnsi" w:hAnsiTheme="majorHAnsi"/>
          <w:noProof/>
          <w:sz w:val="18"/>
          <w:szCs w:val="20"/>
        </w:rPr>
        <w:t>. https://doi.org/10.18502/kss.v5i8.9390</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Hossain, A., Krupnik, T. J., Timsina, J., Mahboob, M. G., Chaki, A. K., Farooq, M., Bhatt, R., Fahad, S., &amp; Hasanuzzaman, M. (2020). Agricultural Land Degradation: Processes and Problems Undermining Future Food Security. In </w:t>
      </w:r>
      <w:r w:rsidRPr="00D9549E">
        <w:rPr>
          <w:rFonts w:asciiTheme="majorHAnsi" w:hAnsiTheme="majorHAnsi"/>
          <w:i/>
          <w:iCs/>
          <w:noProof/>
          <w:sz w:val="18"/>
          <w:szCs w:val="20"/>
        </w:rPr>
        <w:t>Environment, Climate, Plant and Vegetation Growth</w:t>
      </w:r>
      <w:r w:rsidRPr="00D9549E">
        <w:rPr>
          <w:rFonts w:asciiTheme="majorHAnsi" w:hAnsiTheme="majorHAnsi"/>
          <w:noProof/>
          <w:sz w:val="18"/>
          <w:szCs w:val="20"/>
        </w:rPr>
        <w:t>. https://doi.org/10.1007/978-3-030-49732-3_2</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Husni, S. (2020). Pendapatan Rumah Tangga Nelayan Buruh dan Strategi Adaptasi Yang Dilakukan Dalam Pemenuhan Kebutuhan Pokok Pada Saat Musim Barat (Studi Kasus di Desa Sekotong Barat Kabupaten Lombok Barat. </w:t>
      </w:r>
      <w:r w:rsidRPr="00D9549E">
        <w:rPr>
          <w:rFonts w:asciiTheme="majorHAnsi" w:hAnsiTheme="majorHAnsi"/>
          <w:i/>
          <w:iCs/>
          <w:noProof/>
          <w:sz w:val="18"/>
          <w:szCs w:val="20"/>
        </w:rPr>
        <w:t>Jurnal Agrimansion</w:t>
      </w:r>
      <w:r w:rsidRPr="00D9549E">
        <w:rPr>
          <w:rFonts w:asciiTheme="majorHAnsi" w:hAnsiTheme="majorHAnsi"/>
          <w:noProof/>
          <w:sz w:val="18"/>
          <w:szCs w:val="20"/>
        </w:rPr>
        <w:t xml:space="preserve">, </w:t>
      </w:r>
      <w:r w:rsidRPr="00D9549E">
        <w:rPr>
          <w:rFonts w:asciiTheme="majorHAnsi" w:hAnsiTheme="majorHAnsi"/>
          <w:i/>
          <w:iCs/>
          <w:noProof/>
          <w:sz w:val="18"/>
          <w:szCs w:val="20"/>
        </w:rPr>
        <w:t>20</w:t>
      </w:r>
      <w:r w:rsidRPr="00D9549E">
        <w:rPr>
          <w:rFonts w:asciiTheme="majorHAnsi" w:hAnsiTheme="majorHAnsi"/>
          <w:noProof/>
          <w:sz w:val="18"/>
          <w:szCs w:val="20"/>
        </w:rPr>
        <w:t>(1), 34–47. https://doi.org/10.29303/agri.v21i1.318</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Iglesias, S. P., Miyazaki, M. R., Mariano, A. P., &amp; Franco, T. T. (2021). Techno-economic assessment of bio-oil produced from Eucalyptus forestry residues. </w:t>
      </w:r>
      <w:r w:rsidRPr="00D9549E">
        <w:rPr>
          <w:rFonts w:asciiTheme="majorHAnsi" w:hAnsiTheme="majorHAnsi"/>
          <w:i/>
          <w:iCs/>
          <w:noProof/>
          <w:sz w:val="18"/>
          <w:szCs w:val="20"/>
        </w:rPr>
        <w:t>Industrial Crops and Products</w:t>
      </w:r>
      <w:r w:rsidRPr="00D9549E">
        <w:rPr>
          <w:rFonts w:asciiTheme="majorHAnsi" w:hAnsiTheme="majorHAnsi"/>
          <w:noProof/>
          <w:sz w:val="18"/>
          <w:szCs w:val="20"/>
        </w:rPr>
        <w:t xml:space="preserve">, </w:t>
      </w:r>
      <w:r w:rsidRPr="00D9549E">
        <w:rPr>
          <w:rFonts w:asciiTheme="majorHAnsi" w:hAnsiTheme="majorHAnsi"/>
          <w:i/>
          <w:iCs/>
          <w:noProof/>
          <w:sz w:val="18"/>
          <w:szCs w:val="20"/>
        </w:rPr>
        <w:t>171</w:t>
      </w:r>
      <w:r w:rsidRPr="00D9549E">
        <w:rPr>
          <w:rFonts w:asciiTheme="majorHAnsi" w:hAnsiTheme="majorHAnsi"/>
          <w:noProof/>
          <w:sz w:val="18"/>
          <w:szCs w:val="20"/>
        </w:rPr>
        <w:t>. https://doi.org/10.1016/j.indcrop.2021.113936</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Jati, R. I., Tohari, T., &amp; Suryanto, P. (2017). The Optimum Dose of Nitrogen, Phosporus, and Potassium to </w:t>
      </w:r>
      <w:r w:rsidRPr="00D9549E">
        <w:rPr>
          <w:rFonts w:asciiTheme="majorHAnsi" w:hAnsiTheme="majorHAnsi"/>
          <w:noProof/>
          <w:sz w:val="18"/>
          <w:szCs w:val="20"/>
        </w:rPr>
        <w:lastRenderedPageBreak/>
        <w:t xml:space="preserve">Improve Soybean (Glycine max (L) Merr) Productivity on Kayu Putih (Melaleuca cajuputi) Stands. </w:t>
      </w:r>
      <w:r w:rsidRPr="00D9549E">
        <w:rPr>
          <w:rFonts w:asciiTheme="majorHAnsi" w:hAnsiTheme="majorHAnsi"/>
          <w:i/>
          <w:iCs/>
          <w:noProof/>
          <w:sz w:val="18"/>
          <w:szCs w:val="20"/>
        </w:rPr>
        <w:t>Ilmu Pertanian (Agricultural Science)</w:t>
      </w:r>
      <w:r w:rsidRPr="00D9549E">
        <w:rPr>
          <w:rFonts w:asciiTheme="majorHAnsi" w:hAnsiTheme="majorHAnsi"/>
          <w:noProof/>
          <w:sz w:val="18"/>
          <w:szCs w:val="20"/>
        </w:rPr>
        <w:t xml:space="preserve">, </w:t>
      </w:r>
      <w:r w:rsidRPr="00D9549E">
        <w:rPr>
          <w:rFonts w:asciiTheme="majorHAnsi" w:hAnsiTheme="majorHAnsi"/>
          <w:i/>
          <w:iCs/>
          <w:noProof/>
          <w:sz w:val="18"/>
          <w:szCs w:val="20"/>
        </w:rPr>
        <w:t>2</w:t>
      </w:r>
      <w:r w:rsidRPr="00D9549E">
        <w:rPr>
          <w:rFonts w:asciiTheme="majorHAnsi" w:hAnsiTheme="majorHAnsi"/>
          <w:noProof/>
          <w:sz w:val="18"/>
          <w:szCs w:val="20"/>
        </w:rPr>
        <w:t>(2). https://doi.org/10.22146/ipas.17991</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Jiménez González, A. (2022). Law, Code and Exploitation: How Corporations Regulate the Working Conditions of the Digital Proletariat. </w:t>
      </w:r>
      <w:r w:rsidRPr="00D9549E">
        <w:rPr>
          <w:rFonts w:asciiTheme="majorHAnsi" w:hAnsiTheme="majorHAnsi"/>
          <w:i/>
          <w:iCs/>
          <w:noProof/>
          <w:sz w:val="18"/>
          <w:szCs w:val="20"/>
        </w:rPr>
        <w:t>Critical Sociology</w:t>
      </w:r>
      <w:r w:rsidRPr="00D9549E">
        <w:rPr>
          <w:rFonts w:asciiTheme="majorHAnsi" w:hAnsiTheme="majorHAnsi"/>
          <w:noProof/>
          <w:sz w:val="18"/>
          <w:szCs w:val="20"/>
        </w:rPr>
        <w:t xml:space="preserve">, </w:t>
      </w:r>
      <w:r w:rsidRPr="00D9549E">
        <w:rPr>
          <w:rFonts w:asciiTheme="majorHAnsi" w:hAnsiTheme="majorHAnsi"/>
          <w:i/>
          <w:iCs/>
          <w:noProof/>
          <w:sz w:val="18"/>
          <w:szCs w:val="20"/>
        </w:rPr>
        <w:t>48</w:t>
      </w:r>
      <w:r w:rsidRPr="00D9549E">
        <w:rPr>
          <w:rFonts w:asciiTheme="majorHAnsi" w:hAnsiTheme="majorHAnsi"/>
          <w:noProof/>
          <w:sz w:val="18"/>
          <w:szCs w:val="20"/>
        </w:rPr>
        <w:t>(2). https://doi.org/10.1177/08969205211028964</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Kalleberg, R. (2007). Robert K. Merton: A Modern Sociological Classic. </w:t>
      </w:r>
      <w:r w:rsidRPr="00D9549E">
        <w:rPr>
          <w:rFonts w:asciiTheme="majorHAnsi" w:hAnsiTheme="majorHAnsi"/>
          <w:i/>
          <w:iCs/>
          <w:noProof/>
          <w:sz w:val="18"/>
          <w:szCs w:val="20"/>
        </w:rPr>
        <w:t>Journal of Classical Sociology</w:t>
      </w:r>
      <w:r w:rsidRPr="00D9549E">
        <w:rPr>
          <w:rFonts w:asciiTheme="majorHAnsi" w:hAnsiTheme="majorHAnsi"/>
          <w:noProof/>
          <w:sz w:val="18"/>
          <w:szCs w:val="20"/>
        </w:rPr>
        <w:t xml:space="preserve">, </w:t>
      </w:r>
      <w:r w:rsidRPr="00D9549E">
        <w:rPr>
          <w:rFonts w:asciiTheme="majorHAnsi" w:hAnsiTheme="majorHAnsi"/>
          <w:i/>
          <w:iCs/>
          <w:noProof/>
          <w:sz w:val="18"/>
          <w:szCs w:val="20"/>
        </w:rPr>
        <w:t>7</w:t>
      </w:r>
      <w:r w:rsidRPr="00D9549E">
        <w:rPr>
          <w:rFonts w:asciiTheme="majorHAnsi" w:hAnsiTheme="majorHAnsi"/>
          <w:noProof/>
          <w:sz w:val="18"/>
          <w:szCs w:val="20"/>
        </w:rPr>
        <w:t>(2), 131–136. https://doi.org/10.1177/1468795X07078032</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Kavoura, A., &amp; Bitsani, E. (2014). Methodological Considerations for Qualitative Communication Research. </w:t>
      </w:r>
      <w:r w:rsidRPr="00D9549E">
        <w:rPr>
          <w:rFonts w:asciiTheme="majorHAnsi" w:hAnsiTheme="majorHAnsi"/>
          <w:i/>
          <w:iCs/>
          <w:noProof/>
          <w:sz w:val="18"/>
          <w:szCs w:val="20"/>
        </w:rPr>
        <w:t>Procedia - Social and Behavioral Sciences</w:t>
      </w:r>
      <w:r w:rsidRPr="00D9549E">
        <w:rPr>
          <w:rFonts w:asciiTheme="majorHAnsi" w:hAnsiTheme="majorHAnsi"/>
          <w:noProof/>
          <w:sz w:val="18"/>
          <w:szCs w:val="20"/>
        </w:rPr>
        <w:t xml:space="preserve">, </w:t>
      </w:r>
      <w:r w:rsidRPr="00D9549E">
        <w:rPr>
          <w:rFonts w:asciiTheme="majorHAnsi" w:hAnsiTheme="majorHAnsi"/>
          <w:i/>
          <w:iCs/>
          <w:noProof/>
          <w:sz w:val="18"/>
          <w:szCs w:val="20"/>
        </w:rPr>
        <w:t>147</w:t>
      </w:r>
      <w:r w:rsidRPr="00D9549E">
        <w:rPr>
          <w:rFonts w:asciiTheme="majorHAnsi" w:hAnsiTheme="majorHAnsi"/>
          <w:noProof/>
          <w:sz w:val="18"/>
          <w:szCs w:val="20"/>
        </w:rPr>
        <w:t>, 544–549. https://doi.org/10.1016/j.sbspro.2014.07.156</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Labetubun, M. A. H., Akyuwen, R. J., &amp; Narwadan, T. N. A. (2021). Workshop Kekayaan Intelektual sebagai Upaya Peningkatan Pemahaman dalam Rangka Pengenalan dan Perlindungan Indikasi Geografis Minyak Kayu Putih Namlea Pulau Buru. </w:t>
      </w:r>
      <w:r w:rsidRPr="00D9549E">
        <w:rPr>
          <w:rFonts w:asciiTheme="majorHAnsi" w:hAnsiTheme="majorHAnsi"/>
          <w:i/>
          <w:iCs/>
          <w:noProof/>
          <w:sz w:val="18"/>
          <w:szCs w:val="20"/>
        </w:rPr>
        <w:t>AIWADTHU: Jurnal Pengabdian Hukum</w:t>
      </w:r>
      <w:r w:rsidRPr="00D9549E">
        <w:rPr>
          <w:rFonts w:asciiTheme="majorHAnsi" w:hAnsiTheme="majorHAnsi"/>
          <w:noProof/>
          <w:sz w:val="18"/>
          <w:szCs w:val="20"/>
        </w:rPr>
        <w:t xml:space="preserve">, </w:t>
      </w:r>
      <w:r w:rsidRPr="00D9549E">
        <w:rPr>
          <w:rFonts w:asciiTheme="majorHAnsi" w:hAnsiTheme="majorHAnsi"/>
          <w:i/>
          <w:iCs/>
          <w:noProof/>
          <w:sz w:val="18"/>
          <w:szCs w:val="20"/>
        </w:rPr>
        <w:t>1</w:t>
      </w:r>
      <w:r w:rsidRPr="00D9549E">
        <w:rPr>
          <w:rFonts w:asciiTheme="majorHAnsi" w:hAnsiTheme="majorHAnsi"/>
          <w:noProof/>
          <w:sz w:val="18"/>
          <w:szCs w:val="20"/>
        </w:rPr>
        <w:t>(2). https://doi.org/10.47268/aiwadthu.v1i2.671</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McKenzie, K., Murray, G., Martin, R., Murray, A., &amp; Metcalfe, D. (2021). A quantitative evaluation of a regional Positive Behavioural Support workforce development approach. </w:t>
      </w:r>
      <w:r w:rsidRPr="00D9549E">
        <w:rPr>
          <w:rFonts w:asciiTheme="majorHAnsi" w:hAnsiTheme="majorHAnsi"/>
          <w:i/>
          <w:iCs/>
          <w:noProof/>
          <w:sz w:val="18"/>
          <w:szCs w:val="20"/>
        </w:rPr>
        <w:t>Journal of Applied Research in Intellectual Disabilities</w:t>
      </w:r>
      <w:r w:rsidRPr="00D9549E">
        <w:rPr>
          <w:rFonts w:asciiTheme="majorHAnsi" w:hAnsiTheme="majorHAnsi"/>
          <w:noProof/>
          <w:sz w:val="18"/>
          <w:szCs w:val="20"/>
        </w:rPr>
        <w:t xml:space="preserve">, </w:t>
      </w:r>
      <w:r w:rsidRPr="00D9549E">
        <w:rPr>
          <w:rFonts w:asciiTheme="majorHAnsi" w:hAnsiTheme="majorHAnsi"/>
          <w:i/>
          <w:iCs/>
          <w:noProof/>
          <w:sz w:val="18"/>
          <w:szCs w:val="20"/>
        </w:rPr>
        <w:t>34</w:t>
      </w:r>
      <w:r w:rsidRPr="00D9549E">
        <w:rPr>
          <w:rFonts w:asciiTheme="majorHAnsi" w:hAnsiTheme="majorHAnsi"/>
          <w:noProof/>
          <w:sz w:val="18"/>
          <w:szCs w:val="20"/>
        </w:rPr>
        <w:t>(6). https://doi.org/10.1111/jar.12915</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Merton, R. K. (1957). The Role-Set: Problems in Sociological Theory. </w:t>
      </w:r>
      <w:r w:rsidRPr="00D9549E">
        <w:rPr>
          <w:rFonts w:asciiTheme="majorHAnsi" w:hAnsiTheme="majorHAnsi"/>
          <w:i/>
          <w:iCs/>
          <w:noProof/>
          <w:sz w:val="18"/>
          <w:szCs w:val="20"/>
        </w:rPr>
        <w:t>The British Journal of Sociology</w:t>
      </w:r>
      <w:r w:rsidRPr="00D9549E">
        <w:rPr>
          <w:rFonts w:asciiTheme="majorHAnsi" w:hAnsiTheme="majorHAnsi"/>
          <w:noProof/>
          <w:sz w:val="18"/>
          <w:szCs w:val="20"/>
        </w:rPr>
        <w:t xml:space="preserve">, </w:t>
      </w:r>
      <w:r w:rsidRPr="00D9549E">
        <w:rPr>
          <w:rFonts w:asciiTheme="majorHAnsi" w:hAnsiTheme="majorHAnsi"/>
          <w:i/>
          <w:iCs/>
          <w:noProof/>
          <w:sz w:val="18"/>
          <w:szCs w:val="20"/>
        </w:rPr>
        <w:t>8</w:t>
      </w:r>
      <w:r w:rsidRPr="00D9549E">
        <w:rPr>
          <w:rFonts w:asciiTheme="majorHAnsi" w:hAnsiTheme="majorHAnsi"/>
          <w:noProof/>
          <w:sz w:val="18"/>
          <w:szCs w:val="20"/>
        </w:rPr>
        <w:t>(2), 106. https://doi.org/10.2307/587363</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Miles, M., &amp; Huberman, A. (1994). Miles and Huberman Chapter 2. In </w:t>
      </w:r>
      <w:r w:rsidRPr="00D9549E">
        <w:rPr>
          <w:rFonts w:asciiTheme="majorHAnsi" w:hAnsiTheme="majorHAnsi"/>
          <w:i/>
          <w:iCs/>
          <w:noProof/>
          <w:sz w:val="18"/>
          <w:szCs w:val="20"/>
        </w:rPr>
        <w:t>Qualitative Data Analysis</w:t>
      </w:r>
      <w:r w:rsidRPr="00D9549E">
        <w:rPr>
          <w:rFonts w:asciiTheme="majorHAnsi" w:hAnsiTheme="majorHAnsi"/>
          <w:noProof/>
          <w:sz w:val="18"/>
          <w:szCs w:val="20"/>
        </w:rPr>
        <w:t xml:space="preserve"> (pp. 50–72).</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Muda, I., Vitriano, O., &amp; Handika, R. (2020). Factors Affecting Cooperative Capital Adequacy (A Survey and Empirical Studyof Indonesia’s Pancasila Economic System). </w:t>
      </w:r>
      <w:r w:rsidRPr="00D9549E">
        <w:rPr>
          <w:rFonts w:asciiTheme="majorHAnsi" w:hAnsiTheme="majorHAnsi"/>
          <w:i/>
          <w:iCs/>
          <w:noProof/>
          <w:sz w:val="18"/>
          <w:szCs w:val="20"/>
        </w:rPr>
        <w:t>Humanities &amp; Social Sciences Reviews</w:t>
      </w:r>
      <w:r w:rsidRPr="00D9549E">
        <w:rPr>
          <w:rFonts w:asciiTheme="majorHAnsi" w:hAnsiTheme="majorHAnsi"/>
          <w:noProof/>
          <w:sz w:val="18"/>
          <w:szCs w:val="20"/>
        </w:rPr>
        <w:t xml:space="preserve">, </w:t>
      </w:r>
      <w:r w:rsidRPr="00D9549E">
        <w:rPr>
          <w:rFonts w:asciiTheme="majorHAnsi" w:hAnsiTheme="majorHAnsi"/>
          <w:i/>
          <w:iCs/>
          <w:noProof/>
          <w:sz w:val="18"/>
          <w:szCs w:val="20"/>
        </w:rPr>
        <w:t>8</w:t>
      </w:r>
      <w:r w:rsidRPr="00D9549E">
        <w:rPr>
          <w:rFonts w:asciiTheme="majorHAnsi" w:hAnsiTheme="majorHAnsi"/>
          <w:noProof/>
          <w:sz w:val="18"/>
          <w:szCs w:val="20"/>
        </w:rPr>
        <w:t>(4). https://doi.org/10.18510/hssr.2020.8438</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Najamuddin, M. (2014). STRATEGI MITIGASI EMISI GAS METAN PADA BUDIDAYA PADI SAWAH. </w:t>
      </w:r>
      <w:r w:rsidRPr="00D9549E">
        <w:rPr>
          <w:rFonts w:asciiTheme="majorHAnsi" w:hAnsiTheme="majorHAnsi"/>
          <w:i/>
          <w:iCs/>
          <w:noProof/>
          <w:sz w:val="18"/>
          <w:szCs w:val="20"/>
        </w:rPr>
        <w:t>AGRIBUSINESS JOURNAL</w:t>
      </w:r>
      <w:r w:rsidRPr="00D9549E">
        <w:rPr>
          <w:rFonts w:asciiTheme="majorHAnsi" w:hAnsiTheme="majorHAnsi"/>
          <w:noProof/>
          <w:sz w:val="18"/>
          <w:szCs w:val="20"/>
        </w:rPr>
        <w:t xml:space="preserve">, </w:t>
      </w:r>
      <w:r w:rsidRPr="00D9549E">
        <w:rPr>
          <w:rFonts w:asciiTheme="majorHAnsi" w:hAnsiTheme="majorHAnsi"/>
          <w:i/>
          <w:iCs/>
          <w:noProof/>
          <w:sz w:val="18"/>
          <w:szCs w:val="20"/>
        </w:rPr>
        <w:t>8</w:t>
      </w:r>
      <w:r w:rsidRPr="00D9549E">
        <w:rPr>
          <w:rFonts w:asciiTheme="majorHAnsi" w:hAnsiTheme="majorHAnsi"/>
          <w:noProof/>
          <w:sz w:val="18"/>
          <w:szCs w:val="20"/>
        </w:rPr>
        <w:t>(2). https://doi.org/10.15408/aj.v8i2.5136</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Nendissa, D. R., Olviana, T., &amp; Kapioru, C. (2020). The Impact of the Covid-19 Pandemic on Price Disparities aAnd Fluctuations Of Shallots In Traditional Markets. </w:t>
      </w:r>
      <w:r w:rsidRPr="00D9549E">
        <w:rPr>
          <w:rFonts w:asciiTheme="majorHAnsi" w:hAnsiTheme="majorHAnsi"/>
          <w:i/>
          <w:iCs/>
          <w:noProof/>
          <w:sz w:val="18"/>
          <w:szCs w:val="20"/>
        </w:rPr>
        <w:t>Russian Journal of Agricultural and Socio-Economic Sciences</w:t>
      </w:r>
      <w:r w:rsidRPr="00D9549E">
        <w:rPr>
          <w:rFonts w:asciiTheme="majorHAnsi" w:hAnsiTheme="majorHAnsi"/>
          <w:noProof/>
          <w:sz w:val="18"/>
          <w:szCs w:val="20"/>
        </w:rPr>
        <w:t xml:space="preserve">, </w:t>
      </w:r>
      <w:r w:rsidRPr="00D9549E">
        <w:rPr>
          <w:rFonts w:asciiTheme="majorHAnsi" w:hAnsiTheme="majorHAnsi"/>
          <w:i/>
          <w:iCs/>
          <w:noProof/>
          <w:sz w:val="18"/>
          <w:szCs w:val="20"/>
        </w:rPr>
        <w:t>103</w:t>
      </w:r>
      <w:r w:rsidRPr="00D9549E">
        <w:rPr>
          <w:rFonts w:asciiTheme="majorHAnsi" w:hAnsiTheme="majorHAnsi"/>
          <w:noProof/>
          <w:sz w:val="18"/>
          <w:szCs w:val="20"/>
        </w:rPr>
        <w:t>(7). https://doi.org/10.18551/rjoas.2020-07.14</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Ni Nengah Dea Ayu Ferina. (2021). Strategi Adaptasi Nelayan di Kenjeran, Kecamatan Sukolilo Larangan, Kabupaten Surabaya, Provinsi Jawa Timur dalam Menghadapi Ekologinya. </w:t>
      </w:r>
      <w:r w:rsidRPr="00D9549E">
        <w:rPr>
          <w:rFonts w:asciiTheme="majorHAnsi" w:hAnsiTheme="majorHAnsi"/>
          <w:i/>
          <w:iCs/>
          <w:noProof/>
          <w:sz w:val="18"/>
          <w:szCs w:val="20"/>
        </w:rPr>
        <w:t>Jurnal Indonesia Sosial Teknologi</w:t>
      </w:r>
      <w:r w:rsidRPr="00D9549E">
        <w:rPr>
          <w:rFonts w:asciiTheme="majorHAnsi" w:hAnsiTheme="majorHAnsi"/>
          <w:noProof/>
          <w:sz w:val="18"/>
          <w:szCs w:val="20"/>
        </w:rPr>
        <w:t xml:space="preserve">, </w:t>
      </w:r>
      <w:r w:rsidRPr="00D9549E">
        <w:rPr>
          <w:rFonts w:asciiTheme="majorHAnsi" w:hAnsiTheme="majorHAnsi"/>
          <w:i/>
          <w:iCs/>
          <w:noProof/>
          <w:sz w:val="18"/>
          <w:szCs w:val="20"/>
        </w:rPr>
        <w:t>2</w:t>
      </w:r>
      <w:r w:rsidRPr="00D9549E">
        <w:rPr>
          <w:rFonts w:asciiTheme="majorHAnsi" w:hAnsiTheme="majorHAnsi"/>
          <w:noProof/>
          <w:sz w:val="18"/>
          <w:szCs w:val="20"/>
        </w:rPr>
        <w:t>(1). https://doi.org/10.36418/jist.v2i1.60</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Noviana, S. N. (2020). Pengaruh Upah Minimum Regional dan Rasio Infrastruktur Terhadapkesenjangan Distribusi Pendapatan di Indonesia. </w:t>
      </w:r>
      <w:r w:rsidRPr="00D9549E">
        <w:rPr>
          <w:rFonts w:asciiTheme="majorHAnsi" w:hAnsiTheme="majorHAnsi"/>
          <w:i/>
          <w:iCs/>
          <w:noProof/>
          <w:sz w:val="18"/>
          <w:szCs w:val="20"/>
        </w:rPr>
        <w:t>Jurnal Akuntansi AKTIVA</w:t>
      </w:r>
      <w:r w:rsidRPr="00D9549E">
        <w:rPr>
          <w:rFonts w:asciiTheme="majorHAnsi" w:hAnsiTheme="majorHAnsi"/>
          <w:noProof/>
          <w:sz w:val="18"/>
          <w:szCs w:val="20"/>
        </w:rPr>
        <w:t xml:space="preserve">, </w:t>
      </w:r>
      <w:r w:rsidRPr="00D9549E">
        <w:rPr>
          <w:rFonts w:asciiTheme="majorHAnsi" w:hAnsiTheme="majorHAnsi"/>
          <w:i/>
          <w:iCs/>
          <w:noProof/>
          <w:sz w:val="18"/>
          <w:szCs w:val="20"/>
        </w:rPr>
        <w:t>1</w:t>
      </w:r>
      <w:r w:rsidRPr="00D9549E">
        <w:rPr>
          <w:rFonts w:asciiTheme="majorHAnsi" w:hAnsiTheme="majorHAnsi"/>
          <w:noProof/>
          <w:sz w:val="18"/>
          <w:szCs w:val="20"/>
        </w:rPr>
        <w:t>(2). https://doi.org/10.24127/akuntansi.v1i2.382</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Orchard, S. E., Stringer, L. C., &amp; Manyatsi, A. M. (2017). Farmer Perceptions and Responses to Soil Degradation in Swaziland. </w:t>
      </w:r>
      <w:r w:rsidRPr="00D9549E">
        <w:rPr>
          <w:rFonts w:asciiTheme="majorHAnsi" w:hAnsiTheme="majorHAnsi"/>
          <w:i/>
          <w:iCs/>
          <w:noProof/>
          <w:sz w:val="18"/>
          <w:szCs w:val="20"/>
        </w:rPr>
        <w:t>Land Degradation and Development</w:t>
      </w:r>
      <w:r w:rsidRPr="00D9549E">
        <w:rPr>
          <w:rFonts w:asciiTheme="majorHAnsi" w:hAnsiTheme="majorHAnsi"/>
          <w:noProof/>
          <w:sz w:val="18"/>
          <w:szCs w:val="20"/>
        </w:rPr>
        <w:t xml:space="preserve">, </w:t>
      </w:r>
      <w:r w:rsidRPr="00D9549E">
        <w:rPr>
          <w:rFonts w:asciiTheme="majorHAnsi" w:hAnsiTheme="majorHAnsi"/>
          <w:i/>
          <w:iCs/>
          <w:noProof/>
          <w:sz w:val="18"/>
          <w:szCs w:val="20"/>
        </w:rPr>
        <w:t>28</w:t>
      </w:r>
      <w:r w:rsidRPr="00D9549E">
        <w:rPr>
          <w:rFonts w:asciiTheme="majorHAnsi" w:hAnsiTheme="majorHAnsi"/>
          <w:noProof/>
          <w:sz w:val="18"/>
          <w:szCs w:val="20"/>
        </w:rPr>
        <w:t>(1). https://doi.org/10.1002/ldr.2595</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Panikar, S., Shoba, G., Arun, M., Sahayarayan, J. J., Usha Raja </w:t>
      </w:r>
      <w:r w:rsidRPr="00D9549E">
        <w:rPr>
          <w:rFonts w:asciiTheme="majorHAnsi" w:hAnsiTheme="majorHAnsi"/>
          <w:noProof/>
          <w:sz w:val="18"/>
          <w:szCs w:val="20"/>
        </w:rPr>
        <w:t xml:space="preserve">Nanthini, A., Chinnathambi, A., Alharbi, S. A., Nasif, O., &amp; Kim, H. J. (2021). Essential oils as an effective alternative for the treatment of COVID-19: Molecular interaction analysis of protease (Mpro) with pharmacokinetics and toxicological properties. </w:t>
      </w:r>
      <w:r w:rsidRPr="00D9549E">
        <w:rPr>
          <w:rFonts w:asciiTheme="majorHAnsi" w:hAnsiTheme="majorHAnsi"/>
          <w:i/>
          <w:iCs/>
          <w:noProof/>
          <w:sz w:val="18"/>
          <w:szCs w:val="20"/>
        </w:rPr>
        <w:t>Journal of Infection and Public Health</w:t>
      </w:r>
      <w:r w:rsidRPr="00D9549E">
        <w:rPr>
          <w:rFonts w:asciiTheme="majorHAnsi" w:hAnsiTheme="majorHAnsi"/>
          <w:noProof/>
          <w:sz w:val="18"/>
          <w:szCs w:val="20"/>
        </w:rPr>
        <w:t xml:space="preserve">, </w:t>
      </w:r>
      <w:r w:rsidRPr="00D9549E">
        <w:rPr>
          <w:rFonts w:asciiTheme="majorHAnsi" w:hAnsiTheme="majorHAnsi"/>
          <w:i/>
          <w:iCs/>
          <w:noProof/>
          <w:sz w:val="18"/>
          <w:szCs w:val="20"/>
        </w:rPr>
        <w:t>14</w:t>
      </w:r>
      <w:r w:rsidRPr="00D9549E">
        <w:rPr>
          <w:rFonts w:asciiTheme="majorHAnsi" w:hAnsiTheme="majorHAnsi"/>
          <w:noProof/>
          <w:sz w:val="18"/>
          <w:szCs w:val="20"/>
        </w:rPr>
        <w:t>(5). https://doi.org/10.1016/j.jiph.2020.12.037</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Pasaribu, G., Winarni, I., Gusti, R. E. P., Maharani, R., Fernandes, A., Harianja, A. H., Saragih, G. S., Turjaman, M., Tampubolon, A. P., Kuspradini, H., Lukmandaru, G., Njurumana, G. N., Sukito, A., Aswandi, A., &amp; Kholibrina, C. R. (2021). Current challenges and prospects of indonesian non-timber forest products (Ntfps): A review. </w:t>
      </w:r>
      <w:r w:rsidRPr="00D9549E">
        <w:rPr>
          <w:rFonts w:asciiTheme="majorHAnsi" w:hAnsiTheme="majorHAnsi"/>
          <w:i/>
          <w:iCs/>
          <w:noProof/>
          <w:sz w:val="18"/>
          <w:szCs w:val="20"/>
        </w:rPr>
        <w:t>Forests</w:t>
      </w:r>
      <w:r w:rsidRPr="00D9549E">
        <w:rPr>
          <w:rFonts w:asciiTheme="majorHAnsi" w:hAnsiTheme="majorHAnsi"/>
          <w:noProof/>
          <w:sz w:val="18"/>
          <w:szCs w:val="20"/>
        </w:rPr>
        <w:t xml:space="preserve">, </w:t>
      </w:r>
      <w:r w:rsidRPr="00D9549E">
        <w:rPr>
          <w:rFonts w:asciiTheme="majorHAnsi" w:hAnsiTheme="majorHAnsi"/>
          <w:i/>
          <w:iCs/>
          <w:noProof/>
          <w:sz w:val="18"/>
          <w:szCs w:val="20"/>
        </w:rPr>
        <w:t>12</w:t>
      </w:r>
      <w:r w:rsidRPr="00D9549E">
        <w:rPr>
          <w:rFonts w:asciiTheme="majorHAnsi" w:hAnsiTheme="majorHAnsi"/>
          <w:noProof/>
          <w:sz w:val="18"/>
          <w:szCs w:val="20"/>
        </w:rPr>
        <w:t>(12). https://doi.org/10.3390/f12121743</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Rasdiana, F. Z., Novelina, N., Aisman, A., Hari, P. D., &amp; Nazir, N. (2021). Distribution of Hand Soap with the Aroma of Eucalyptus for People Affected By the Covid-19 Pandemic: A Community Service Report. </w:t>
      </w:r>
      <w:r w:rsidRPr="00D9549E">
        <w:rPr>
          <w:rFonts w:asciiTheme="majorHAnsi" w:hAnsiTheme="majorHAnsi"/>
          <w:i/>
          <w:iCs/>
          <w:noProof/>
          <w:sz w:val="18"/>
          <w:szCs w:val="20"/>
        </w:rPr>
        <w:t>Andalasian International Journal of Social and Entrepreneurial Development</w:t>
      </w:r>
      <w:r w:rsidRPr="00D9549E">
        <w:rPr>
          <w:rFonts w:asciiTheme="majorHAnsi" w:hAnsiTheme="majorHAnsi"/>
          <w:noProof/>
          <w:sz w:val="18"/>
          <w:szCs w:val="20"/>
        </w:rPr>
        <w:t xml:space="preserve">, </w:t>
      </w:r>
      <w:r w:rsidRPr="00D9549E">
        <w:rPr>
          <w:rFonts w:asciiTheme="majorHAnsi" w:hAnsiTheme="majorHAnsi"/>
          <w:i/>
          <w:iCs/>
          <w:noProof/>
          <w:sz w:val="18"/>
          <w:szCs w:val="20"/>
        </w:rPr>
        <w:t>1</w:t>
      </w:r>
      <w:r w:rsidRPr="00D9549E">
        <w:rPr>
          <w:rFonts w:asciiTheme="majorHAnsi" w:hAnsiTheme="majorHAnsi"/>
          <w:noProof/>
          <w:sz w:val="18"/>
          <w:szCs w:val="20"/>
        </w:rPr>
        <w:t>(01). https://doi.org/10.25077/aijsed.v1.i01.8-10.2021</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Rose, Y., Duarte, J. M., Lowe, R., Segura, J., Bi, C., Bhikadiya, C., Chen, L., Rose, A. S., Bittrich, S., Burley, S. K., &amp; Westbrook, J. D. (2021). RCSB Protein Data Bank : Architectural Advances Towards Integrated Searching and Efficient Access to Macromolecular Structure Data from the PDB Archive. </w:t>
      </w:r>
      <w:r w:rsidRPr="00D9549E">
        <w:rPr>
          <w:rFonts w:asciiTheme="majorHAnsi" w:hAnsiTheme="majorHAnsi"/>
          <w:i/>
          <w:iCs/>
          <w:noProof/>
          <w:sz w:val="18"/>
          <w:szCs w:val="20"/>
        </w:rPr>
        <w:t>Journal of Molecular Biology</w:t>
      </w:r>
      <w:r w:rsidRPr="00D9549E">
        <w:rPr>
          <w:rFonts w:asciiTheme="majorHAnsi" w:hAnsiTheme="majorHAnsi"/>
          <w:noProof/>
          <w:sz w:val="18"/>
          <w:szCs w:val="20"/>
        </w:rPr>
        <w:t xml:space="preserve">, </w:t>
      </w:r>
      <w:r w:rsidRPr="00D9549E">
        <w:rPr>
          <w:rFonts w:asciiTheme="majorHAnsi" w:hAnsiTheme="majorHAnsi"/>
          <w:i/>
          <w:iCs/>
          <w:noProof/>
          <w:sz w:val="18"/>
          <w:szCs w:val="20"/>
        </w:rPr>
        <w:t>433</w:t>
      </w:r>
      <w:r w:rsidRPr="00D9549E">
        <w:rPr>
          <w:rFonts w:asciiTheme="majorHAnsi" w:hAnsiTheme="majorHAnsi"/>
          <w:noProof/>
          <w:sz w:val="18"/>
          <w:szCs w:val="20"/>
        </w:rPr>
        <w:t>(11), 166704. https://doi.org/10.1016/j.jmb.2020.11.003</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Santra, S. (2021). Contingent workforce management: a holistic overview. </w:t>
      </w:r>
      <w:r w:rsidRPr="00D9549E">
        <w:rPr>
          <w:rFonts w:asciiTheme="majorHAnsi" w:hAnsiTheme="majorHAnsi"/>
          <w:i/>
          <w:iCs/>
          <w:noProof/>
          <w:sz w:val="18"/>
          <w:szCs w:val="20"/>
        </w:rPr>
        <w:t>Strategic HR Review</w:t>
      </w:r>
      <w:r w:rsidRPr="00D9549E">
        <w:rPr>
          <w:rFonts w:asciiTheme="majorHAnsi" w:hAnsiTheme="majorHAnsi"/>
          <w:noProof/>
          <w:sz w:val="18"/>
          <w:szCs w:val="20"/>
        </w:rPr>
        <w:t xml:space="preserve">, </w:t>
      </w:r>
      <w:r w:rsidRPr="00D9549E">
        <w:rPr>
          <w:rFonts w:asciiTheme="majorHAnsi" w:hAnsiTheme="majorHAnsi"/>
          <w:i/>
          <w:iCs/>
          <w:noProof/>
          <w:sz w:val="18"/>
          <w:szCs w:val="20"/>
        </w:rPr>
        <w:t>20</w:t>
      </w:r>
      <w:r w:rsidRPr="00D9549E">
        <w:rPr>
          <w:rFonts w:asciiTheme="majorHAnsi" w:hAnsiTheme="majorHAnsi"/>
          <w:noProof/>
          <w:sz w:val="18"/>
          <w:szCs w:val="20"/>
        </w:rPr>
        <w:t>(6). https://doi.org/10.1108/shr-08-2021-0035</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Sari, D. R., Arianti, N. N., &amp; Priyono, B. S. (2021). The Analysis of Plantation Female Worker Income Determinant. </w:t>
      </w:r>
      <w:r w:rsidRPr="00D9549E">
        <w:rPr>
          <w:rFonts w:asciiTheme="majorHAnsi" w:hAnsiTheme="majorHAnsi"/>
          <w:i/>
          <w:iCs/>
          <w:noProof/>
          <w:sz w:val="18"/>
          <w:szCs w:val="20"/>
        </w:rPr>
        <w:t>Agric</w:t>
      </w:r>
      <w:r w:rsidRPr="00D9549E">
        <w:rPr>
          <w:rFonts w:asciiTheme="majorHAnsi" w:hAnsiTheme="majorHAnsi"/>
          <w:noProof/>
          <w:sz w:val="18"/>
          <w:szCs w:val="20"/>
        </w:rPr>
        <w:t xml:space="preserve">, </w:t>
      </w:r>
      <w:r w:rsidRPr="00D9549E">
        <w:rPr>
          <w:rFonts w:asciiTheme="majorHAnsi" w:hAnsiTheme="majorHAnsi"/>
          <w:i/>
          <w:iCs/>
          <w:noProof/>
          <w:sz w:val="18"/>
          <w:szCs w:val="20"/>
        </w:rPr>
        <w:t>33</w:t>
      </w:r>
      <w:r w:rsidRPr="00D9549E">
        <w:rPr>
          <w:rFonts w:asciiTheme="majorHAnsi" w:hAnsiTheme="majorHAnsi"/>
          <w:noProof/>
          <w:sz w:val="18"/>
          <w:szCs w:val="20"/>
        </w:rPr>
        <w:t>(1). https://doi.org/10.24246/agric.2021.v33.i1.p29-42</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Sopamena, J. F., &amp; Pattiselanno, A. E. (2020). The Role Changes In iDomestic and Public Spheres of Farmer Women Through Household Livelihood Strategy in Fatmite Village, Namrole District, South Buru Regency. </w:t>
      </w:r>
      <w:r w:rsidRPr="00D9549E">
        <w:rPr>
          <w:rFonts w:asciiTheme="majorHAnsi" w:hAnsiTheme="majorHAnsi"/>
          <w:i/>
          <w:iCs/>
          <w:noProof/>
          <w:sz w:val="18"/>
          <w:szCs w:val="20"/>
        </w:rPr>
        <w:t>Agric</w:t>
      </w:r>
      <w:r w:rsidRPr="00D9549E">
        <w:rPr>
          <w:rFonts w:asciiTheme="majorHAnsi" w:hAnsiTheme="majorHAnsi"/>
          <w:noProof/>
          <w:sz w:val="18"/>
          <w:szCs w:val="20"/>
        </w:rPr>
        <w:t xml:space="preserve">, </w:t>
      </w:r>
      <w:r w:rsidRPr="00D9549E">
        <w:rPr>
          <w:rFonts w:asciiTheme="majorHAnsi" w:hAnsiTheme="majorHAnsi"/>
          <w:i/>
          <w:iCs/>
          <w:noProof/>
          <w:sz w:val="18"/>
          <w:szCs w:val="20"/>
        </w:rPr>
        <w:t>32</w:t>
      </w:r>
      <w:r w:rsidRPr="00D9549E">
        <w:rPr>
          <w:rFonts w:asciiTheme="majorHAnsi" w:hAnsiTheme="majorHAnsi"/>
          <w:noProof/>
          <w:sz w:val="18"/>
          <w:szCs w:val="20"/>
        </w:rPr>
        <w:t>(1). https://doi.org/10.24246/agric.2020.v32.i1.p51-64</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Supriyati, S. (2016). Dinamika Ekonomi Ketenagakerjaan Pertanian: Permasalahan Dan Kebijakan Strategis Pengembangan. </w:t>
      </w:r>
      <w:r w:rsidRPr="00D9549E">
        <w:rPr>
          <w:rFonts w:asciiTheme="majorHAnsi" w:hAnsiTheme="majorHAnsi"/>
          <w:i/>
          <w:iCs/>
          <w:noProof/>
          <w:sz w:val="18"/>
          <w:szCs w:val="20"/>
        </w:rPr>
        <w:t>Analisis Kebijakan Pertanian</w:t>
      </w:r>
      <w:r w:rsidRPr="00D9549E">
        <w:rPr>
          <w:rFonts w:asciiTheme="majorHAnsi" w:hAnsiTheme="majorHAnsi"/>
          <w:noProof/>
          <w:sz w:val="18"/>
          <w:szCs w:val="20"/>
        </w:rPr>
        <w:t xml:space="preserve">, </w:t>
      </w:r>
      <w:r w:rsidRPr="00D9549E">
        <w:rPr>
          <w:rFonts w:asciiTheme="majorHAnsi" w:hAnsiTheme="majorHAnsi"/>
          <w:i/>
          <w:iCs/>
          <w:noProof/>
          <w:sz w:val="18"/>
          <w:szCs w:val="20"/>
        </w:rPr>
        <w:t>8</w:t>
      </w:r>
      <w:r w:rsidRPr="00D9549E">
        <w:rPr>
          <w:rFonts w:asciiTheme="majorHAnsi" w:hAnsiTheme="majorHAnsi"/>
          <w:noProof/>
          <w:sz w:val="18"/>
          <w:szCs w:val="20"/>
        </w:rPr>
        <w:t>(1), 49. https://doi.org/10.21082/akp.v8n1.2010.49-65</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Vong, S., Ros, B., Morgan, R., &amp; Theobald, S. (2019). Why are fewer women rising to the top? A life history gender analysis of Cambodia’s health workforce. </w:t>
      </w:r>
      <w:r w:rsidRPr="00D9549E">
        <w:rPr>
          <w:rFonts w:asciiTheme="majorHAnsi" w:hAnsiTheme="majorHAnsi"/>
          <w:i/>
          <w:iCs/>
          <w:noProof/>
          <w:sz w:val="18"/>
          <w:szCs w:val="20"/>
        </w:rPr>
        <w:t>BMC Health Services Research</w:t>
      </w:r>
      <w:r w:rsidRPr="00D9549E">
        <w:rPr>
          <w:rFonts w:asciiTheme="majorHAnsi" w:hAnsiTheme="majorHAnsi"/>
          <w:noProof/>
          <w:sz w:val="18"/>
          <w:szCs w:val="20"/>
        </w:rPr>
        <w:t xml:space="preserve">, </w:t>
      </w:r>
      <w:r w:rsidRPr="00D9549E">
        <w:rPr>
          <w:rFonts w:asciiTheme="majorHAnsi" w:hAnsiTheme="majorHAnsi"/>
          <w:i/>
          <w:iCs/>
          <w:noProof/>
          <w:sz w:val="18"/>
          <w:szCs w:val="20"/>
        </w:rPr>
        <w:t>19</w:t>
      </w:r>
      <w:r w:rsidRPr="00D9549E">
        <w:rPr>
          <w:rFonts w:asciiTheme="majorHAnsi" w:hAnsiTheme="majorHAnsi"/>
          <w:noProof/>
          <w:sz w:val="18"/>
          <w:szCs w:val="20"/>
        </w:rPr>
        <w:t>(1). https://doi.org/10.1186/s12913-019-4424-3</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Waemesse, G. W., Thenu, S. F. W., &amp; Leatemia, E. D. (2020). Kontribusi Industri Pengolahan Minyak Kayu Putih Terhadap Pendapatan Rumahtangga di Desa Wamana Baru Kecamatan Fena Leisela Kabupaten Buru. </w:t>
      </w:r>
      <w:r w:rsidRPr="00D9549E">
        <w:rPr>
          <w:rFonts w:asciiTheme="majorHAnsi" w:hAnsiTheme="majorHAnsi"/>
          <w:i/>
          <w:iCs/>
          <w:noProof/>
          <w:sz w:val="18"/>
          <w:szCs w:val="20"/>
        </w:rPr>
        <w:t>Agrilan : Jurnal Agribisnis Kepulauan</w:t>
      </w:r>
      <w:r w:rsidRPr="00D9549E">
        <w:rPr>
          <w:rFonts w:asciiTheme="majorHAnsi" w:hAnsiTheme="majorHAnsi"/>
          <w:noProof/>
          <w:sz w:val="18"/>
          <w:szCs w:val="20"/>
        </w:rPr>
        <w:t xml:space="preserve">, </w:t>
      </w:r>
      <w:r w:rsidRPr="00D9549E">
        <w:rPr>
          <w:rFonts w:asciiTheme="majorHAnsi" w:hAnsiTheme="majorHAnsi"/>
          <w:i/>
          <w:iCs/>
          <w:noProof/>
          <w:sz w:val="18"/>
          <w:szCs w:val="20"/>
        </w:rPr>
        <w:t>8</w:t>
      </w:r>
      <w:r w:rsidRPr="00D9549E">
        <w:rPr>
          <w:rFonts w:asciiTheme="majorHAnsi" w:hAnsiTheme="majorHAnsi"/>
          <w:noProof/>
          <w:sz w:val="18"/>
          <w:szCs w:val="20"/>
        </w:rPr>
        <w:t>(1). https://doi.org/10.30598/agrilan.v8i1.947</w:t>
      </w:r>
    </w:p>
    <w:p w:rsidR="00F60E13" w:rsidRPr="00D9549E" w:rsidRDefault="00F60E13" w:rsidP="00D9549E">
      <w:pPr>
        <w:widowControl w:val="0"/>
        <w:autoSpaceDE w:val="0"/>
        <w:autoSpaceDN w:val="0"/>
        <w:adjustRightInd w:val="0"/>
        <w:spacing w:after="0" w:line="240" w:lineRule="auto"/>
        <w:ind w:left="482" w:hanging="482"/>
        <w:jc w:val="both"/>
        <w:rPr>
          <w:rFonts w:asciiTheme="majorHAnsi" w:hAnsiTheme="majorHAnsi"/>
          <w:noProof/>
          <w:sz w:val="18"/>
          <w:szCs w:val="20"/>
        </w:rPr>
      </w:pPr>
      <w:r w:rsidRPr="00D9549E">
        <w:rPr>
          <w:rFonts w:asciiTheme="majorHAnsi" w:hAnsiTheme="majorHAnsi"/>
          <w:noProof/>
          <w:sz w:val="18"/>
          <w:szCs w:val="20"/>
        </w:rPr>
        <w:t xml:space="preserve">Yaya, R., Irfana, S. S., Riyadh, H. A., &amp; Sofyani, H. (2021). The Influence of Public Welfare and Audit Findings on Audit Opinion: Empirical Evidence from Provincial Data in Indonesia. </w:t>
      </w:r>
      <w:r w:rsidRPr="00D9549E">
        <w:rPr>
          <w:rFonts w:asciiTheme="majorHAnsi" w:hAnsiTheme="majorHAnsi"/>
          <w:i/>
          <w:iCs/>
          <w:noProof/>
          <w:sz w:val="18"/>
          <w:szCs w:val="20"/>
        </w:rPr>
        <w:t>Journal of Asian Finance, Economics and Business</w:t>
      </w:r>
      <w:r w:rsidRPr="00D9549E">
        <w:rPr>
          <w:rFonts w:asciiTheme="majorHAnsi" w:hAnsiTheme="majorHAnsi"/>
          <w:noProof/>
          <w:sz w:val="18"/>
          <w:szCs w:val="20"/>
        </w:rPr>
        <w:t xml:space="preserve">, </w:t>
      </w:r>
      <w:r w:rsidRPr="00D9549E">
        <w:rPr>
          <w:rFonts w:asciiTheme="majorHAnsi" w:hAnsiTheme="majorHAnsi"/>
          <w:i/>
          <w:iCs/>
          <w:noProof/>
          <w:sz w:val="18"/>
          <w:szCs w:val="20"/>
        </w:rPr>
        <w:t>8</w:t>
      </w:r>
      <w:r w:rsidRPr="00D9549E">
        <w:rPr>
          <w:rFonts w:asciiTheme="majorHAnsi" w:hAnsiTheme="majorHAnsi"/>
          <w:noProof/>
          <w:sz w:val="18"/>
          <w:szCs w:val="20"/>
        </w:rPr>
        <w:t>(4). https://doi.org/10.13106/jafeb.2021.vol8.no4.0181</w:t>
      </w:r>
    </w:p>
    <w:p w:rsidR="00F60E13" w:rsidRDefault="00F60E13" w:rsidP="00D9549E">
      <w:pPr>
        <w:spacing w:after="0" w:line="240" w:lineRule="auto"/>
        <w:ind w:firstLine="360"/>
        <w:jc w:val="both"/>
        <w:rPr>
          <w:sz w:val="24"/>
          <w:szCs w:val="24"/>
        </w:rPr>
      </w:pPr>
      <w:r w:rsidRPr="00D9549E">
        <w:rPr>
          <w:rFonts w:asciiTheme="majorHAnsi" w:hAnsiTheme="majorHAnsi"/>
          <w:sz w:val="18"/>
          <w:szCs w:val="20"/>
        </w:rPr>
        <w:fldChar w:fldCharType="end"/>
      </w:r>
    </w:p>
    <w:p w:rsidR="00F60E13" w:rsidRDefault="00F60E13" w:rsidP="00F60E13">
      <w:pPr>
        <w:spacing w:after="0" w:line="240" w:lineRule="auto"/>
        <w:ind w:firstLine="360"/>
        <w:jc w:val="both"/>
        <w:rPr>
          <w:sz w:val="24"/>
          <w:szCs w:val="24"/>
        </w:rPr>
      </w:pPr>
    </w:p>
    <w:p w:rsidR="00F60E13" w:rsidRDefault="00F60E13" w:rsidP="00F60E13">
      <w:pPr>
        <w:spacing w:after="0" w:line="240" w:lineRule="auto"/>
        <w:ind w:firstLine="360"/>
        <w:jc w:val="both"/>
        <w:rPr>
          <w:sz w:val="24"/>
          <w:szCs w:val="24"/>
        </w:rPr>
      </w:pPr>
    </w:p>
    <w:p w:rsidR="00F87797" w:rsidRPr="00F87797" w:rsidRDefault="00F87797" w:rsidP="00F87797">
      <w:pPr>
        <w:autoSpaceDE w:val="0"/>
        <w:autoSpaceDN w:val="0"/>
        <w:adjustRightInd w:val="0"/>
        <w:spacing w:after="0" w:line="240" w:lineRule="auto"/>
        <w:ind w:left="450" w:hanging="450"/>
        <w:jc w:val="both"/>
        <w:rPr>
          <w:rFonts w:asciiTheme="majorHAnsi" w:hAnsiTheme="majorHAnsi"/>
          <w:sz w:val="20"/>
          <w:szCs w:val="20"/>
        </w:rPr>
      </w:pPr>
    </w:p>
    <w:p w:rsidR="00F87797" w:rsidRPr="00F87797" w:rsidRDefault="00F87797" w:rsidP="00F87797">
      <w:pPr>
        <w:autoSpaceDE w:val="0"/>
        <w:autoSpaceDN w:val="0"/>
        <w:adjustRightInd w:val="0"/>
        <w:spacing w:after="0" w:line="240" w:lineRule="auto"/>
        <w:ind w:left="450" w:hanging="450"/>
        <w:jc w:val="both"/>
        <w:rPr>
          <w:rFonts w:asciiTheme="majorHAnsi" w:hAnsiTheme="majorHAnsi"/>
          <w:sz w:val="20"/>
          <w:szCs w:val="20"/>
        </w:rPr>
      </w:pPr>
    </w:p>
    <w:p w:rsidR="008747E6" w:rsidRPr="000E7CAB" w:rsidRDefault="008747E6" w:rsidP="000E7CAB">
      <w:pPr>
        <w:autoSpaceDE w:val="0"/>
        <w:autoSpaceDN w:val="0"/>
        <w:adjustRightInd w:val="0"/>
        <w:spacing w:after="0" w:line="240" w:lineRule="auto"/>
        <w:ind w:left="450" w:hanging="450"/>
        <w:jc w:val="both"/>
        <w:rPr>
          <w:sz w:val="18"/>
          <w:szCs w:val="18"/>
        </w:rPr>
      </w:pPr>
    </w:p>
    <w:p w:rsidR="006C6F09" w:rsidRPr="00D22618" w:rsidRDefault="006C6F09" w:rsidP="008747E6">
      <w:pPr>
        <w:pStyle w:val="ReferenceText"/>
        <w:ind w:left="0" w:firstLine="0"/>
        <w:rPr>
          <w:rFonts w:ascii="Cambria" w:eastAsia="Calibri" w:hAnsi="Cambria"/>
          <w:sz w:val="18"/>
          <w:szCs w:val="18"/>
          <w:lang w:val="id-ID"/>
        </w:rPr>
      </w:pPr>
    </w:p>
    <w:sectPr w:rsidR="006C6F09" w:rsidRPr="00D22618" w:rsidSect="002C126B">
      <w:headerReference w:type="first" r:id="rId14"/>
      <w:footerReference w:type="first" r:id="rId15"/>
      <w:type w:val="continuous"/>
      <w:pgSz w:w="11907" w:h="16840" w:code="9"/>
      <w:pgMar w:top="1151" w:right="1151" w:bottom="1151" w:left="450" w:header="709" w:footer="709" w:gutter="720"/>
      <w:cols w:num="2" w:space="44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258" w:rsidRDefault="00364258" w:rsidP="00FA4148">
      <w:pPr>
        <w:spacing w:after="0" w:line="240" w:lineRule="auto"/>
      </w:pPr>
      <w:r>
        <w:separator/>
      </w:r>
    </w:p>
  </w:endnote>
  <w:endnote w:type="continuationSeparator" w:id="0">
    <w:p w:rsidR="00364258" w:rsidRDefault="00364258" w:rsidP="00FA4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TimesNewRomanPSMT">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332138"/>
      <w:docPartObj>
        <w:docPartGallery w:val="Page Numbers (Bottom of Page)"/>
        <w:docPartUnique/>
      </w:docPartObj>
    </w:sdtPr>
    <w:sdtEndPr>
      <w:rPr>
        <w:rFonts w:asciiTheme="majorHAnsi" w:hAnsiTheme="majorHAnsi"/>
        <w:sz w:val="18"/>
      </w:rPr>
    </w:sdtEndPr>
    <w:sdtContent>
      <w:p w:rsidR="0069456B" w:rsidRPr="00FA5179" w:rsidRDefault="0069456B">
        <w:pPr>
          <w:pStyle w:val="Footer"/>
          <w:rPr>
            <w:rFonts w:asciiTheme="majorHAnsi" w:hAnsiTheme="majorHAnsi"/>
            <w:sz w:val="18"/>
          </w:rPr>
        </w:pPr>
        <w:r w:rsidRPr="00FA5179">
          <w:rPr>
            <w:rFonts w:asciiTheme="majorHAnsi" w:hAnsiTheme="majorHAnsi"/>
            <w:sz w:val="18"/>
          </w:rPr>
          <w:fldChar w:fldCharType="begin"/>
        </w:r>
        <w:r w:rsidRPr="00FA5179">
          <w:rPr>
            <w:rFonts w:asciiTheme="majorHAnsi" w:hAnsiTheme="majorHAnsi"/>
            <w:sz w:val="18"/>
          </w:rPr>
          <w:instrText xml:space="preserve"> PAGE   \* MERGEFORMAT </w:instrText>
        </w:r>
        <w:r w:rsidRPr="00FA5179">
          <w:rPr>
            <w:rFonts w:asciiTheme="majorHAnsi" w:hAnsiTheme="majorHAnsi"/>
            <w:sz w:val="18"/>
          </w:rPr>
          <w:fldChar w:fldCharType="separate"/>
        </w:r>
        <w:r w:rsidR="00CE62B5">
          <w:rPr>
            <w:rFonts w:asciiTheme="majorHAnsi" w:hAnsiTheme="majorHAnsi"/>
            <w:noProof/>
            <w:sz w:val="18"/>
          </w:rPr>
          <w:t>48</w:t>
        </w:r>
        <w:r w:rsidRPr="00FA5179">
          <w:rPr>
            <w:rFonts w:asciiTheme="majorHAnsi" w:hAnsiTheme="majorHAnsi"/>
            <w:noProof/>
            <w:sz w:val="18"/>
          </w:rPr>
          <w:fldChar w:fldCharType="end"/>
        </w:r>
      </w:p>
    </w:sdtContent>
  </w:sdt>
  <w:p w:rsidR="0069456B" w:rsidRDefault="0069456B" w:rsidP="00562221">
    <w:pPr>
      <w:pStyle w:val="Footer"/>
      <w:jc w:val="right"/>
    </w:pPr>
    <w:r w:rsidRPr="008C1C1B">
      <w:rPr>
        <w:rFonts w:ascii="Cambria" w:hAnsi="Cambria" w:cs="TimesNewRomanPSMT"/>
        <w:i/>
        <w:sz w:val="16"/>
        <w:szCs w:val="16"/>
      </w:rPr>
      <w:t xml:space="preserve">© </w:t>
    </w:r>
    <w:r>
      <w:rPr>
        <w:rFonts w:ascii="Cambria" w:hAnsi="Cambria" w:cs="TimesNewRomanPSMT"/>
        <w:bCs/>
        <w:i/>
        <w:sz w:val="16"/>
        <w:szCs w:val="16"/>
      </w:rPr>
      <w:t>2017</w:t>
    </w:r>
    <w:r w:rsidRPr="008C1C1B">
      <w:rPr>
        <w:rFonts w:ascii="Cambria" w:hAnsi="Cambria" w:cs="TimesNewRomanPSMT"/>
        <w:i/>
        <w:sz w:val="16"/>
        <w:szCs w:val="16"/>
      </w:rPr>
      <w:t>, Program Stu</w:t>
    </w:r>
    <w:r>
      <w:rPr>
        <w:rFonts w:ascii="Cambria" w:hAnsi="Cambria" w:cs="TimesNewRomanPSMT"/>
        <w:i/>
        <w:sz w:val="16"/>
        <w:szCs w:val="16"/>
      </w:rPr>
      <w:t>di Ilmu Lingkungan Sekolah Pascas</w:t>
    </w:r>
    <w:r w:rsidRPr="008C1C1B">
      <w:rPr>
        <w:rFonts w:ascii="Cambria" w:hAnsi="Cambria" w:cs="TimesNewRomanPSMT"/>
        <w:i/>
        <w:sz w:val="16"/>
        <w:szCs w:val="16"/>
      </w:rPr>
      <w:t>arjana UNDIP</w:t>
    </w:r>
  </w:p>
  <w:p w:rsidR="0069456B" w:rsidRDefault="006945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8096083"/>
      <w:docPartObj>
        <w:docPartGallery w:val="Page Numbers (Bottom of Page)"/>
        <w:docPartUnique/>
      </w:docPartObj>
    </w:sdtPr>
    <w:sdtEndPr>
      <w:rPr>
        <w:rFonts w:asciiTheme="majorHAnsi" w:hAnsiTheme="majorHAnsi"/>
        <w:sz w:val="18"/>
      </w:rPr>
    </w:sdtEndPr>
    <w:sdtContent>
      <w:p w:rsidR="0069456B" w:rsidRPr="005033C4" w:rsidRDefault="0069456B" w:rsidP="00562221">
        <w:pPr>
          <w:pStyle w:val="Footer"/>
          <w:jc w:val="right"/>
          <w:rPr>
            <w:rFonts w:asciiTheme="majorHAnsi" w:hAnsiTheme="majorHAnsi"/>
            <w:sz w:val="18"/>
          </w:rPr>
        </w:pPr>
        <w:r w:rsidRPr="005033C4">
          <w:rPr>
            <w:rFonts w:asciiTheme="majorHAnsi" w:hAnsiTheme="majorHAnsi"/>
            <w:sz w:val="18"/>
          </w:rPr>
          <w:fldChar w:fldCharType="begin"/>
        </w:r>
        <w:r w:rsidRPr="005033C4">
          <w:rPr>
            <w:rFonts w:asciiTheme="majorHAnsi" w:hAnsiTheme="majorHAnsi"/>
            <w:sz w:val="18"/>
          </w:rPr>
          <w:instrText xml:space="preserve"> PAGE   \* MERGEFORMAT </w:instrText>
        </w:r>
        <w:r w:rsidRPr="005033C4">
          <w:rPr>
            <w:rFonts w:asciiTheme="majorHAnsi" w:hAnsiTheme="majorHAnsi"/>
            <w:sz w:val="18"/>
          </w:rPr>
          <w:fldChar w:fldCharType="separate"/>
        </w:r>
        <w:r w:rsidR="00CE62B5">
          <w:rPr>
            <w:rFonts w:asciiTheme="majorHAnsi" w:hAnsiTheme="majorHAnsi"/>
            <w:noProof/>
            <w:sz w:val="18"/>
          </w:rPr>
          <w:t>47</w:t>
        </w:r>
        <w:r w:rsidRPr="005033C4">
          <w:rPr>
            <w:rFonts w:asciiTheme="majorHAnsi" w:hAnsiTheme="majorHAnsi"/>
            <w:noProof/>
            <w:sz w:val="18"/>
          </w:rPr>
          <w:fldChar w:fldCharType="end"/>
        </w:r>
      </w:p>
    </w:sdtContent>
  </w:sdt>
  <w:p w:rsidR="0069456B" w:rsidRDefault="0069456B" w:rsidP="00562221">
    <w:pPr>
      <w:pStyle w:val="Footer"/>
    </w:pPr>
    <w:r w:rsidRPr="008C1C1B">
      <w:rPr>
        <w:rFonts w:ascii="Cambria" w:hAnsi="Cambria" w:cs="TimesNewRomanPSMT"/>
        <w:i/>
        <w:sz w:val="16"/>
        <w:szCs w:val="16"/>
      </w:rPr>
      <w:t xml:space="preserve">© </w:t>
    </w:r>
    <w:r>
      <w:rPr>
        <w:rFonts w:ascii="Cambria" w:hAnsi="Cambria" w:cs="TimesNewRomanPSMT"/>
        <w:bCs/>
        <w:i/>
        <w:sz w:val="16"/>
        <w:szCs w:val="16"/>
      </w:rPr>
      <w:t>2017</w:t>
    </w:r>
    <w:r w:rsidRPr="008C1C1B">
      <w:rPr>
        <w:rFonts w:ascii="Cambria" w:hAnsi="Cambria" w:cs="TimesNewRomanPSMT"/>
        <w:i/>
        <w:sz w:val="16"/>
        <w:szCs w:val="16"/>
      </w:rPr>
      <w:t>, Program Stu</w:t>
    </w:r>
    <w:r>
      <w:rPr>
        <w:rFonts w:ascii="Cambria" w:hAnsi="Cambria" w:cs="TimesNewRomanPSMT"/>
        <w:i/>
        <w:sz w:val="16"/>
        <w:szCs w:val="16"/>
      </w:rPr>
      <w:t>di Ilmu Lingkungan Sekolah Pascas</w:t>
    </w:r>
    <w:r w:rsidRPr="008C1C1B">
      <w:rPr>
        <w:rFonts w:ascii="Cambria" w:hAnsi="Cambria" w:cs="TimesNewRomanPSMT"/>
        <w:i/>
        <w:sz w:val="16"/>
        <w:szCs w:val="16"/>
      </w:rPr>
      <w:t>arjana UNDIP</w:t>
    </w:r>
  </w:p>
  <w:p w:rsidR="0069456B" w:rsidRDefault="006945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1331043"/>
      <w:docPartObj>
        <w:docPartGallery w:val="Page Numbers (Bottom of Page)"/>
        <w:docPartUnique/>
      </w:docPartObj>
    </w:sdtPr>
    <w:sdtEndPr>
      <w:rPr>
        <w:rFonts w:asciiTheme="majorHAnsi" w:hAnsiTheme="majorHAnsi"/>
        <w:noProof/>
        <w:sz w:val="18"/>
      </w:rPr>
    </w:sdtEndPr>
    <w:sdtContent>
      <w:p w:rsidR="0069456B" w:rsidRPr="00EF69B1" w:rsidRDefault="0069456B" w:rsidP="00156A0C">
        <w:pPr>
          <w:pStyle w:val="Footer"/>
          <w:rPr>
            <w:rFonts w:asciiTheme="majorHAnsi" w:hAnsiTheme="majorHAnsi"/>
            <w:sz w:val="18"/>
          </w:rPr>
        </w:pPr>
        <w:r w:rsidRPr="00EF69B1">
          <w:rPr>
            <w:rFonts w:asciiTheme="majorHAnsi" w:hAnsiTheme="majorHAnsi"/>
            <w:sz w:val="18"/>
          </w:rPr>
          <w:fldChar w:fldCharType="begin"/>
        </w:r>
        <w:r w:rsidRPr="00CE6CE2">
          <w:rPr>
            <w:rFonts w:asciiTheme="majorHAnsi" w:hAnsiTheme="majorHAnsi"/>
            <w:sz w:val="18"/>
          </w:rPr>
          <w:instrText xml:space="preserve"> PAGE   \* MERGEFORMAT </w:instrText>
        </w:r>
        <w:r w:rsidRPr="00EF69B1">
          <w:rPr>
            <w:rFonts w:asciiTheme="majorHAnsi" w:hAnsiTheme="majorHAnsi"/>
            <w:sz w:val="18"/>
          </w:rPr>
          <w:fldChar w:fldCharType="separate"/>
        </w:r>
        <w:r w:rsidR="00CE62B5">
          <w:rPr>
            <w:rFonts w:asciiTheme="majorHAnsi" w:hAnsiTheme="majorHAnsi"/>
            <w:noProof/>
            <w:sz w:val="18"/>
          </w:rPr>
          <w:t>42</w:t>
        </w:r>
        <w:r w:rsidRPr="00EF69B1">
          <w:rPr>
            <w:rFonts w:asciiTheme="majorHAnsi" w:hAnsiTheme="majorHAnsi"/>
            <w:noProof/>
            <w:sz w:val="18"/>
          </w:rPr>
          <w:fldChar w:fldCharType="end"/>
        </w:r>
      </w:p>
    </w:sdtContent>
  </w:sdt>
  <w:p w:rsidR="0069456B" w:rsidRDefault="0069456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863780"/>
      <w:docPartObj>
        <w:docPartGallery w:val="Page Numbers (Bottom of Page)"/>
        <w:docPartUnique/>
      </w:docPartObj>
    </w:sdtPr>
    <w:sdtEndPr>
      <w:rPr>
        <w:rFonts w:asciiTheme="majorHAnsi" w:hAnsiTheme="majorHAnsi"/>
        <w:noProof/>
        <w:sz w:val="18"/>
      </w:rPr>
    </w:sdtEndPr>
    <w:sdtContent>
      <w:p w:rsidR="0069456B" w:rsidRPr="00380D6A" w:rsidRDefault="0069456B" w:rsidP="00315922">
        <w:pPr>
          <w:pStyle w:val="Footer"/>
          <w:rPr>
            <w:rFonts w:asciiTheme="majorHAnsi" w:hAnsiTheme="majorHAnsi"/>
            <w:sz w:val="18"/>
          </w:rPr>
        </w:pPr>
        <w:r w:rsidRPr="00380D6A">
          <w:rPr>
            <w:rFonts w:asciiTheme="majorHAnsi" w:hAnsiTheme="majorHAnsi"/>
            <w:sz w:val="18"/>
          </w:rPr>
          <w:fldChar w:fldCharType="begin"/>
        </w:r>
        <w:r w:rsidRPr="008E1BE0">
          <w:rPr>
            <w:rFonts w:asciiTheme="majorHAnsi" w:hAnsiTheme="majorHAnsi"/>
            <w:sz w:val="18"/>
          </w:rPr>
          <w:instrText xml:space="preserve"> PAGE   \* MERGEFORMAT </w:instrText>
        </w:r>
        <w:r w:rsidRPr="00380D6A">
          <w:rPr>
            <w:rFonts w:asciiTheme="majorHAnsi" w:hAnsiTheme="majorHAnsi"/>
            <w:sz w:val="18"/>
          </w:rPr>
          <w:fldChar w:fldCharType="separate"/>
        </w:r>
        <w:r w:rsidR="0045585D">
          <w:rPr>
            <w:rFonts w:asciiTheme="majorHAnsi" w:hAnsiTheme="majorHAnsi"/>
            <w:noProof/>
            <w:sz w:val="18"/>
          </w:rPr>
          <w:t>44</w:t>
        </w:r>
        <w:r w:rsidRPr="00380D6A">
          <w:rPr>
            <w:rFonts w:asciiTheme="majorHAnsi" w:hAnsiTheme="majorHAnsi"/>
            <w:noProof/>
            <w:sz w:val="18"/>
          </w:rPr>
          <w:fldChar w:fldCharType="end"/>
        </w:r>
      </w:p>
    </w:sdtContent>
  </w:sdt>
  <w:p w:rsidR="0069456B" w:rsidRDefault="0069456B" w:rsidP="00315922">
    <w:pPr>
      <w:pStyle w:val="Footer"/>
      <w:jc w:val="right"/>
    </w:pPr>
    <w:r w:rsidRPr="008C1C1B">
      <w:rPr>
        <w:rFonts w:ascii="Cambria" w:hAnsi="Cambria" w:cs="TimesNewRomanPSMT"/>
        <w:i/>
        <w:sz w:val="16"/>
        <w:szCs w:val="16"/>
      </w:rPr>
      <w:t xml:space="preserve">© </w:t>
    </w:r>
    <w:r>
      <w:rPr>
        <w:rFonts w:ascii="Cambria" w:hAnsi="Cambria" w:cs="TimesNewRomanPSMT"/>
        <w:bCs/>
        <w:i/>
        <w:sz w:val="16"/>
        <w:szCs w:val="16"/>
      </w:rPr>
      <w:t>2017</w:t>
    </w:r>
    <w:r w:rsidRPr="008C1C1B">
      <w:rPr>
        <w:rFonts w:ascii="Cambria" w:hAnsi="Cambria" w:cs="TimesNewRomanPSMT"/>
        <w:i/>
        <w:sz w:val="16"/>
        <w:szCs w:val="16"/>
      </w:rPr>
      <w:t>, Program Stu</w:t>
    </w:r>
    <w:r>
      <w:rPr>
        <w:rFonts w:ascii="Cambria" w:hAnsi="Cambria" w:cs="TimesNewRomanPSMT"/>
        <w:i/>
        <w:sz w:val="16"/>
        <w:szCs w:val="16"/>
      </w:rPr>
      <w:t>di Ilmu Lingkungan Sekolah Pascas</w:t>
    </w:r>
    <w:r w:rsidRPr="008C1C1B">
      <w:rPr>
        <w:rFonts w:ascii="Cambria" w:hAnsi="Cambria" w:cs="TimesNewRomanPSMT"/>
        <w:i/>
        <w:sz w:val="16"/>
        <w:szCs w:val="16"/>
      </w:rPr>
      <w:t>arjana UNDIP</w:t>
    </w:r>
  </w:p>
  <w:p w:rsidR="0069456B" w:rsidRDefault="006945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258" w:rsidRDefault="00364258" w:rsidP="00FA4148">
      <w:pPr>
        <w:spacing w:after="0" w:line="240" w:lineRule="auto"/>
      </w:pPr>
      <w:r>
        <w:separator/>
      </w:r>
    </w:p>
  </w:footnote>
  <w:footnote w:type="continuationSeparator" w:id="0">
    <w:p w:rsidR="00364258" w:rsidRDefault="00364258" w:rsidP="00FA41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56B" w:rsidRPr="00041729" w:rsidRDefault="0069456B" w:rsidP="00041729">
    <w:pPr>
      <w:pStyle w:val="Header"/>
      <w:jc w:val="center"/>
    </w:pPr>
    <w:r w:rsidRPr="00041729">
      <w:rPr>
        <w:rFonts w:ascii="Cambria" w:hAnsi="Cambria"/>
        <w:i/>
        <w:iCs/>
        <w:color w:val="000000"/>
        <w:sz w:val="16"/>
        <w:szCs w:val="16"/>
      </w:rPr>
      <w:t xml:space="preserve">Jurnal Ilmu Lingkungan (2017), 15 (1): </w:t>
    </w:r>
    <w:r w:rsidR="00AA3ACD">
      <w:rPr>
        <w:rFonts w:ascii="Cambria" w:hAnsi="Cambria"/>
        <w:i/>
        <w:iCs/>
        <w:color w:val="000000"/>
        <w:sz w:val="16"/>
        <w:szCs w:val="16"/>
      </w:rPr>
      <w:t>42-48</w:t>
    </w:r>
    <w:r w:rsidRPr="00041729">
      <w:rPr>
        <w:rFonts w:ascii="Cambria" w:hAnsi="Cambria"/>
        <w:i/>
        <w:iCs/>
        <w:color w:val="000000"/>
        <w:sz w:val="16"/>
        <w:szCs w:val="16"/>
      </w:rPr>
      <w:t>, ISSN 1829-8907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56B" w:rsidRPr="003778CE" w:rsidRDefault="00AA3ACD" w:rsidP="003778CE">
    <w:pPr>
      <w:pStyle w:val="Header"/>
    </w:pPr>
    <w:r w:rsidRPr="00AA3ACD">
      <w:rPr>
        <w:sz w:val="14"/>
        <w:szCs w:val="18"/>
      </w:rPr>
      <w:t>Aini, A., Sriasih, M, dan Kisworo, D. (2017). Studi Pendahuluan Cemaran Air Limbah Rumah Potong Hewan di Kota Mataram. Jurnal Ilmu Lingkungan, 15(1), 42-48, doi:10.14710/jil.15.1.42-48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56B" w:rsidRPr="00EF69B1" w:rsidRDefault="0069456B" w:rsidP="00EF69B1">
    <w:pPr>
      <w:pStyle w:val="Header"/>
      <w:jc w:val="center"/>
    </w:pPr>
    <w:r w:rsidRPr="00EF69B1">
      <w:rPr>
        <w:rFonts w:ascii="Cambria" w:hAnsi="Cambria"/>
        <w:i/>
        <w:iCs/>
        <w:color w:val="000000"/>
        <w:sz w:val="16"/>
        <w:szCs w:val="16"/>
      </w:rPr>
      <w:t xml:space="preserve">Jurnal Ilmu Lingkungan (2017), 15 (1): </w:t>
    </w:r>
    <w:r>
      <w:rPr>
        <w:rFonts w:ascii="Cambria" w:hAnsi="Cambria"/>
        <w:i/>
        <w:iCs/>
        <w:color w:val="000000"/>
        <w:sz w:val="16"/>
        <w:szCs w:val="16"/>
      </w:rPr>
      <w:t xml:space="preserve">20-34, </w:t>
    </w:r>
    <w:r w:rsidRPr="00041729">
      <w:rPr>
        <w:rFonts w:ascii="Cambria" w:hAnsi="Cambria"/>
        <w:i/>
        <w:iCs/>
        <w:color w:val="000000"/>
        <w:sz w:val="16"/>
        <w:szCs w:val="16"/>
      </w:rPr>
      <w:t>ISSN 1829-8907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60144"/>
    <w:multiLevelType w:val="hybridMultilevel"/>
    <w:tmpl w:val="98EABB62"/>
    <w:lvl w:ilvl="0" w:tplc="8250AE4C">
      <w:start w:val="1"/>
      <w:numFmt w:val="decimal"/>
      <w:pStyle w:val="BabIV"/>
      <w:lvlText w:val="4.%1"/>
      <w:lvlJc w:val="left"/>
      <w:pPr>
        <w:ind w:left="720" w:hanging="360"/>
      </w:pPr>
      <w:rPr>
        <w:rFonts w:cs="Times New Roman" w:hint="default"/>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A205902"/>
    <w:multiLevelType w:val="hybridMultilevel"/>
    <w:tmpl w:val="E1E4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7575F7"/>
    <w:multiLevelType w:val="hybridMultilevel"/>
    <w:tmpl w:val="12B025C2"/>
    <w:lvl w:ilvl="0" w:tplc="FF3659A6">
      <w:start w:val="1"/>
      <w:numFmt w:val="decimal"/>
      <w:pStyle w:val="BabIVHeading441"/>
      <w:lvlText w:val="4.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1E633B9"/>
    <w:multiLevelType w:val="multilevel"/>
    <w:tmpl w:val="8E94362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6E894B55"/>
    <w:multiLevelType w:val="hybridMultilevel"/>
    <w:tmpl w:val="1F0A0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752C30"/>
    <w:multiLevelType w:val="hybridMultilevel"/>
    <w:tmpl w:val="D562BBC8"/>
    <w:lvl w:ilvl="0" w:tplc="E72AD500">
      <w:start w:val="1"/>
      <w:numFmt w:val="decimal"/>
      <w:pStyle w:val="BabIVHeading451"/>
      <w:lvlText w:val="4.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3"/>
  </w:num>
  <w:num w:numId="5">
    <w:abstractNumId w:val="4"/>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96E"/>
    <w:rsid w:val="000059F0"/>
    <w:rsid w:val="00011EFD"/>
    <w:rsid w:val="000130AB"/>
    <w:rsid w:val="000160BE"/>
    <w:rsid w:val="00016D56"/>
    <w:rsid w:val="000246D4"/>
    <w:rsid w:val="00025764"/>
    <w:rsid w:val="00033970"/>
    <w:rsid w:val="000373CB"/>
    <w:rsid w:val="0004048C"/>
    <w:rsid w:val="000414B9"/>
    <w:rsid w:val="00041729"/>
    <w:rsid w:val="000431F0"/>
    <w:rsid w:val="00043D0A"/>
    <w:rsid w:val="000473D9"/>
    <w:rsid w:val="00074278"/>
    <w:rsid w:val="00076610"/>
    <w:rsid w:val="0007768D"/>
    <w:rsid w:val="000826FF"/>
    <w:rsid w:val="00084047"/>
    <w:rsid w:val="0008598A"/>
    <w:rsid w:val="000876E5"/>
    <w:rsid w:val="000961F1"/>
    <w:rsid w:val="00097D3F"/>
    <w:rsid w:val="000A51EC"/>
    <w:rsid w:val="000B178D"/>
    <w:rsid w:val="000D49BB"/>
    <w:rsid w:val="000D692E"/>
    <w:rsid w:val="000D6E10"/>
    <w:rsid w:val="000D78C6"/>
    <w:rsid w:val="000E7CAB"/>
    <w:rsid w:val="000F26D0"/>
    <w:rsid w:val="000F27DB"/>
    <w:rsid w:val="000F2C17"/>
    <w:rsid w:val="000F6C8B"/>
    <w:rsid w:val="00104B29"/>
    <w:rsid w:val="001056F4"/>
    <w:rsid w:val="00123091"/>
    <w:rsid w:val="00123C77"/>
    <w:rsid w:val="00130304"/>
    <w:rsid w:val="001316AE"/>
    <w:rsid w:val="00132DA1"/>
    <w:rsid w:val="00135F99"/>
    <w:rsid w:val="0013791F"/>
    <w:rsid w:val="001537E6"/>
    <w:rsid w:val="00156A0C"/>
    <w:rsid w:val="00156B3A"/>
    <w:rsid w:val="00160CF6"/>
    <w:rsid w:val="00163425"/>
    <w:rsid w:val="00164EA4"/>
    <w:rsid w:val="00164FF6"/>
    <w:rsid w:val="00172249"/>
    <w:rsid w:val="0017227A"/>
    <w:rsid w:val="001920D9"/>
    <w:rsid w:val="0019483B"/>
    <w:rsid w:val="001A18EE"/>
    <w:rsid w:val="001A3CF5"/>
    <w:rsid w:val="001A7DD8"/>
    <w:rsid w:val="001B264C"/>
    <w:rsid w:val="001C3C4C"/>
    <w:rsid w:val="001C7252"/>
    <w:rsid w:val="001C7776"/>
    <w:rsid w:val="001C7842"/>
    <w:rsid w:val="001D5B28"/>
    <w:rsid w:val="001E54BA"/>
    <w:rsid w:val="001E574F"/>
    <w:rsid w:val="001F1D61"/>
    <w:rsid w:val="001F1E91"/>
    <w:rsid w:val="001F1F68"/>
    <w:rsid w:val="001F4263"/>
    <w:rsid w:val="001F7CC0"/>
    <w:rsid w:val="002040B0"/>
    <w:rsid w:val="00204EA7"/>
    <w:rsid w:val="00205322"/>
    <w:rsid w:val="0020790D"/>
    <w:rsid w:val="00207AD4"/>
    <w:rsid w:val="00211506"/>
    <w:rsid w:val="00215F01"/>
    <w:rsid w:val="00222537"/>
    <w:rsid w:val="002254DB"/>
    <w:rsid w:val="00225A01"/>
    <w:rsid w:val="00235408"/>
    <w:rsid w:val="00240601"/>
    <w:rsid w:val="00244570"/>
    <w:rsid w:val="00253793"/>
    <w:rsid w:val="00255E98"/>
    <w:rsid w:val="0026507C"/>
    <w:rsid w:val="00265BF9"/>
    <w:rsid w:val="00271C6D"/>
    <w:rsid w:val="00275604"/>
    <w:rsid w:val="002768AB"/>
    <w:rsid w:val="0028057C"/>
    <w:rsid w:val="00284CF4"/>
    <w:rsid w:val="0028757B"/>
    <w:rsid w:val="0028789E"/>
    <w:rsid w:val="002902F3"/>
    <w:rsid w:val="002913B8"/>
    <w:rsid w:val="00293539"/>
    <w:rsid w:val="00294C23"/>
    <w:rsid w:val="002A446D"/>
    <w:rsid w:val="002A7AC7"/>
    <w:rsid w:val="002B1FF3"/>
    <w:rsid w:val="002B26C3"/>
    <w:rsid w:val="002B403A"/>
    <w:rsid w:val="002B57FC"/>
    <w:rsid w:val="002B771B"/>
    <w:rsid w:val="002C126B"/>
    <w:rsid w:val="002C393B"/>
    <w:rsid w:val="002C4B06"/>
    <w:rsid w:val="002C6F83"/>
    <w:rsid w:val="002D4FC9"/>
    <w:rsid w:val="002D59A7"/>
    <w:rsid w:val="002D6A5C"/>
    <w:rsid w:val="002E03D7"/>
    <w:rsid w:val="002E1A79"/>
    <w:rsid w:val="002E203E"/>
    <w:rsid w:val="00301CC0"/>
    <w:rsid w:val="00301E1F"/>
    <w:rsid w:val="00315922"/>
    <w:rsid w:val="003205CE"/>
    <w:rsid w:val="00321B80"/>
    <w:rsid w:val="00332B29"/>
    <w:rsid w:val="00336970"/>
    <w:rsid w:val="00336ADB"/>
    <w:rsid w:val="0034491B"/>
    <w:rsid w:val="00345831"/>
    <w:rsid w:val="0034672C"/>
    <w:rsid w:val="00350B4D"/>
    <w:rsid w:val="0035716E"/>
    <w:rsid w:val="003606CD"/>
    <w:rsid w:val="00361D5F"/>
    <w:rsid w:val="00364258"/>
    <w:rsid w:val="00365EC3"/>
    <w:rsid w:val="00366480"/>
    <w:rsid w:val="00373076"/>
    <w:rsid w:val="00374A99"/>
    <w:rsid w:val="003777C1"/>
    <w:rsid w:val="003778CE"/>
    <w:rsid w:val="00380D6A"/>
    <w:rsid w:val="003871E8"/>
    <w:rsid w:val="00390362"/>
    <w:rsid w:val="003924B1"/>
    <w:rsid w:val="00392FBD"/>
    <w:rsid w:val="00396BAA"/>
    <w:rsid w:val="003B0969"/>
    <w:rsid w:val="003C1AD6"/>
    <w:rsid w:val="003D41CA"/>
    <w:rsid w:val="003D4987"/>
    <w:rsid w:val="003D7100"/>
    <w:rsid w:val="003D751A"/>
    <w:rsid w:val="003F3927"/>
    <w:rsid w:val="003F4145"/>
    <w:rsid w:val="003F5997"/>
    <w:rsid w:val="003F647E"/>
    <w:rsid w:val="004029FA"/>
    <w:rsid w:val="004124BC"/>
    <w:rsid w:val="00417146"/>
    <w:rsid w:val="00433470"/>
    <w:rsid w:val="00435F06"/>
    <w:rsid w:val="004402FC"/>
    <w:rsid w:val="004425F1"/>
    <w:rsid w:val="004523C4"/>
    <w:rsid w:val="004557CA"/>
    <w:rsid w:val="0045585D"/>
    <w:rsid w:val="004658F8"/>
    <w:rsid w:val="004670C9"/>
    <w:rsid w:val="00473577"/>
    <w:rsid w:val="00473630"/>
    <w:rsid w:val="00481CEC"/>
    <w:rsid w:val="00486C45"/>
    <w:rsid w:val="00490A64"/>
    <w:rsid w:val="00491D76"/>
    <w:rsid w:val="00494621"/>
    <w:rsid w:val="00497F98"/>
    <w:rsid w:val="004A3BD2"/>
    <w:rsid w:val="004B03AA"/>
    <w:rsid w:val="004B1DD7"/>
    <w:rsid w:val="004B55DF"/>
    <w:rsid w:val="004C16D1"/>
    <w:rsid w:val="004D214F"/>
    <w:rsid w:val="004E14E6"/>
    <w:rsid w:val="004E7739"/>
    <w:rsid w:val="005008C2"/>
    <w:rsid w:val="005033C4"/>
    <w:rsid w:val="005067C8"/>
    <w:rsid w:val="005142EE"/>
    <w:rsid w:val="00516156"/>
    <w:rsid w:val="00527766"/>
    <w:rsid w:val="00530375"/>
    <w:rsid w:val="005303E4"/>
    <w:rsid w:val="00530820"/>
    <w:rsid w:val="00536CDA"/>
    <w:rsid w:val="005514D3"/>
    <w:rsid w:val="00554BEE"/>
    <w:rsid w:val="00554DC2"/>
    <w:rsid w:val="005607BD"/>
    <w:rsid w:val="005615D7"/>
    <w:rsid w:val="0056198A"/>
    <w:rsid w:val="00561B34"/>
    <w:rsid w:val="00561BE8"/>
    <w:rsid w:val="00562145"/>
    <w:rsid w:val="00562221"/>
    <w:rsid w:val="00562379"/>
    <w:rsid w:val="005623C5"/>
    <w:rsid w:val="00562F0F"/>
    <w:rsid w:val="00571BAF"/>
    <w:rsid w:val="00574F9B"/>
    <w:rsid w:val="00577D8D"/>
    <w:rsid w:val="00581A1A"/>
    <w:rsid w:val="00583207"/>
    <w:rsid w:val="00583FEC"/>
    <w:rsid w:val="0058496D"/>
    <w:rsid w:val="0059189D"/>
    <w:rsid w:val="00592EDF"/>
    <w:rsid w:val="00594813"/>
    <w:rsid w:val="005A1A37"/>
    <w:rsid w:val="005A4C9B"/>
    <w:rsid w:val="005B1696"/>
    <w:rsid w:val="005B17F4"/>
    <w:rsid w:val="005B72CA"/>
    <w:rsid w:val="005C0397"/>
    <w:rsid w:val="005D1771"/>
    <w:rsid w:val="005E04AE"/>
    <w:rsid w:val="005E0CD7"/>
    <w:rsid w:val="005E38C5"/>
    <w:rsid w:val="005E5386"/>
    <w:rsid w:val="006041E0"/>
    <w:rsid w:val="00604809"/>
    <w:rsid w:val="00610171"/>
    <w:rsid w:val="00615A8E"/>
    <w:rsid w:val="006212AB"/>
    <w:rsid w:val="00631886"/>
    <w:rsid w:val="006400A4"/>
    <w:rsid w:val="006433F9"/>
    <w:rsid w:val="00650D6A"/>
    <w:rsid w:val="006612F6"/>
    <w:rsid w:val="00661BA0"/>
    <w:rsid w:val="00666008"/>
    <w:rsid w:val="006672F1"/>
    <w:rsid w:val="0067236A"/>
    <w:rsid w:val="00674F28"/>
    <w:rsid w:val="006856FA"/>
    <w:rsid w:val="0068570B"/>
    <w:rsid w:val="006879D7"/>
    <w:rsid w:val="0069456B"/>
    <w:rsid w:val="006A0831"/>
    <w:rsid w:val="006A1282"/>
    <w:rsid w:val="006B7466"/>
    <w:rsid w:val="006C6F09"/>
    <w:rsid w:val="006D4721"/>
    <w:rsid w:val="006D72CA"/>
    <w:rsid w:val="006D7B62"/>
    <w:rsid w:val="006D7CED"/>
    <w:rsid w:val="006E6954"/>
    <w:rsid w:val="006F4226"/>
    <w:rsid w:val="00705CB8"/>
    <w:rsid w:val="00711004"/>
    <w:rsid w:val="007119D8"/>
    <w:rsid w:val="007154D6"/>
    <w:rsid w:val="007176D0"/>
    <w:rsid w:val="00721191"/>
    <w:rsid w:val="0073129D"/>
    <w:rsid w:val="007313D7"/>
    <w:rsid w:val="0073626F"/>
    <w:rsid w:val="00745E25"/>
    <w:rsid w:val="00746CE2"/>
    <w:rsid w:val="00753D85"/>
    <w:rsid w:val="00761C07"/>
    <w:rsid w:val="00762377"/>
    <w:rsid w:val="007775C1"/>
    <w:rsid w:val="007856A5"/>
    <w:rsid w:val="0079218A"/>
    <w:rsid w:val="00792BFB"/>
    <w:rsid w:val="00795419"/>
    <w:rsid w:val="00795649"/>
    <w:rsid w:val="00795966"/>
    <w:rsid w:val="00795A34"/>
    <w:rsid w:val="0079693D"/>
    <w:rsid w:val="007A155E"/>
    <w:rsid w:val="007B1E26"/>
    <w:rsid w:val="007B2858"/>
    <w:rsid w:val="007B7377"/>
    <w:rsid w:val="007B7DCC"/>
    <w:rsid w:val="007C70B2"/>
    <w:rsid w:val="007D07CD"/>
    <w:rsid w:val="007D1DDD"/>
    <w:rsid w:val="007D2C7F"/>
    <w:rsid w:val="007D4B33"/>
    <w:rsid w:val="007E2C1C"/>
    <w:rsid w:val="007E6FBA"/>
    <w:rsid w:val="007E7BBF"/>
    <w:rsid w:val="007F7CA0"/>
    <w:rsid w:val="00802112"/>
    <w:rsid w:val="00817466"/>
    <w:rsid w:val="00820560"/>
    <w:rsid w:val="0082165F"/>
    <w:rsid w:val="008250B5"/>
    <w:rsid w:val="00830B70"/>
    <w:rsid w:val="0083146F"/>
    <w:rsid w:val="00832A81"/>
    <w:rsid w:val="00843299"/>
    <w:rsid w:val="00844549"/>
    <w:rsid w:val="0084593D"/>
    <w:rsid w:val="00846BA9"/>
    <w:rsid w:val="00851100"/>
    <w:rsid w:val="0085621E"/>
    <w:rsid w:val="00860054"/>
    <w:rsid w:val="00861ADD"/>
    <w:rsid w:val="008665D8"/>
    <w:rsid w:val="008677DB"/>
    <w:rsid w:val="00873A85"/>
    <w:rsid w:val="008747E6"/>
    <w:rsid w:val="00882537"/>
    <w:rsid w:val="00882F1E"/>
    <w:rsid w:val="00885150"/>
    <w:rsid w:val="00891FFD"/>
    <w:rsid w:val="00892D33"/>
    <w:rsid w:val="008A147C"/>
    <w:rsid w:val="008A2CAB"/>
    <w:rsid w:val="008B51A2"/>
    <w:rsid w:val="008C0D92"/>
    <w:rsid w:val="008C2B9B"/>
    <w:rsid w:val="008C4E7C"/>
    <w:rsid w:val="008C6551"/>
    <w:rsid w:val="008D26E7"/>
    <w:rsid w:val="008E1BE0"/>
    <w:rsid w:val="008E69D5"/>
    <w:rsid w:val="008F1A1D"/>
    <w:rsid w:val="00902510"/>
    <w:rsid w:val="00904484"/>
    <w:rsid w:val="00906635"/>
    <w:rsid w:val="00907FC3"/>
    <w:rsid w:val="00910B6F"/>
    <w:rsid w:val="00930223"/>
    <w:rsid w:val="00931551"/>
    <w:rsid w:val="00944AE9"/>
    <w:rsid w:val="00947FE0"/>
    <w:rsid w:val="00952503"/>
    <w:rsid w:val="009541B3"/>
    <w:rsid w:val="00957C60"/>
    <w:rsid w:val="00964129"/>
    <w:rsid w:val="00974DC0"/>
    <w:rsid w:val="00981C03"/>
    <w:rsid w:val="00981FAD"/>
    <w:rsid w:val="009924E2"/>
    <w:rsid w:val="009938B6"/>
    <w:rsid w:val="00993E1C"/>
    <w:rsid w:val="009949A2"/>
    <w:rsid w:val="009964D9"/>
    <w:rsid w:val="009A0674"/>
    <w:rsid w:val="009A22B3"/>
    <w:rsid w:val="009B654B"/>
    <w:rsid w:val="009C0817"/>
    <w:rsid w:val="009C34C7"/>
    <w:rsid w:val="009C508B"/>
    <w:rsid w:val="009D0AB9"/>
    <w:rsid w:val="009D19F1"/>
    <w:rsid w:val="009D3353"/>
    <w:rsid w:val="009D4114"/>
    <w:rsid w:val="009E16E9"/>
    <w:rsid w:val="009E653B"/>
    <w:rsid w:val="009F07AE"/>
    <w:rsid w:val="009F4E1B"/>
    <w:rsid w:val="00A04263"/>
    <w:rsid w:val="00A1057D"/>
    <w:rsid w:val="00A13918"/>
    <w:rsid w:val="00A200C9"/>
    <w:rsid w:val="00A2034D"/>
    <w:rsid w:val="00A23ABC"/>
    <w:rsid w:val="00A2554C"/>
    <w:rsid w:val="00A27A76"/>
    <w:rsid w:val="00A37110"/>
    <w:rsid w:val="00A4091E"/>
    <w:rsid w:val="00A44917"/>
    <w:rsid w:val="00A44FCE"/>
    <w:rsid w:val="00A52E26"/>
    <w:rsid w:val="00A560E3"/>
    <w:rsid w:val="00A717A0"/>
    <w:rsid w:val="00A73615"/>
    <w:rsid w:val="00A77486"/>
    <w:rsid w:val="00A84958"/>
    <w:rsid w:val="00A84AD5"/>
    <w:rsid w:val="00A90DB2"/>
    <w:rsid w:val="00A94B99"/>
    <w:rsid w:val="00A97FE1"/>
    <w:rsid w:val="00AA180B"/>
    <w:rsid w:val="00AA2B6D"/>
    <w:rsid w:val="00AA3ACD"/>
    <w:rsid w:val="00AA64E5"/>
    <w:rsid w:val="00AB6924"/>
    <w:rsid w:val="00AD1ED8"/>
    <w:rsid w:val="00AD3571"/>
    <w:rsid w:val="00AE54B0"/>
    <w:rsid w:val="00AE5C87"/>
    <w:rsid w:val="00AF4A61"/>
    <w:rsid w:val="00AF794D"/>
    <w:rsid w:val="00B00160"/>
    <w:rsid w:val="00B02144"/>
    <w:rsid w:val="00B1161D"/>
    <w:rsid w:val="00B22DC7"/>
    <w:rsid w:val="00B23CA8"/>
    <w:rsid w:val="00B32432"/>
    <w:rsid w:val="00B343F1"/>
    <w:rsid w:val="00B42312"/>
    <w:rsid w:val="00B44E04"/>
    <w:rsid w:val="00B50EE1"/>
    <w:rsid w:val="00B52FB1"/>
    <w:rsid w:val="00B54AA5"/>
    <w:rsid w:val="00B621FC"/>
    <w:rsid w:val="00B62B89"/>
    <w:rsid w:val="00B6396E"/>
    <w:rsid w:val="00B641FB"/>
    <w:rsid w:val="00B65E69"/>
    <w:rsid w:val="00B703A4"/>
    <w:rsid w:val="00B72485"/>
    <w:rsid w:val="00B759EA"/>
    <w:rsid w:val="00B762CE"/>
    <w:rsid w:val="00B87FF9"/>
    <w:rsid w:val="00B9315D"/>
    <w:rsid w:val="00B9554D"/>
    <w:rsid w:val="00BA1568"/>
    <w:rsid w:val="00BA42B9"/>
    <w:rsid w:val="00BA4E61"/>
    <w:rsid w:val="00BA553B"/>
    <w:rsid w:val="00BB15F3"/>
    <w:rsid w:val="00BB172A"/>
    <w:rsid w:val="00BB218F"/>
    <w:rsid w:val="00BC5257"/>
    <w:rsid w:val="00BD76FB"/>
    <w:rsid w:val="00BD7ED2"/>
    <w:rsid w:val="00BE3ACB"/>
    <w:rsid w:val="00BE418D"/>
    <w:rsid w:val="00BF0273"/>
    <w:rsid w:val="00BF1B37"/>
    <w:rsid w:val="00BF1CFB"/>
    <w:rsid w:val="00BF235C"/>
    <w:rsid w:val="00BF3AD9"/>
    <w:rsid w:val="00BF455E"/>
    <w:rsid w:val="00BF57A5"/>
    <w:rsid w:val="00C00486"/>
    <w:rsid w:val="00C035E5"/>
    <w:rsid w:val="00C0652B"/>
    <w:rsid w:val="00C06602"/>
    <w:rsid w:val="00C1095A"/>
    <w:rsid w:val="00C16C36"/>
    <w:rsid w:val="00C20678"/>
    <w:rsid w:val="00C2204F"/>
    <w:rsid w:val="00C36297"/>
    <w:rsid w:val="00C404CE"/>
    <w:rsid w:val="00C416B2"/>
    <w:rsid w:val="00C44DAC"/>
    <w:rsid w:val="00C46255"/>
    <w:rsid w:val="00C51E94"/>
    <w:rsid w:val="00C568BA"/>
    <w:rsid w:val="00C74B8A"/>
    <w:rsid w:val="00C8123A"/>
    <w:rsid w:val="00C84847"/>
    <w:rsid w:val="00C851A0"/>
    <w:rsid w:val="00C92D26"/>
    <w:rsid w:val="00C92E03"/>
    <w:rsid w:val="00CA3B39"/>
    <w:rsid w:val="00CA4621"/>
    <w:rsid w:val="00CB2EA6"/>
    <w:rsid w:val="00CB59F0"/>
    <w:rsid w:val="00CD0FF7"/>
    <w:rsid w:val="00CD502C"/>
    <w:rsid w:val="00CE0206"/>
    <w:rsid w:val="00CE2F59"/>
    <w:rsid w:val="00CE58A6"/>
    <w:rsid w:val="00CE62B5"/>
    <w:rsid w:val="00CE6CE2"/>
    <w:rsid w:val="00CF00CF"/>
    <w:rsid w:val="00CF278E"/>
    <w:rsid w:val="00CF2FDB"/>
    <w:rsid w:val="00D00EAC"/>
    <w:rsid w:val="00D07E6D"/>
    <w:rsid w:val="00D127B7"/>
    <w:rsid w:val="00D13BA3"/>
    <w:rsid w:val="00D13BCF"/>
    <w:rsid w:val="00D17C31"/>
    <w:rsid w:val="00D22618"/>
    <w:rsid w:val="00D23ED3"/>
    <w:rsid w:val="00D3091E"/>
    <w:rsid w:val="00D32B31"/>
    <w:rsid w:val="00D34DA0"/>
    <w:rsid w:val="00D359DC"/>
    <w:rsid w:val="00D52C3B"/>
    <w:rsid w:val="00D53D7B"/>
    <w:rsid w:val="00D53F84"/>
    <w:rsid w:val="00D6055A"/>
    <w:rsid w:val="00D624C0"/>
    <w:rsid w:val="00D65AA7"/>
    <w:rsid w:val="00D70CD4"/>
    <w:rsid w:val="00D73913"/>
    <w:rsid w:val="00D75266"/>
    <w:rsid w:val="00D83264"/>
    <w:rsid w:val="00D83452"/>
    <w:rsid w:val="00D929B2"/>
    <w:rsid w:val="00D9309F"/>
    <w:rsid w:val="00D9549E"/>
    <w:rsid w:val="00D96C60"/>
    <w:rsid w:val="00DA0B95"/>
    <w:rsid w:val="00DA4007"/>
    <w:rsid w:val="00DA426B"/>
    <w:rsid w:val="00DA7C49"/>
    <w:rsid w:val="00DB470A"/>
    <w:rsid w:val="00DB4FF0"/>
    <w:rsid w:val="00DC3F0D"/>
    <w:rsid w:val="00DC5115"/>
    <w:rsid w:val="00DD76E4"/>
    <w:rsid w:val="00DE3FC9"/>
    <w:rsid w:val="00DE484D"/>
    <w:rsid w:val="00DE68B8"/>
    <w:rsid w:val="00DE6938"/>
    <w:rsid w:val="00DF2F47"/>
    <w:rsid w:val="00DF3009"/>
    <w:rsid w:val="00E053B2"/>
    <w:rsid w:val="00E06C0C"/>
    <w:rsid w:val="00E07DDE"/>
    <w:rsid w:val="00E113B2"/>
    <w:rsid w:val="00E11C47"/>
    <w:rsid w:val="00E11E06"/>
    <w:rsid w:val="00E14163"/>
    <w:rsid w:val="00E1794C"/>
    <w:rsid w:val="00E17CE7"/>
    <w:rsid w:val="00E3249E"/>
    <w:rsid w:val="00E358F6"/>
    <w:rsid w:val="00E423BA"/>
    <w:rsid w:val="00E4412E"/>
    <w:rsid w:val="00E51CFA"/>
    <w:rsid w:val="00E55AED"/>
    <w:rsid w:val="00E55C57"/>
    <w:rsid w:val="00E64F87"/>
    <w:rsid w:val="00E7483E"/>
    <w:rsid w:val="00E74F4E"/>
    <w:rsid w:val="00E85A84"/>
    <w:rsid w:val="00E860F6"/>
    <w:rsid w:val="00EA4208"/>
    <w:rsid w:val="00EA42B1"/>
    <w:rsid w:val="00EB40B1"/>
    <w:rsid w:val="00EB6122"/>
    <w:rsid w:val="00EB6AD0"/>
    <w:rsid w:val="00EB6BE3"/>
    <w:rsid w:val="00EB6EC8"/>
    <w:rsid w:val="00EC0027"/>
    <w:rsid w:val="00EC371F"/>
    <w:rsid w:val="00EC4678"/>
    <w:rsid w:val="00EC612F"/>
    <w:rsid w:val="00EE3123"/>
    <w:rsid w:val="00EF035D"/>
    <w:rsid w:val="00EF072E"/>
    <w:rsid w:val="00EF4D21"/>
    <w:rsid w:val="00EF69B1"/>
    <w:rsid w:val="00F02ADF"/>
    <w:rsid w:val="00F20558"/>
    <w:rsid w:val="00F24DAF"/>
    <w:rsid w:val="00F402FB"/>
    <w:rsid w:val="00F42A78"/>
    <w:rsid w:val="00F45937"/>
    <w:rsid w:val="00F51CE3"/>
    <w:rsid w:val="00F51ED9"/>
    <w:rsid w:val="00F574BF"/>
    <w:rsid w:val="00F60E13"/>
    <w:rsid w:val="00F70593"/>
    <w:rsid w:val="00F74443"/>
    <w:rsid w:val="00F7790E"/>
    <w:rsid w:val="00F851D1"/>
    <w:rsid w:val="00F87239"/>
    <w:rsid w:val="00F87797"/>
    <w:rsid w:val="00F94A90"/>
    <w:rsid w:val="00F94DFF"/>
    <w:rsid w:val="00F952F6"/>
    <w:rsid w:val="00F95642"/>
    <w:rsid w:val="00FA048C"/>
    <w:rsid w:val="00FA0E4B"/>
    <w:rsid w:val="00FA2BF8"/>
    <w:rsid w:val="00FA4148"/>
    <w:rsid w:val="00FA5179"/>
    <w:rsid w:val="00FB25F9"/>
    <w:rsid w:val="00FB48C6"/>
    <w:rsid w:val="00FB4F95"/>
    <w:rsid w:val="00FB7E56"/>
    <w:rsid w:val="00FC3FFA"/>
    <w:rsid w:val="00FC5592"/>
    <w:rsid w:val="00FD0020"/>
    <w:rsid w:val="00FD086F"/>
    <w:rsid w:val="00FD3820"/>
    <w:rsid w:val="00FD7B2C"/>
    <w:rsid w:val="00FE1039"/>
    <w:rsid w:val="00FE336F"/>
    <w:rsid w:val="00FF0438"/>
    <w:rsid w:val="00FF355C"/>
    <w:rsid w:val="00FF72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E27529-6509-4C45-9658-47367801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ED2"/>
  </w:style>
  <w:style w:type="paragraph" w:styleId="Heading1">
    <w:name w:val="heading 1"/>
    <w:basedOn w:val="Normal"/>
    <w:link w:val="Heading1Char"/>
    <w:uiPriority w:val="9"/>
    <w:qFormat/>
    <w:rsid w:val="007D07CD"/>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4">
    <w:name w:val="heading 4"/>
    <w:basedOn w:val="Normal"/>
    <w:next w:val="Normal"/>
    <w:link w:val="Heading4Char"/>
    <w:uiPriority w:val="9"/>
    <w:semiHidden/>
    <w:unhideWhenUsed/>
    <w:qFormat/>
    <w:rsid w:val="0056214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396E"/>
    <w:rPr>
      <w:color w:val="0000FF" w:themeColor="hyperlink"/>
      <w:u w:val="single"/>
    </w:rPr>
  </w:style>
  <w:style w:type="paragraph" w:styleId="ListParagraph">
    <w:name w:val="List Paragraph"/>
    <w:aliases w:val="text 3"/>
    <w:basedOn w:val="Normal"/>
    <w:link w:val="ListParagraphChar"/>
    <w:uiPriority w:val="34"/>
    <w:qFormat/>
    <w:rsid w:val="00EC4678"/>
    <w:pPr>
      <w:ind w:left="720"/>
      <w:contextualSpacing/>
    </w:pPr>
    <w:rPr>
      <w:rFonts w:ascii="Calibri" w:eastAsia="Calibri" w:hAnsi="Calibri" w:cs="Times New Roman"/>
      <w:lang w:val="id-ID"/>
    </w:rPr>
  </w:style>
  <w:style w:type="paragraph" w:styleId="Header">
    <w:name w:val="header"/>
    <w:basedOn w:val="Normal"/>
    <w:link w:val="HeaderChar"/>
    <w:uiPriority w:val="99"/>
    <w:unhideWhenUsed/>
    <w:rsid w:val="00FA4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148"/>
  </w:style>
  <w:style w:type="paragraph" w:styleId="Footer">
    <w:name w:val="footer"/>
    <w:basedOn w:val="Normal"/>
    <w:link w:val="FooterChar"/>
    <w:uiPriority w:val="99"/>
    <w:unhideWhenUsed/>
    <w:rsid w:val="00FA4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148"/>
  </w:style>
  <w:style w:type="paragraph" w:styleId="BalloonText">
    <w:name w:val="Balloon Text"/>
    <w:basedOn w:val="Normal"/>
    <w:link w:val="BalloonTextChar"/>
    <w:uiPriority w:val="99"/>
    <w:semiHidden/>
    <w:unhideWhenUsed/>
    <w:rsid w:val="008B5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1A2"/>
    <w:rPr>
      <w:rFonts w:ascii="Tahoma" w:hAnsi="Tahoma" w:cs="Tahoma"/>
      <w:sz w:val="16"/>
      <w:szCs w:val="16"/>
    </w:rPr>
  </w:style>
  <w:style w:type="character" w:customStyle="1" w:styleId="hps">
    <w:name w:val="hps"/>
    <w:basedOn w:val="DefaultParagraphFont"/>
    <w:rsid w:val="00D53D7B"/>
  </w:style>
  <w:style w:type="character" w:customStyle="1" w:styleId="atn">
    <w:name w:val="atn"/>
    <w:basedOn w:val="DefaultParagraphFont"/>
    <w:rsid w:val="00D53D7B"/>
  </w:style>
  <w:style w:type="paragraph" w:styleId="BodyText">
    <w:name w:val="Body Text"/>
    <w:basedOn w:val="Normal"/>
    <w:link w:val="BodyTextChar"/>
    <w:rsid w:val="00EB6BE3"/>
    <w:pPr>
      <w:spacing w:after="0" w:line="240" w:lineRule="auto"/>
      <w:jc w:val="center"/>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EB6BE3"/>
    <w:rPr>
      <w:rFonts w:ascii="Times New Roman" w:eastAsia="Times New Roman" w:hAnsi="Times New Roman" w:cs="Times New Roman"/>
      <w:sz w:val="20"/>
      <w:szCs w:val="20"/>
    </w:rPr>
  </w:style>
  <w:style w:type="paragraph" w:customStyle="1" w:styleId="ICTSAuthorIdentity">
    <w:name w:val="ICTS_AuthorIdentity"/>
    <w:basedOn w:val="BodyText3"/>
    <w:rsid w:val="00EB6BE3"/>
    <w:pPr>
      <w:spacing w:after="0" w:line="240" w:lineRule="auto"/>
      <w:jc w:val="center"/>
    </w:pPr>
    <w:rPr>
      <w:rFonts w:ascii="Times New Roman" w:eastAsia="MS Mincho" w:hAnsi="Times New Roman" w:cs="Times New Roman"/>
      <w:sz w:val="20"/>
      <w:szCs w:val="20"/>
    </w:rPr>
  </w:style>
  <w:style w:type="paragraph" w:styleId="BodyText3">
    <w:name w:val="Body Text 3"/>
    <w:basedOn w:val="Normal"/>
    <w:link w:val="BodyText3Char"/>
    <w:uiPriority w:val="99"/>
    <w:semiHidden/>
    <w:unhideWhenUsed/>
    <w:rsid w:val="00EB6BE3"/>
    <w:pPr>
      <w:spacing w:after="120"/>
    </w:pPr>
    <w:rPr>
      <w:sz w:val="16"/>
      <w:szCs w:val="16"/>
    </w:rPr>
  </w:style>
  <w:style w:type="character" w:customStyle="1" w:styleId="BodyText3Char">
    <w:name w:val="Body Text 3 Char"/>
    <w:basedOn w:val="DefaultParagraphFont"/>
    <w:link w:val="BodyText3"/>
    <w:uiPriority w:val="99"/>
    <w:semiHidden/>
    <w:rsid w:val="00EB6BE3"/>
    <w:rPr>
      <w:sz w:val="16"/>
      <w:szCs w:val="16"/>
    </w:rPr>
  </w:style>
  <w:style w:type="paragraph" w:styleId="HTMLPreformatted">
    <w:name w:val="HTML Preformatted"/>
    <w:basedOn w:val="Normal"/>
    <w:link w:val="HTMLPreformattedChar"/>
    <w:uiPriority w:val="99"/>
    <w:unhideWhenUsed/>
    <w:rsid w:val="00CB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CB59F0"/>
    <w:rPr>
      <w:rFonts w:ascii="Courier New" w:eastAsia="Times New Roman" w:hAnsi="Courier New" w:cs="Times New Roman"/>
      <w:sz w:val="20"/>
      <w:szCs w:val="20"/>
    </w:rPr>
  </w:style>
  <w:style w:type="character" w:customStyle="1" w:styleId="st">
    <w:name w:val="st"/>
    <w:basedOn w:val="DefaultParagraphFont"/>
    <w:rsid w:val="005E04AE"/>
  </w:style>
  <w:style w:type="character" w:styleId="PlaceholderText">
    <w:name w:val="Placeholder Text"/>
    <w:basedOn w:val="DefaultParagraphFont"/>
    <w:uiPriority w:val="99"/>
    <w:semiHidden/>
    <w:rsid w:val="00795A34"/>
    <w:rPr>
      <w:color w:val="808080"/>
    </w:rPr>
  </w:style>
  <w:style w:type="paragraph" w:customStyle="1" w:styleId="Default">
    <w:name w:val="Default"/>
    <w:rsid w:val="00A7748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A77486"/>
  </w:style>
  <w:style w:type="paragraph" w:styleId="PlainText">
    <w:name w:val="Plain Text"/>
    <w:basedOn w:val="Normal"/>
    <w:link w:val="PlainTextChar"/>
    <w:uiPriority w:val="99"/>
    <w:unhideWhenUsed/>
    <w:rsid w:val="00A7748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77486"/>
    <w:rPr>
      <w:rFonts w:ascii="Consolas" w:eastAsia="Calibri" w:hAnsi="Consolas" w:cs="Times New Roman"/>
      <w:sz w:val="21"/>
      <w:szCs w:val="21"/>
    </w:rPr>
  </w:style>
  <w:style w:type="table" w:styleId="TableGrid">
    <w:name w:val="Table Grid"/>
    <w:basedOn w:val="TableNormal"/>
    <w:uiPriority w:val="59"/>
    <w:rsid w:val="00AE54B0"/>
    <w:pPr>
      <w:spacing w:after="0" w:line="240" w:lineRule="auto"/>
      <w:jc w:val="both"/>
    </w:pPr>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D07CD"/>
    <w:rPr>
      <w:rFonts w:ascii="Times New Roman" w:eastAsia="Times New Roman" w:hAnsi="Times New Roman" w:cs="Times New Roman"/>
      <w:b/>
      <w:bCs/>
      <w:kern w:val="36"/>
      <w:sz w:val="48"/>
      <w:szCs w:val="48"/>
      <w:lang w:val="id-ID" w:eastAsia="id-ID"/>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123091"/>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23091"/>
    <w:pPr>
      <w:widowControl w:val="0"/>
      <w:shd w:val="clear" w:color="auto" w:fill="FFFFFF"/>
      <w:spacing w:after="0" w:line="250" w:lineRule="exact"/>
      <w:ind w:hanging="460"/>
      <w:jc w:val="center"/>
    </w:pPr>
  </w:style>
  <w:style w:type="character" w:styleId="CommentReference">
    <w:name w:val="annotation reference"/>
    <w:basedOn w:val="DefaultParagraphFont"/>
    <w:uiPriority w:val="99"/>
    <w:semiHidden/>
    <w:unhideWhenUsed/>
    <w:rsid w:val="00123091"/>
    <w:rPr>
      <w:sz w:val="16"/>
      <w:szCs w:val="16"/>
    </w:rPr>
  </w:style>
  <w:style w:type="paragraph" w:styleId="CommentText">
    <w:name w:val="annotation text"/>
    <w:basedOn w:val="Normal"/>
    <w:link w:val="CommentTextChar"/>
    <w:uiPriority w:val="99"/>
    <w:semiHidden/>
    <w:unhideWhenUsed/>
    <w:rsid w:val="00123091"/>
    <w:pPr>
      <w:widowControl w:val="0"/>
      <w:spacing w:after="0" w:line="240" w:lineRule="auto"/>
    </w:pPr>
    <w:rPr>
      <w:rFonts w:ascii="Times New Roman" w:eastAsia="Times New Roman" w:hAnsi="Times New Roman" w:cs="Times New Roman"/>
      <w:color w:val="000000"/>
      <w:sz w:val="20"/>
      <w:szCs w:val="20"/>
      <w:lang w:bidi="en-US"/>
    </w:rPr>
  </w:style>
  <w:style w:type="character" w:customStyle="1" w:styleId="CommentTextChar">
    <w:name w:val="Comment Text Char"/>
    <w:basedOn w:val="DefaultParagraphFont"/>
    <w:link w:val="CommentText"/>
    <w:uiPriority w:val="99"/>
    <w:semiHidden/>
    <w:rsid w:val="00123091"/>
    <w:rPr>
      <w:rFonts w:ascii="Times New Roman" w:eastAsia="Times New Roman" w:hAnsi="Times New Roman" w:cs="Times New Roman"/>
      <w:color w:val="000000"/>
      <w:sz w:val="20"/>
      <w:szCs w:val="20"/>
      <w:lang w:bidi="en-US"/>
    </w:rPr>
  </w:style>
  <w:style w:type="character" w:customStyle="1" w:styleId="MSGENFONTSTYLENAMETEMPLATEROLENUMBERMSGENFONTSTYLENAMEBYROLETEXT6">
    <w:name w:val="MSG_EN_FONT_STYLE_NAME_TEMPLATE_ROLE_NUMBER MSG_EN_FONT_STYLE_NAME_BY_ROLE_TEXT 6_"/>
    <w:basedOn w:val="DefaultParagraphFont"/>
    <w:link w:val="MSGENFONTSTYLENAMETEMPLATEROLENUMBERMSGENFONTSTYLENAMEBYROLETEXT60"/>
    <w:rsid w:val="00F851D1"/>
    <w:rPr>
      <w:b/>
      <w:bCs/>
      <w:i/>
      <w:iCs/>
      <w:shd w:val="clear" w:color="auto" w:fill="FFFFFF"/>
    </w:rPr>
  </w:style>
  <w:style w:type="paragraph" w:customStyle="1" w:styleId="MSGENFONTSTYLENAMETEMPLATEROLENUMBERMSGENFONTSTYLENAMEBYROLETEXT60">
    <w:name w:val="MSG_EN_FONT_STYLE_NAME_TEMPLATE_ROLE_NUMBER MSG_EN_FONT_STYLE_NAME_BY_ROLE_TEXT 6"/>
    <w:basedOn w:val="Normal"/>
    <w:link w:val="MSGENFONTSTYLENAMETEMPLATEROLENUMBERMSGENFONTSTYLENAMEBYROLETEXT6"/>
    <w:rsid w:val="00F851D1"/>
    <w:pPr>
      <w:widowControl w:val="0"/>
      <w:shd w:val="clear" w:color="auto" w:fill="FFFFFF"/>
      <w:spacing w:after="0" w:line="250" w:lineRule="exact"/>
      <w:ind w:hanging="460"/>
    </w:pPr>
    <w:rPr>
      <w:b/>
      <w:bCs/>
      <w:i/>
      <w:iCs/>
    </w:rPr>
  </w:style>
  <w:style w:type="character" w:styleId="FootnoteReference">
    <w:name w:val="footnote reference"/>
    <w:rsid w:val="00AD1ED8"/>
    <w:rPr>
      <w:vertAlign w:val="superscript"/>
    </w:rPr>
  </w:style>
  <w:style w:type="paragraph" w:styleId="FootnoteText">
    <w:name w:val="footnote text"/>
    <w:basedOn w:val="Normal"/>
    <w:link w:val="FootnoteTextChar"/>
    <w:rsid w:val="00AD1ED8"/>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rsid w:val="00AD1ED8"/>
    <w:rPr>
      <w:rFonts w:ascii="Times New Roman" w:eastAsia="Times New Roman" w:hAnsi="Times New Roman" w:cs="Times New Roman"/>
      <w:sz w:val="20"/>
      <w:szCs w:val="20"/>
      <w:lang w:val="en-GB" w:eastAsia="en-GB"/>
    </w:rPr>
  </w:style>
  <w:style w:type="table" w:customStyle="1" w:styleId="LightShading1">
    <w:name w:val="Light Shading1"/>
    <w:basedOn w:val="TableNormal"/>
    <w:uiPriority w:val="60"/>
    <w:rsid w:val="005E0CD7"/>
    <w:pPr>
      <w:spacing w:after="0" w:line="240" w:lineRule="auto"/>
    </w:pPr>
    <w:rPr>
      <w:rFonts w:eastAsiaTheme="minorEastAsia"/>
      <w:color w:val="000000" w:themeColor="text1" w:themeShade="BF"/>
      <w:sz w:val="24"/>
      <w:szCs w:val="24"/>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aliases w:val="Judul Tabel,Gambar,dan Lampiran"/>
    <w:basedOn w:val="Normal"/>
    <w:next w:val="Normal"/>
    <w:uiPriority w:val="35"/>
    <w:unhideWhenUsed/>
    <w:qFormat/>
    <w:rsid w:val="00EA42B1"/>
    <w:pPr>
      <w:spacing w:line="240" w:lineRule="auto"/>
    </w:pPr>
    <w:rPr>
      <w:b/>
      <w:bCs/>
      <w:color w:val="4F81BD" w:themeColor="accent1"/>
      <w:sz w:val="18"/>
      <w:szCs w:val="18"/>
    </w:rPr>
  </w:style>
  <w:style w:type="paragraph" w:customStyle="1" w:styleId="BabIVHeading441">
    <w:name w:val="Bab IV Heading 4.4.1"/>
    <w:basedOn w:val="Normal"/>
    <w:link w:val="BabIVHeading441Char"/>
    <w:qFormat/>
    <w:rsid w:val="0017227A"/>
    <w:pPr>
      <w:keepNext/>
      <w:numPr>
        <w:numId w:val="1"/>
      </w:numPr>
      <w:spacing w:before="240" w:after="60" w:line="360" w:lineRule="auto"/>
      <w:ind w:left="360"/>
      <w:jc w:val="both"/>
      <w:outlineLvl w:val="2"/>
    </w:pPr>
    <w:rPr>
      <w:rFonts w:ascii="Arial" w:eastAsia="Times New Roman" w:hAnsi="Arial" w:cs="Times New Roman"/>
      <w:b/>
      <w:bCs/>
      <w:szCs w:val="26"/>
      <w:lang w:val="id-ID" w:eastAsia="id-ID"/>
    </w:rPr>
  </w:style>
  <w:style w:type="character" w:customStyle="1" w:styleId="BabIVHeading441Char">
    <w:name w:val="Bab IV Heading 4.4.1 Char"/>
    <w:basedOn w:val="DefaultParagraphFont"/>
    <w:link w:val="BabIVHeading441"/>
    <w:rsid w:val="0017227A"/>
    <w:rPr>
      <w:rFonts w:ascii="Arial" w:eastAsia="Times New Roman" w:hAnsi="Arial" w:cs="Times New Roman"/>
      <w:b/>
      <w:bCs/>
      <w:szCs w:val="26"/>
      <w:lang w:val="id-ID" w:eastAsia="id-ID"/>
    </w:rPr>
  </w:style>
  <w:style w:type="character" w:customStyle="1" w:styleId="ListParagraphChar">
    <w:name w:val="List Paragraph Char"/>
    <w:aliases w:val="text 3 Char"/>
    <w:basedOn w:val="DefaultParagraphFont"/>
    <w:link w:val="ListParagraph"/>
    <w:uiPriority w:val="34"/>
    <w:locked/>
    <w:rsid w:val="00561B34"/>
    <w:rPr>
      <w:rFonts w:ascii="Calibri" w:eastAsia="Calibri" w:hAnsi="Calibri" w:cs="Times New Roman"/>
      <w:lang w:val="id-ID"/>
    </w:rPr>
  </w:style>
  <w:style w:type="paragraph" w:customStyle="1" w:styleId="BabIV">
    <w:name w:val="Bab IV"/>
    <w:basedOn w:val="Normal"/>
    <w:link w:val="BabIVChar"/>
    <w:qFormat/>
    <w:rsid w:val="00561B34"/>
    <w:pPr>
      <w:keepNext/>
      <w:numPr>
        <w:numId w:val="2"/>
      </w:numPr>
      <w:spacing w:before="240" w:after="60" w:line="360" w:lineRule="auto"/>
      <w:ind w:left="360"/>
      <w:jc w:val="both"/>
      <w:outlineLvl w:val="1"/>
    </w:pPr>
    <w:rPr>
      <w:rFonts w:ascii="Arial" w:eastAsia="Times New Roman" w:hAnsi="Arial" w:cs="Times New Roman"/>
      <w:b/>
      <w:bCs/>
      <w:iCs/>
      <w:lang w:val="id-ID" w:eastAsia="id-ID"/>
    </w:rPr>
  </w:style>
  <w:style w:type="character" w:customStyle="1" w:styleId="BabIVChar">
    <w:name w:val="Bab IV Char"/>
    <w:basedOn w:val="DefaultParagraphFont"/>
    <w:link w:val="BabIV"/>
    <w:rsid w:val="00561B34"/>
    <w:rPr>
      <w:rFonts w:ascii="Arial" w:eastAsia="Times New Roman" w:hAnsi="Arial" w:cs="Times New Roman"/>
      <w:b/>
      <w:bCs/>
      <w:iCs/>
      <w:lang w:val="id-ID" w:eastAsia="id-ID"/>
    </w:rPr>
  </w:style>
  <w:style w:type="paragraph" w:customStyle="1" w:styleId="BabIVHeading451">
    <w:name w:val="Bab IV Heading 4.5.1"/>
    <w:basedOn w:val="BabIVHeading441"/>
    <w:link w:val="BabIVHeading451Char"/>
    <w:qFormat/>
    <w:rsid w:val="00561B34"/>
    <w:pPr>
      <w:numPr>
        <w:numId w:val="3"/>
      </w:numPr>
      <w:ind w:left="360"/>
    </w:pPr>
  </w:style>
  <w:style w:type="character" w:customStyle="1" w:styleId="BabIVHeading451Char">
    <w:name w:val="Bab IV Heading 4.5.1 Char"/>
    <w:basedOn w:val="BabIVHeading441Char"/>
    <w:link w:val="BabIVHeading451"/>
    <w:rsid w:val="00561B34"/>
    <w:rPr>
      <w:rFonts w:ascii="Arial" w:eastAsia="Times New Roman" w:hAnsi="Arial" w:cs="Times New Roman"/>
      <w:b/>
      <w:bCs/>
      <w:szCs w:val="26"/>
      <w:lang w:val="id-ID" w:eastAsia="id-ID"/>
    </w:rPr>
  </w:style>
  <w:style w:type="paragraph" w:styleId="NormalWeb">
    <w:name w:val="Normal (Web)"/>
    <w:basedOn w:val="Normal"/>
    <w:uiPriority w:val="99"/>
    <w:unhideWhenUsed/>
    <w:rsid w:val="00561B3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61B34"/>
    <w:rPr>
      <w:i/>
      <w:iCs/>
    </w:rPr>
  </w:style>
  <w:style w:type="character" w:customStyle="1" w:styleId="a">
    <w:name w:val="a"/>
    <w:basedOn w:val="DefaultParagraphFont"/>
    <w:rsid w:val="002D4FC9"/>
  </w:style>
  <w:style w:type="paragraph" w:styleId="NoSpacing">
    <w:name w:val="No Spacing"/>
    <w:link w:val="NoSpacingChar"/>
    <w:uiPriority w:val="1"/>
    <w:qFormat/>
    <w:rsid w:val="00F24DAF"/>
    <w:pPr>
      <w:spacing w:after="0" w:line="240" w:lineRule="auto"/>
      <w:ind w:firstLine="567"/>
      <w:jc w:val="both"/>
    </w:pPr>
    <w:rPr>
      <w:rFonts w:ascii="Times New Roman" w:eastAsiaTheme="minorEastAsia" w:hAnsi="Times New Roman"/>
      <w:sz w:val="24"/>
      <w:lang w:eastAsia="ja-JP"/>
    </w:rPr>
  </w:style>
  <w:style w:type="character" w:customStyle="1" w:styleId="NoSpacingChar">
    <w:name w:val="No Spacing Char"/>
    <w:basedOn w:val="DefaultParagraphFont"/>
    <w:link w:val="NoSpacing"/>
    <w:uiPriority w:val="1"/>
    <w:rsid w:val="00F24DAF"/>
    <w:rPr>
      <w:rFonts w:ascii="Times New Roman" w:eastAsiaTheme="minorEastAsia" w:hAnsi="Times New Roman"/>
      <w:sz w:val="24"/>
      <w:lang w:eastAsia="ja-JP"/>
    </w:rPr>
  </w:style>
  <w:style w:type="paragraph" w:customStyle="1" w:styleId="Paragraf">
    <w:name w:val="Paragraf"/>
    <w:basedOn w:val="Normal"/>
    <w:link w:val="ParagrafChar"/>
    <w:qFormat/>
    <w:rsid w:val="00D70CD4"/>
    <w:pPr>
      <w:spacing w:after="0" w:line="240" w:lineRule="auto"/>
      <w:ind w:firstLine="567"/>
      <w:jc w:val="both"/>
    </w:pPr>
    <w:rPr>
      <w:rFonts w:ascii="Times New Roman" w:eastAsia="MS Mincho" w:hAnsi="Times New Roman" w:cs="Arial"/>
      <w:sz w:val="24"/>
      <w:lang w:val="id-ID"/>
    </w:rPr>
  </w:style>
  <w:style w:type="character" w:customStyle="1" w:styleId="ParagrafChar">
    <w:name w:val="Paragraf Char"/>
    <w:link w:val="Paragraf"/>
    <w:rsid w:val="00D70CD4"/>
    <w:rPr>
      <w:rFonts w:ascii="Times New Roman" w:eastAsia="MS Mincho" w:hAnsi="Times New Roman" w:cs="Arial"/>
      <w:sz w:val="24"/>
      <w:lang w:val="id-ID"/>
    </w:rPr>
  </w:style>
  <w:style w:type="paragraph" w:styleId="Title">
    <w:name w:val="Title"/>
    <w:basedOn w:val="Normal"/>
    <w:link w:val="TitleChar"/>
    <w:qFormat/>
    <w:rsid w:val="00C92E03"/>
    <w:pPr>
      <w:spacing w:after="0" w:line="36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C92E03"/>
    <w:rPr>
      <w:rFonts w:ascii="Times New Roman" w:eastAsia="Times New Roman" w:hAnsi="Times New Roman" w:cs="Times New Roman"/>
      <w:b/>
      <w:bCs/>
      <w:sz w:val="24"/>
      <w:szCs w:val="24"/>
    </w:rPr>
  </w:style>
  <w:style w:type="paragraph" w:styleId="Subtitle">
    <w:name w:val="Subtitle"/>
    <w:basedOn w:val="Normal"/>
    <w:link w:val="SubtitleChar"/>
    <w:uiPriority w:val="11"/>
    <w:qFormat/>
    <w:rsid w:val="00817466"/>
    <w:pPr>
      <w:tabs>
        <w:tab w:val="left" w:pos="360"/>
      </w:tabs>
      <w:spacing w:after="0" w:line="360" w:lineRule="auto"/>
      <w:jc w:val="both"/>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uiPriority w:val="11"/>
    <w:rsid w:val="00817466"/>
    <w:rPr>
      <w:rFonts w:ascii="Times New Roman" w:eastAsia="Times New Roman" w:hAnsi="Times New Roman" w:cs="Times New Roman"/>
      <w:b/>
      <w:bCs/>
      <w:sz w:val="24"/>
      <w:szCs w:val="24"/>
    </w:rPr>
  </w:style>
  <w:style w:type="character" w:customStyle="1" w:styleId="binomial">
    <w:name w:val="binomial"/>
    <w:basedOn w:val="DefaultParagraphFont"/>
    <w:rsid w:val="002B26C3"/>
  </w:style>
  <w:style w:type="character" w:customStyle="1" w:styleId="Heading4Char">
    <w:name w:val="Heading 4 Char"/>
    <w:basedOn w:val="DefaultParagraphFont"/>
    <w:link w:val="Heading4"/>
    <w:uiPriority w:val="9"/>
    <w:semiHidden/>
    <w:rsid w:val="00562145"/>
    <w:rPr>
      <w:rFonts w:asciiTheme="majorHAnsi" w:eastAsiaTheme="majorEastAsia" w:hAnsiTheme="majorHAnsi" w:cstheme="majorBidi"/>
      <w:b/>
      <w:bCs/>
      <w:i/>
      <w:iCs/>
      <w:color w:val="4F81BD" w:themeColor="accent1"/>
    </w:rPr>
  </w:style>
  <w:style w:type="table" w:customStyle="1" w:styleId="TableGrid1">
    <w:name w:val="Table Grid1"/>
    <w:basedOn w:val="TableNormal"/>
    <w:next w:val="TableGrid"/>
    <w:uiPriority w:val="59"/>
    <w:rsid w:val="007119D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402F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1F1F6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F1F68"/>
    <w:rPr>
      <w:rFonts w:ascii="Times New Roman" w:eastAsia="Times New Roman" w:hAnsi="Times New Roman" w:cs="Times New Roman"/>
      <w:sz w:val="24"/>
      <w:szCs w:val="24"/>
    </w:rPr>
  </w:style>
  <w:style w:type="paragraph" w:customStyle="1" w:styleId="Bodytext0">
    <w:name w:val="Bodytext"/>
    <w:rsid w:val="00EC612F"/>
    <w:pPr>
      <w:spacing w:after="0" w:line="240" w:lineRule="auto"/>
      <w:jc w:val="both"/>
    </w:pPr>
    <w:rPr>
      <w:rFonts w:ascii="Arial" w:eastAsia="Times New Roman" w:hAnsi="Arial" w:cs="Times New Roman"/>
      <w:sz w:val="20"/>
      <w:szCs w:val="24"/>
    </w:rPr>
  </w:style>
  <w:style w:type="paragraph" w:customStyle="1" w:styleId="HEAD2">
    <w:name w:val="HEAD 2"/>
    <w:basedOn w:val="Bodytext0"/>
    <w:rsid w:val="00EC612F"/>
    <w:pPr>
      <w:spacing w:before="240" w:after="120"/>
    </w:pPr>
    <w:rPr>
      <w:b/>
    </w:rPr>
  </w:style>
  <w:style w:type="paragraph" w:customStyle="1" w:styleId="Head1">
    <w:name w:val="Head 1"/>
    <w:basedOn w:val="Normal"/>
    <w:rsid w:val="008747E6"/>
    <w:pPr>
      <w:spacing w:before="360" w:after="120" w:line="240" w:lineRule="auto"/>
      <w:jc w:val="center"/>
    </w:pPr>
    <w:rPr>
      <w:rFonts w:ascii="Arial" w:eastAsia="Times New Roman" w:hAnsi="Arial" w:cs="Times New Roman"/>
      <w:b/>
      <w:caps/>
      <w:sz w:val="20"/>
      <w:szCs w:val="24"/>
    </w:rPr>
  </w:style>
  <w:style w:type="paragraph" w:customStyle="1" w:styleId="ReferenceText">
    <w:name w:val="Reference Text"/>
    <w:rsid w:val="008747E6"/>
    <w:pPr>
      <w:spacing w:after="240" w:line="240" w:lineRule="auto"/>
      <w:ind w:left="720" w:hanging="720"/>
      <w:jc w:val="both"/>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ulbasrun@gmail.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2CB91-5FF0-495A-844A-ABB60AE99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18355</Words>
  <Characters>104630</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Idea</dc:creator>
  <cp:lastModifiedBy>Microsoft account</cp:lastModifiedBy>
  <cp:revision>20</cp:revision>
  <cp:lastPrinted>2017-05-13T14:39:00Z</cp:lastPrinted>
  <dcterms:created xsi:type="dcterms:W3CDTF">2017-06-20T21:22:00Z</dcterms:created>
  <dcterms:modified xsi:type="dcterms:W3CDTF">2022-09-18T10:05:00Z</dcterms:modified>
</cp:coreProperties>
</file>