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7113" w:rsidRPr="00AB7113" w:rsidRDefault="00AB7113" w:rsidP="002F51E5">
      <w:pPr>
        <w:rPr>
          <w:b/>
          <w:bCs/>
          <w:color w:val="FF0000"/>
          <w:sz w:val="32"/>
          <w:szCs w:val="32"/>
        </w:rPr>
      </w:pPr>
    </w:p>
    <w:p w:rsidR="002F51E5" w:rsidRPr="00AB7113" w:rsidRDefault="00AB7113" w:rsidP="002F51E5">
      <w:pPr>
        <w:rPr>
          <w:b/>
          <w:bCs/>
          <w:sz w:val="32"/>
          <w:szCs w:val="32"/>
        </w:rPr>
      </w:pPr>
      <w:r w:rsidRPr="00AB7113">
        <w:rPr>
          <w:b/>
          <w:bCs/>
          <w:color w:val="0E101A"/>
          <w:sz w:val="32"/>
          <w:szCs w:val="32"/>
        </w:rPr>
        <w:t xml:space="preserve">Symbolic Economy of Authenticity in City Branding: A Visual Semiotic Analysis of </w:t>
      </w:r>
      <w:proofErr w:type="spellStart"/>
      <w:r w:rsidRPr="00AB7113">
        <w:rPr>
          <w:b/>
          <w:bCs/>
          <w:sz w:val="32"/>
          <w:szCs w:val="32"/>
        </w:rPr>
        <w:t>Batam</w:t>
      </w:r>
      <w:proofErr w:type="spellEnd"/>
      <w:r w:rsidRPr="00AB7113">
        <w:rPr>
          <w:b/>
          <w:bCs/>
          <w:sz w:val="32"/>
          <w:szCs w:val="32"/>
        </w:rPr>
        <w:t xml:space="preserve"> Destination Promotion Content on </w:t>
      </w:r>
      <w:proofErr w:type="spellStart"/>
      <w:r w:rsidRPr="00AB7113">
        <w:rPr>
          <w:b/>
          <w:bCs/>
          <w:sz w:val="32"/>
          <w:szCs w:val="32"/>
        </w:rPr>
        <w:t>Social</w:t>
      </w:r>
      <w:r w:rsidRPr="00AB7113">
        <w:rPr>
          <w:b/>
          <w:bCs/>
          <w:sz w:val="32"/>
          <w:szCs w:val="32"/>
        </w:rPr>
        <w:t>Media</w:t>
      </w:r>
      <w:proofErr w:type="spellEnd"/>
    </w:p>
    <w:p w:rsidR="002F51E5" w:rsidRDefault="002F51E5">
      <w:pPr>
        <w:jc w:val="center"/>
        <w:rPr>
          <w:b/>
          <w:bCs/>
          <w:color w:val="000000"/>
          <w:sz w:val="32"/>
          <w:szCs w:val="32"/>
          <w:lang w:val="id-ID"/>
        </w:rPr>
      </w:pPr>
    </w:p>
    <w:p w:rsidR="002F51E5" w:rsidRPr="002F51E5" w:rsidRDefault="002F51E5" w:rsidP="002F51E5">
      <w:pPr>
        <w:jc w:val="center"/>
        <w:rPr>
          <w:b/>
          <w:bCs/>
          <w:sz w:val="24"/>
          <w:szCs w:val="24"/>
          <w:vertAlign w:val="superscript"/>
        </w:rPr>
      </w:pPr>
      <w:r w:rsidRPr="002F51E5">
        <w:rPr>
          <w:b/>
          <w:bCs/>
          <w:sz w:val="24"/>
          <w:szCs w:val="24"/>
        </w:rPr>
        <w:t>Taufiqqurrachman</w:t>
      </w:r>
      <w:r w:rsidRPr="002F51E5">
        <w:rPr>
          <w:b/>
          <w:bCs/>
          <w:sz w:val="24"/>
          <w:szCs w:val="24"/>
          <w:vertAlign w:val="superscript"/>
        </w:rPr>
        <w:t>1</w:t>
      </w:r>
      <w:r w:rsidRPr="002F51E5">
        <w:rPr>
          <w:b/>
          <w:bCs/>
          <w:sz w:val="24"/>
          <w:szCs w:val="24"/>
        </w:rPr>
        <w:t xml:space="preserve">, </w:t>
      </w:r>
      <w:proofErr w:type="spellStart"/>
      <w:r w:rsidRPr="002F51E5">
        <w:rPr>
          <w:b/>
          <w:bCs/>
          <w:sz w:val="24"/>
          <w:szCs w:val="24"/>
        </w:rPr>
        <w:t>Jamhur</w:t>
      </w:r>
      <w:proofErr w:type="spellEnd"/>
      <w:r w:rsidRPr="002F51E5">
        <w:rPr>
          <w:b/>
          <w:bCs/>
          <w:spacing w:val="-1"/>
          <w:sz w:val="24"/>
          <w:szCs w:val="24"/>
        </w:rPr>
        <w:t xml:space="preserve"> </w:t>
      </w:r>
      <w:r w:rsidRPr="002F51E5">
        <w:rPr>
          <w:b/>
          <w:bCs/>
          <w:sz w:val="24"/>
          <w:szCs w:val="24"/>
        </w:rPr>
        <w:t>Poti</w:t>
      </w:r>
      <w:r w:rsidRPr="002F51E5">
        <w:rPr>
          <w:b/>
          <w:bCs/>
          <w:sz w:val="24"/>
          <w:szCs w:val="24"/>
          <w:vertAlign w:val="superscript"/>
        </w:rPr>
        <w:t>2</w:t>
      </w:r>
      <w:r w:rsidRPr="002F51E5">
        <w:rPr>
          <w:b/>
          <w:bCs/>
          <w:sz w:val="24"/>
          <w:szCs w:val="24"/>
        </w:rPr>
        <w:t xml:space="preserve">, </w:t>
      </w:r>
      <w:proofErr w:type="spellStart"/>
      <w:r w:rsidRPr="002F51E5">
        <w:rPr>
          <w:b/>
          <w:bCs/>
          <w:sz w:val="24"/>
          <w:szCs w:val="24"/>
        </w:rPr>
        <w:t>Annissa</w:t>
      </w:r>
      <w:proofErr w:type="spellEnd"/>
      <w:r w:rsidRPr="002F51E5">
        <w:rPr>
          <w:b/>
          <w:bCs/>
          <w:sz w:val="24"/>
          <w:szCs w:val="24"/>
        </w:rPr>
        <w:t xml:space="preserve"> Valentina</w:t>
      </w:r>
      <w:r w:rsidRPr="002F51E5">
        <w:rPr>
          <w:b/>
          <w:bCs/>
          <w:sz w:val="24"/>
          <w:szCs w:val="24"/>
          <w:vertAlign w:val="superscript"/>
        </w:rPr>
        <w:t>3</w:t>
      </w:r>
      <w:r w:rsidRPr="002F51E5">
        <w:rPr>
          <w:b/>
          <w:bCs/>
          <w:sz w:val="24"/>
          <w:szCs w:val="24"/>
        </w:rPr>
        <w:t>, Maria Mahdalena</w:t>
      </w:r>
      <w:r w:rsidRPr="002F51E5">
        <w:rPr>
          <w:b/>
          <w:bCs/>
          <w:sz w:val="24"/>
          <w:szCs w:val="24"/>
          <w:vertAlign w:val="superscript"/>
        </w:rPr>
        <w:t>4</w:t>
      </w:r>
    </w:p>
    <w:p w:rsidR="002F51E5" w:rsidRPr="002F51E5" w:rsidRDefault="002F51E5" w:rsidP="002F51E5">
      <w:pPr>
        <w:jc w:val="center"/>
        <w:rPr>
          <w:sz w:val="24"/>
          <w:szCs w:val="24"/>
        </w:rPr>
      </w:pPr>
      <w:r w:rsidRPr="002F51E5">
        <w:rPr>
          <w:sz w:val="24"/>
          <w:szCs w:val="24"/>
          <w:vertAlign w:val="superscript"/>
        </w:rPr>
        <w:t xml:space="preserve">1234 </w:t>
      </w:r>
      <w:r w:rsidRPr="002F51E5">
        <w:rPr>
          <w:sz w:val="24"/>
          <w:szCs w:val="24"/>
        </w:rPr>
        <w:t xml:space="preserve">Prodi Kajian Film, </w:t>
      </w:r>
      <w:proofErr w:type="spellStart"/>
      <w:r w:rsidRPr="002F51E5">
        <w:rPr>
          <w:sz w:val="24"/>
          <w:szCs w:val="24"/>
        </w:rPr>
        <w:t>Televisi</w:t>
      </w:r>
      <w:proofErr w:type="spellEnd"/>
      <w:r w:rsidRPr="002F51E5">
        <w:rPr>
          <w:sz w:val="24"/>
          <w:szCs w:val="24"/>
        </w:rPr>
        <w:t xml:space="preserve"> dan Media, </w:t>
      </w:r>
      <w:proofErr w:type="spellStart"/>
      <w:r w:rsidRPr="002F51E5">
        <w:rPr>
          <w:sz w:val="24"/>
          <w:szCs w:val="24"/>
        </w:rPr>
        <w:t>Fakultas</w:t>
      </w:r>
      <w:proofErr w:type="spellEnd"/>
      <w:r w:rsidRPr="002F51E5">
        <w:rPr>
          <w:sz w:val="24"/>
          <w:szCs w:val="24"/>
        </w:rPr>
        <w:t xml:space="preserve"> </w:t>
      </w:r>
      <w:proofErr w:type="spellStart"/>
      <w:r w:rsidRPr="002F51E5">
        <w:rPr>
          <w:sz w:val="24"/>
          <w:szCs w:val="24"/>
        </w:rPr>
        <w:t>Ilmu</w:t>
      </w:r>
      <w:proofErr w:type="spellEnd"/>
      <w:r w:rsidRPr="002F51E5">
        <w:rPr>
          <w:sz w:val="24"/>
          <w:szCs w:val="24"/>
        </w:rPr>
        <w:t xml:space="preserve"> </w:t>
      </w:r>
      <w:proofErr w:type="spellStart"/>
      <w:r w:rsidRPr="002F51E5">
        <w:rPr>
          <w:sz w:val="24"/>
          <w:szCs w:val="24"/>
        </w:rPr>
        <w:t>Sosial</w:t>
      </w:r>
      <w:proofErr w:type="spellEnd"/>
      <w:r w:rsidRPr="002F51E5">
        <w:rPr>
          <w:sz w:val="24"/>
          <w:szCs w:val="24"/>
        </w:rPr>
        <w:t xml:space="preserve"> dan </w:t>
      </w:r>
      <w:proofErr w:type="spellStart"/>
      <w:r w:rsidRPr="002F51E5">
        <w:rPr>
          <w:sz w:val="24"/>
          <w:szCs w:val="24"/>
        </w:rPr>
        <w:t>Ilmu</w:t>
      </w:r>
      <w:proofErr w:type="spellEnd"/>
      <w:r w:rsidRPr="002F51E5">
        <w:rPr>
          <w:sz w:val="24"/>
          <w:szCs w:val="24"/>
        </w:rPr>
        <w:t xml:space="preserve"> </w:t>
      </w:r>
      <w:proofErr w:type="spellStart"/>
      <w:r w:rsidRPr="002F51E5">
        <w:rPr>
          <w:sz w:val="24"/>
          <w:szCs w:val="24"/>
        </w:rPr>
        <w:t>Politik</w:t>
      </w:r>
      <w:proofErr w:type="spellEnd"/>
      <w:r w:rsidRPr="002F51E5">
        <w:rPr>
          <w:sz w:val="24"/>
          <w:szCs w:val="24"/>
        </w:rPr>
        <w:t>, Universitas Maritim Raja Ali Haji</w:t>
      </w:r>
    </w:p>
    <w:p w:rsidR="002F51E5" w:rsidRDefault="002F51E5">
      <w:pPr>
        <w:jc w:val="center"/>
        <w:rPr>
          <w:b/>
          <w:bCs/>
          <w:color w:val="000000"/>
          <w:sz w:val="24"/>
          <w:szCs w:val="24"/>
          <w:lang w:val="id-ID"/>
        </w:rPr>
      </w:pPr>
    </w:p>
    <w:p w:rsidR="00F639A5" w:rsidRDefault="00F639A5">
      <w:pPr>
        <w:rPr>
          <w:color w:val="000000"/>
          <w:sz w:val="24"/>
          <w:szCs w:val="24"/>
        </w:rPr>
      </w:pPr>
    </w:p>
    <w:tbl>
      <w:tblPr>
        <w:tblStyle w:val="TableGrid"/>
        <w:tblW w:w="8897" w:type="dxa"/>
        <w:tblLook w:val="04A0" w:firstRow="1" w:lastRow="0" w:firstColumn="1" w:lastColumn="0" w:noHBand="0" w:noVBand="1"/>
      </w:tblPr>
      <w:tblGrid>
        <w:gridCol w:w="2376"/>
        <w:gridCol w:w="283"/>
        <w:gridCol w:w="6238"/>
      </w:tblGrid>
      <w:tr w:rsidR="00F639A5" w:rsidTr="006B146E">
        <w:trPr>
          <w:trHeight w:val="415"/>
        </w:trPr>
        <w:tc>
          <w:tcPr>
            <w:tcW w:w="2376" w:type="dxa"/>
            <w:tcBorders>
              <w:top w:val="double" w:sz="4" w:space="0" w:color="auto"/>
              <w:left w:val="nil"/>
              <w:bottom w:val="single" w:sz="4" w:space="0" w:color="auto"/>
              <w:right w:val="nil"/>
            </w:tcBorders>
            <w:vAlign w:val="center"/>
          </w:tcPr>
          <w:p w:rsidR="00F639A5" w:rsidRDefault="00AE153F">
            <w:pPr>
              <w:contextualSpacing/>
              <w:rPr>
                <w:b/>
                <w:color w:val="000000"/>
              </w:rPr>
            </w:pPr>
            <w:r>
              <w:rPr>
                <w:b/>
                <w:color w:val="000000"/>
              </w:rPr>
              <w:t>Article Info</w:t>
            </w:r>
          </w:p>
        </w:tc>
        <w:tc>
          <w:tcPr>
            <w:tcW w:w="283" w:type="dxa"/>
            <w:tcBorders>
              <w:top w:val="double" w:sz="4" w:space="0" w:color="auto"/>
              <w:left w:val="nil"/>
              <w:bottom w:val="nil"/>
              <w:right w:val="nil"/>
            </w:tcBorders>
            <w:vAlign w:val="center"/>
          </w:tcPr>
          <w:p w:rsidR="00F639A5" w:rsidRDefault="00F639A5">
            <w:pPr>
              <w:contextualSpacing/>
              <w:rPr>
                <w:color w:val="000000"/>
              </w:rPr>
            </w:pPr>
          </w:p>
        </w:tc>
        <w:tc>
          <w:tcPr>
            <w:tcW w:w="6238" w:type="dxa"/>
            <w:tcBorders>
              <w:top w:val="double" w:sz="4" w:space="0" w:color="auto"/>
              <w:left w:val="nil"/>
              <w:bottom w:val="single" w:sz="4" w:space="0" w:color="auto"/>
              <w:right w:val="nil"/>
            </w:tcBorders>
            <w:vAlign w:val="center"/>
          </w:tcPr>
          <w:p w:rsidR="00F639A5" w:rsidRDefault="00AE153F">
            <w:pPr>
              <w:contextualSpacing/>
              <w:rPr>
                <w:color w:val="000000"/>
              </w:rPr>
            </w:pPr>
            <w:r>
              <w:rPr>
                <w:b/>
                <w:bCs/>
                <w:iCs/>
                <w:color w:val="000000"/>
              </w:rPr>
              <w:t>Abstract</w:t>
            </w:r>
          </w:p>
        </w:tc>
      </w:tr>
      <w:tr w:rsidR="00F639A5" w:rsidTr="006B146E">
        <w:trPr>
          <w:trHeight w:val="1279"/>
        </w:trPr>
        <w:tc>
          <w:tcPr>
            <w:tcW w:w="2376" w:type="dxa"/>
            <w:tcBorders>
              <w:top w:val="single" w:sz="4" w:space="0" w:color="auto"/>
              <w:left w:val="nil"/>
              <w:bottom w:val="single" w:sz="4" w:space="0" w:color="auto"/>
              <w:right w:val="nil"/>
            </w:tcBorders>
            <w:vAlign w:val="center"/>
          </w:tcPr>
          <w:p w:rsidR="00F639A5" w:rsidRDefault="00AE153F">
            <w:pPr>
              <w:contextualSpacing/>
              <w:rPr>
                <w:b/>
                <w:color w:val="000000"/>
              </w:rPr>
            </w:pPr>
            <w:r>
              <w:rPr>
                <w:b/>
                <w:color w:val="000000"/>
              </w:rPr>
              <w:t>Article history:</w:t>
            </w:r>
          </w:p>
          <w:p w:rsidR="00F639A5" w:rsidRDefault="00AE153F">
            <w:pPr>
              <w:contextualSpacing/>
              <w:rPr>
                <w:color w:val="000000"/>
              </w:rPr>
            </w:pPr>
            <w:r>
              <w:rPr>
                <w:color w:val="000000"/>
              </w:rPr>
              <w:t xml:space="preserve">Received </w:t>
            </w:r>
            <w:proofErr w:type="spellStart"/>
            <w:r w:rsidRPr="006B146E">
              <w:rPr>
                <w:color w:val="000000"/>
                <w:highlight w:val="yellow"/>
                <w:lang w:val="id-ID"/>
              </w:rPr>
              <w:t>Sept</w:t>
            </w:r>
            <w:proofErr w:type="spellEnd"/>
            <w:r w:rsidRPr="006B146E">
              <w:rPr>
                <w:color w:val="000000"/>
                <w:highlight w:val="yellow"/>
                <w:lang w:val="id-ID"/>
              </w:rPr>
              <w:t xml:space="preserve"> </w:t>
            </w:r>
            <w:r w:rsidRPr="006B146E">
              <w:rPr>
                <w:color w:val="000000"/>
                <w:highlight w:val="yellow"/>
              </w:rPr>
              <w:t>12</w:t>
            </w:r>
            <w:r w:rsidRPr="006B146E">
              <w:rPr>
                <w:color w:val="000000"/>
                <w:highlight w:val="yellow"/>
                <w:vertAlign w:val="superscript"/>
              </w:rPr>
              <w:t>th</w:t>
            </w:r>
            <w:r w:rsidRPr="006B146E">
              <w:rPr>
                <w:color w:val="000000"/>
                <w:highlight w:val="yellow"/>
              </w:rPr>
              <w:t>, 2016</w:t>
            </w:r>
          </w:p>
          <w:p w:rsidR="00F639A5" w:rsidRDefault="00AE153F">
            <w:pPr>
              <w:contextualSpacing/>
              <w:rPr>
                <w:color w:val="000000"/>
              </w:rPr>
            </w:pPr>
            <w:r>
              <w:rPr>
                <w:color w:val="000000"/>
              </w:rPr>
              <w:t xml:space="preserve">Accepted </w:t>
            </w:r>
            <w:r w:rsidRPr="006B146E">
              <w:rPr>
                <w:color w:val="000000"/>
                <w:highlight w:val="yellow"/>
                <w:lang w:val="id-ID"/>
              </w:rPr>
              <w:t xml:space="preserve">Nov </w:t>
            </w:r>
            <w:r w:rsidRPr="006B146E">
              <w:rPr>
                <w:color w:val="000000"/>
                <w:highlight w:val="yellow"/>
              </w:rPr>
              <w:t>26</w:t>
            </w:r>
            <w:r w:rsidRPr="006B146E">
              <w:rPr>
                <w:color w:val="000000"/>
                <w:highlight w:val="yellow"/>
                <w:vertAlign w:val="superscript"/>
              </w:rPr>
              <w:t>th</w:t>
            </w:r>
            <w:r w:rsidRPr="006B146E">
              <w:rPr>
                <w:color w:val="000000"/>
                <w:highlight w:val="yellow"/>
              </w:rPr>
              <w:t>, 2017</w:t>
            </w:r>
          </w:p>
          <w:p w:rsidR="00F639A5" w:rsidRDefault="00AE153F">
            <w:pPr>
              <w:contextualSpacing/>
              <w:rPr>
                <w:color w:val="000000"/>
                <w:lang w:val="id-ID"/>
              </w:rPr>
            </w:pPr>
            <w:proofErr w:type="spellStart"/>
            <w:r>
              <w:rPr>
                <w:color w:val="000000"/>
                <w:lang w:val="id-ID"/>
              </w:rPr>
              <w:t>Published</w:t>
            </w:r>
            <w:proofErr w:type="spellEnd"/>
            <w:r>
              <w:rPr>
                <w:color w:val="000000"/>
                <w:lang w:val="id-ID"/>
              </w:rPr>
              <w:t xml:space="preserve"> </w:t>
            </w:r>
            <w:r w:rsidRPr="006B146E">
              <w:rPr>
                <w:color w:val="000000"/>
                <w:highlight w:val="yellow"/>
                <w:lang w:val="id-ID"/>
              </w:rPr>
              <w:t>Jan 15</w:t>
            </w:r>
            <w:r w:rsidRPr="006B146E">
              <w:rPr>
                <w:color w:val="000000"/>
                <w:highlight w:val="yellow"/>
                <w:vertAlign w:val="superscript"/>
                <w:lang w:val="id-ID"/>
              </w:rPr>
              <w:t>th</w:t>
            </w:r>
            <w:r w:rsidRPr="006B146E">
              <w:rPr>
                <w:color w:val="000000"/>
                <w:highlight w:val="yellow"/>
                <w:lang w:val="id-ID"/>
              </w:rPr>
              <w:t>, 2017</w:t>
            </w:r>
          </w:p>
        </w:tc>
        <w:tc>
          <w:tcPr>
            <w:tcW w:w="283" w:type="dxa"/>
            <w:vMerge w:val="restart"/>
            <w:tcBorders>
              <w:top w:val="nil"/>
              <w:left w:val="nil"/>
              <w:bottom w:val="nil"/>
              <w:right w:val="nil"/>
            </w:tcBorders>
          </w:tcPr>
          <w:p w:rsidR="00F639A5" w:rsidRDefault="00F639A5">
            <w:pPr>
              <w:contextualSpacing/>
              <w:jc w:val="both"/>
              <w:rPr>
                <w:color w:val="000000"/>
              </w:rPr>
            </w:pPr>
          </w:p>
        </w:tc>
        <w:tc>
          <w:tcPr>
            <w:tcW w:w="6238" w:type="dxa"/>
            <w:vMerge w:val="restart"/>
            <w:tcBorders>
              <w:top w:val="single" w:sz="4" w:space="0" w:color="auto"/>
              <w:left w:val="nil"/>
              <w:bottom w:val="nil"/>
              <w:right w:val="nil"/>
            </w:tcBorders>
          </w:tcPr>
          <w:p w:rsidR="002F51E5" w:rsidRPr="006F7F4A" w:rsidRDefault="002F51E5" w:rsidP="002F51E5">
            <w:pPr>
              <w:jc w:val="both"/>
              <w:rPr>
                <w:rFonts w:ascii="Candara" w:hAnsi="Candara" w:cs="Arial"/>
                <w:sz w:val="18"/>
                <w:szCs w:val="18"/>
              </w:rPr>
            </w:pPr>
            <w:r w:rsidRPr="002F51E5">
              <w:t xml:space="preserve">Studies have proven that social media produces and attaches various cultural meanings to a city. This research attempts to reveal how the city of </w:t>
            </w:r>
            <w:proofErr w:type="spellStart"/>
            <w:r w:rsidRPr="002F51E5">
              <w:t>Batam</w:t>
            </w:r>
            <w:proofErr w:type="spellEnd"/>
            <w:r w:rsidRPr="002F51E5">
              <w:t xml:space="preserve"> is represented through various promotional materials for local tourist destinations from a symbolic economic perspective. This research data is visual content produced by the local DMO (</w:t>
            </w:r>
            <w:proofErr w:type="spellStart"/>
            <w:r w:rsidRPr="002F51E5">
              <w:t>Batam</w:t>
            </w:r>
            <w:proofErr w:type="spellEnd"/>
            <w:r w:rsidRPr="002F51E5">
              <w:t xml:space="preserve"> Bureau of Tourism and Culture) and uploaded to the DMO's official Instagram account. Semiotic analysis techniques were applied to analyze these data. The research found that various elements of Malay culture were exploited for the production of tourism promotional materials in order to associate the city with the idea of an authentic Malay destination. Several elements of cultural authenticity are attached to the destination by the local tourism bureau behind the process of city branding, such as origins, creativity, and genuineness. Finally, this research discusses its findings' theoretical and practical contributions and offers several suggestions for future research.</w:t>
            </w:r>
          </w:p>
          <w:p w:rsidR="00F639A5" w:rsidRDefault="00AE153F" w:rsidP="00EA0C03">
            <w:pPr>
              <w:contextualSpacing/>
              <w:jc w:val="both"/>
              <w:rPr>
                <w:i/>
                <w:color w:val="000000"/>
              </w:rPr>
            </w:pPr>
            <w:r>
              <w:rPr>
                <w:i/>
                <w:iCs/>
                <w:color w:val="000000"/>
              </w:rPr>
              <w:t xml:space="preserve"> </w:t>
            </w:r>
          </w:p>
        </w:tc>
      </w:tr>
      <w:tr w:rsidR="006B146E" w:rsidTr="006B146E">
        <w:trPr>
          <w:trHeight w:val="1275"/>
        </w:trPr>
        <w:tc>
          <w:tcPr>
            <w:tcW w:w="2376" w:type="dxa"/>
            <w:vMerge w:val="restart"/>
            <w:tcBorders>
              <w:top w:val="single" w:sz="4" w:space="0" w:color="auto"/>
              <w:left w:val="nil"/>
              <w:right w:val="nil"/>
            </w:tcBorders>
          </w:tcPr>
          <w:p w:rsidR="006B146E" w:rsidRDefault="006B146E">
            <w:pPr>
              <w:contextualSpacing/>
              <w:rPr>
                <w:b/>
                <w:color w:val="000000"/>
              </w:rPr>
            </w:pPr>
          </w:p>
          <w:p w:rsidR="006B146E" w:rsidRDefault="006B146E">
            <w:pPr>
              <w:contextualSpacing/>
              <w:rPr>
                <w:b/>
                <w:color w:val="000000"/>
              </w:rPr>
            </w:pPr>
            <w:r>
              <w:rPr>
                <w:b/>
                <w:color w:val="000000"/>
              </w:rPr>
              <w:t>Keyword:</w:t>
            </w:r>
          </w:p>
          <w:p w:rsidR="006B146E" w:rsidRDefault="002F51E5">
            <w:pPr>
              <w:contextualSpacing/>
              <w:rPr>
                <w:i/>
                <w:color w:val="000000"/>
              </w:rPr>
            </w:pPr>
            <w:r>
              <w:rPr>
                <w:i/>
                <w:color w:val="000000"/>
              </w:rPr>
              <w:t>Media Social; Instagram;</w:t>
            </w:r>
          </w:p>
          <w:p w:rsidR="002F51E5" w:rsidRPr="000671DC" w:rsidRDefault="002F51E5">
            <w:pPr>
              <w:contextualSpacing/>
              <w:rPr>
                <w:i/>
                <w:iCs/>
                <w:color w:val="000000"/>
              </w:rPr>
            </w:pPr>
            <w:r w:rsidRPr="000671DC">
              <w:rPr>
                <w:rFonts w:ascii="Arial" w:hAnsi="Arial" w:cs="Arial"/>
                <w:i/>
                <w:iCs/>
                <w:sz w:val="18"/>
                <w:szCs w:val="18"/>
              </w:rPr>
              <w:t>Symbolic Economies</w:t>
            </w:r>
            <w:r w:rsidRPr="000671DC">
              <w:rPr>
                <w:rFonts w:ascii="Arial" w:hAnsi="Arial" w:cs="Arial"/>
                <w:i/>
                <w:iCs/>
                <w:sz w:val="18"/>
                <w:szCs w:val="18"/>
              </w:rPr>
              <w:t xml:space="preserve">; Malay Culture; </w:t>
            </w:r>
            <w:r w:rsidRPr="000671DC">
              <w:rPr>
                <w:rFonts w:ascii="Arial" w:hAnsi="Arial" w:cs="Arial"/>
                <w:i/>
                <w:iCs/>
                <w:sz w:val="18"/>
                <w:szCs w:val="18"/>
              </w:rPr>
              <w:t>Semiotics</w:t>
            </w:r>
            <w:r w:rsidRPr="000671DC">
              <w:rPr>
                <w:rFonts w:ascii="Arial" w:hAnsi="Arial" w:cs="Arial"/>
                <w:i/>
                <w:iCs/>
                <w:sz w:val="18"/>
                <w:szCs w:val="18"/>
              </w:rPr>
              <w:t>.</w:t>
            </w:r>
          </w:p>
        </w:tc>
        <w:tc>
          <w:tcPr>
            <w:tcW w:w="283" w:type="dxa"/>
            <w:vMerge/>
            <w:tcBorders>
              <w:top w:val="nil"/>
              <w:left w:val="nil"/>
              <w:bottom w:val="nil"/>
              <w:right w:val="nil"/>
            </w:tcBorders>
          </w:tcPr>
          <w:p w:rsidR="006B146E" w:rsidRDefault="006B146E">
            <w:pPr>
              <w:contextualSpacing/>
              <w:jc w:val="both"/>
              <w:rPr>
                <w:color w:val="000000"/>
              </w:rPr>
            </w:pPr>
          </w:p>
        </w:tc>
        <w:tc>
          <w:tcPr>
            <w:tcW w:w="6238" w:type="dxa"/>
            <w:vMerge/>
            <w:tcBorders>
              <w:top w:val="nil"/>
              <w:left w:val="nil"/>
              <w:bottom w:val="nil"/>
              <w:right w:val="nil"/>
            </w:tcBorders>
          </w:tcPr>
          <w:p w:rsidR="006B146E" w:rsidRDefault="006B146E">
            <w:pPr>
              <w:contextualSpacing/>
              <w:jc w:val="both"/>
              <w:rPr>
                <w:iCs/>
                <w:color w:val="000000"/>
              </w:rPr>
            </w:pPr>
          </w:p>
        </w:tc>
      </w:tr>
      <w:tr w:rsidR="006B146E" w:rsidTr="006B146E">
        <w:trPr>
          <w:trHeight w:val="539"/>
        </w:trPr>
        <w:tc>
          <w:tcPr>
            <w:tcW w:w="2376" w:type="dxa"/>
            <w:vMerge/>
            <w:tcBorders>
              <w:left w:val="nil"/>
              <w:bottom w:val="single" w:sz="4" w:space="0" w:color="auto"/>
              <w:right w:val="nil"/>
            </w:tcBorders>
            <w:vAlign w:val="center"/>
          </w:tcPr>
          <w:p w:rsidR="006B146E" w:rsidRDefault="006B146E">
            <w:pPr>
              <w:contextualSpacing/>
              <w:rPr>
                <w:color w:val="000000"/>
              </w:rPr>
            </w:pPr>
          </w:p>
        </w:tc>
        <w:tc>
          <w:tcPr>
            <w:tcW w:w="283" w:type="dxa"/>
            <w:vMerge/>
            <w:tcBorders>
              <w:top w:val="nil"/>
              <w:left w:val="nil"/>
              <w:bottom w:val="nil"/>
              <w:right w:val="nil"/>
            </w:tcBorders>
          </w:tcPr>
          <w:p w:rsidR="006B146E" w:rsidRDefault="006B146E">
            <w:pPr>
              <w:contextualSpacing/>
              <w:jc w:val="both"/>
              <w:rPr>
                <w:color w:val="000000"/>
              </w:rPr>
            </w:pPr>
          </w:p>
        </w:tc>
        <w:tc>
          <w:tcPr>
            <w:tcW w:w="6238" w:type="dxa"/>
            <w:tcBorders>
              <w:top w:val="nil"/>
              <w:left w:val="nil"/>
              <w:bottom w:val="single" w:sz="4" w:space="0" w:color="auto"/>
              <w:right w:val="nil"/>
            </w:tcBorders>
          </w:tcPr>
          <w:p w:rsidR="006B146E" w:rsidRDefault="006B146E">
            <w:pPr>
              <w:contextualSpacing/>
              <w:jc w:val="right"/>
              <w:rPr>
                <w:i/>
                <w:iCs/>
                <w:color w:val="000000"/>
              </w:rPr>
            </w:pPr>
          </w:p>
          <w:p w:rsidR="006B146E" w:rsidRDefault="006B146E" w:rsidP="006B146E">
            <w:pPr>
              <w:contextualSpacing/>
              <w:jc w:val="right"/>
              <w:rPr>
                <w:i/>
                <w:iCs/>
                <w:color w:val="000000"/>
              </w:rPr>
            </w:pPr>
            <w:r>
              <w:rPr>
                <w:i/>
                <w:iCs/>
                <w:color w:val="000000"/>
              </w:rPr>
              <w:t>Copyright © 201</w:t>
            </w:r>
            <w:r>
              <w:rPr>
                <w:i/>
                <w:iCs/>
                <w:color w:val="000000"/>
                <w:lang w:val="id-ID"/>
              </w:rPr>
              <w:t>8</w:t>
            </w:r>
            <w:r>
              <w:rPr>
                <w:i/>
                <w:iCs/>
                <w:color w:val="000000"/>
              </w:rPr>
              <w:t xml:space="preserve"> </w:t>
            </w:r>
            <w:proofErr w:type="spellStart"/>
            <w:r w:rsidRPr="006B146E">
              <w:rPr>
                <w:i/>
                <w:iCs/>
                <w:color w:val="000000"/>
              </w:rPr>
              <w:t>Interaksi</w:t>
            </w:r>
            <w:proofErr w:type="spellEnd"/>
            <w:r w:rsidRPr="006B146E">
              <w:rPr>
                <w:i/>
                <w:iCs/>
                <w:color w:val="000000"/>
              </w:rPr>
              <w:t xml:space="preserve">: </w:t>
            </w:r>
            <w:proofErr w:type="spellStart"/>
            <w:r w:rsidRPr="006B146E">
              <w:rPr>
                <w:i/>
                <w:iCs/>
                <w:color w:val="000000"/>
              </w:rPr>
              <w:t>Jurnal</w:t>
            </w:r>
            <w:proofErr w:type="spellEnd"/>
            <w:r w:rsidRPr="006B146E">
              <w:rPr>
                <w:i/>
                <w:iCs/>
                <w:color w:val="000000"/>
              </w:rPr>
              <w:t xml:space="preserve"> </w:t>
            </w:r>
            <w:proofErr w:type="spellStart"/>
            <w:r w:rsidRPr="006B146E">
              <w:rPr>
                <w:i/>
                <w:iCs/>
                <w:color w:val="000000"/>
              </w:rPr>
              <w:t>Ilmu</w:t>
            </w:r>
            <w:proofErr w:type="spellEnd"/>
            <w:r w:rsidRPr="006B146E">
              <w:rPr>
                <w:i/>
                <w:iCs/>
                <w:color w:val="000000"/>
              </w:rPr>
              <w:t xml:space="preserve"> </w:t>
            </w:r>
            <w:proofErr w:type="spellStart"/>
            <w:r w:rsidRPr="006B146E">
              <w:rPr>
                <w:i/>
                <w:iCs/>
                <w:color w:val="000000"/>
              </w:rPr>
              <w:t>Komunikasi</w:t>
            </w:r>
            <w:proofErr w:type="spellEnd"/>
            <w:r>
              <w:rPr>
                <w:i/>
                <w:iCs/>
                <w:color w:val="000000"/>
              </w:rPr>
              <w:t>. All rights reserved.</w:t>
            </w:r>
          </w:p>
        </w:tc>
      </w:tr>
    </w:tbl>
    <w:p w:rsidR="00F639A5" w:rsidRDefault="00F639A5">
      <w:pPr>
        <w:jc w:val="both"/>
        <w:rPr>
          <w:color w:val="000000"/>
          <w:sz w:val="24"/>
          <w:szCs w:val="24"/>
        </w:rPr>
      </w:pPr>
    </w:p>
    <w:p w:rsidR="00F639A5" w:rsidRDefault="00F639A5">
      <w:pPr>
        <w:jc w:val="both"/>
        <w:rPr>
          <w:color w:val="000000"/>
          <w:sz w:val="24"/>
          <w:szCs w:val="24"/>
        </w:rPr>
      </w:pPr>
    </w:p>
    <w:p w:rsidR="00F639A5" w:rsidRDefault="00F639A5">
      <w:pPr>
        <w:jc w:val="both"/>
        <w:rPr>
          <w:color w:val="000000"/>
          <w:sz w:val="24"/>
          <w:szCs w:val="24"/>
        </w:rPr>
      </w:pPr>
    </w:p>
    <w:p w:rsidR="006B146E" w:rsidRDefault="006B146E">
      <w:pPr>
        <w:tabs>
          <w:tab w:val="left" w:pos="426"/>
        </w:tabs>
        <w:spacing w:line="360" w:lineRule="auto"/>
        <w:contextualSpacing/>
        <w:rPr>
          <w:b/>
          <w:bCs/>
          <w:color w:val="000000"/>
          <w:sz w:val="24"/>
          <w:szCs w:val="24"/>
          <w:lang w:val="id-ID"/>
        </w:rPr>
        <w:sectPr w:rsidR="006B146E" w:rsidSect="004459AF">
          <w:headerReference w:type="even" r:id="rId8"/>
          <w:headerReference w:type="default" r:id="rId9"/>
          <w:footerReference w:type="even" r:id="rId10"/>
          <w:headerReference w:type="first" r:id="rId11"/>
          <w:footerReference w:type="first" r:id="rId12"/>
          <w:pgSz w:w="11907" w:h="16840" w:code="9"/>
          <w:pgMar w:top="1418" w:right="1418" w:bottom="1418" w:left="1701" w:header="1134" w:footer="892" w:gutter="0"/>
          <w:pgNumType w:start="10"/>
          <w:cols w:space="720"/>
          <w:titlePg/>
          <w:docGrid w:linePitch="360"/>
        </w:sectPr>
      </w:pPr>
    </w:p>
    <w:p w:rsidR="00F639A5" w:rsidRPr="00D94E01" w:rsidRDefault="00D94E01">
      <w:pPr>
        <w:tabs>
          <w:tab w:val="left" w:pos="426"/>
        </w:tabs>
        <w:spacing w:line="360" w:lineRule="auto"/>
        <w:contextualSpacing/>
        <w:rPr>
          <w:b/>
          <w:bCs/>
          <w:color w:val="000000"/>
          <w:sz w:val="24"/>
          <w:szCs w:val="24"/>
        </w:rPr>
      </w:pPr>
      <w:r>
        <w:rPr>
          <w:b/>
          <w:bCs/>
          <w:color w:val="000000"/>
          <w:sz w:val="24"/>
          <w:szCs w:val="24"/>
        </w:rPr>
        <w:t>INTRODUCTION</w:t>
      </w:r>
    </w:p>
    <w:p w:rsidR="00D94E01" w:rsidRPr="00D94E01" w:rsidRDefault="00D94E01" w:rsidP="00D94E01">
      <w:pPr>
        <w:spacing w:line="360" w:lineRule="auto"/>
        <w:ind w:firstLine="720"/>
        <w:jc w:val="both"/>
        <w:rPr>
          <w:sz w:val="24"/>
          <w:szCs w:val="24"/>
        </w:rPr>
      </w:pPr>
      <w:r w:rsidRPr="00D94E01">
        <w:rPr>
          <w:sz w:val="24"/>
          <w:szCs w:val="24"/>
        </w:rPr>
        <w:t xml:space="preserve">A city is essentially a "place" or other geographical entity that is socially and culturally constructed. The manifestation of this construction process places the city as a repository of specific meanings, memories, and emotions that members of certain groups collectively own. Several previous studies have proven that the differences among various actors in society, such as differences </w:t>
      </w:r>
      <w:r w:rsidRPr="00D94E01">
        <w:rPr>
          <w:sz w:val="24"/>
          <w:szCs w:val="24"/>
        </w:rPr>
        <w:t>in culture, history, ideology, and so on, produce different meanings for the city.</w:t>
      </w:r>
    </w:p>
    <w:p w:rsidR="00D94E01" w:rsidRPr="00D94E01" w:rsidRDefault="00D94E01" w:rsidP="00D94E01">
      <w:pPr>
        <w:spacing w:line="360" w:lineRule="auto"/>
        <w:ind w:firstLine="720"/>
        <w:jc w:val="both"/>
        <w:rPr>
          <w:sz w:val="24"/>
          <w:szCs w:val="24"/>
        </w:rPr>
      </w:pPr>
      <w:r w:rsidRPr="00D94E01">
        <w:rPr>
          <w:sz w:val="24"/>
          <w:szCs w:val="24"/>
        </w:rPr>
        <w:t xml:space="preserve">For example, the ancient city of Lijiang (one of the world heritage sites in China) is imagined or interpreted by tourists as a city full of historical nostalgia and the authenticity/authenticity of its timeless nature </w:t>
      </w:r>
      <w:r w:rsidRPr="00D94E01">
        <w:rPr>
          <w:sz w:val="24"/>
          <w:szCs w:val="24"/>
        </w:rPr>
        <w:fldChar w:fldCharType="begin" w:fldLock="1"/>
      </w:r>
      <w:r w:rsidRPr="00D94E01">
        <w:rPr>
          <w:sz w:val="24"/>
          <w:szCs w:val="24"/>
        </w:rPr>
        <w:instrText>ADDIN CSL_CITATION {"citationItems":[{"id":"ITEM-1","itemData":{"DOI":"10.1080/14616688.2010.494688","author":[{"dropping-particle":"","family":"Su","given":"Xiaobo","non-dropping-particle":"","parse-names":false,"suffix":""}],"id":"ITEM-1","issue":"917396443","issued":{"date-parts":[["2010"]]},"title":"The Imagination of Place and Tourism Consumption : A Case Study of The Imagination of Place and Tourism Consumption : A Case Study of Lijiang Ancient Town , China","type":"article-journal"},"uris":["http://www.mendeley.com/documents/?uuid=2a43ecc6-aed1-4a80-9d57-357583729d8a"]}],"mendeley":{"formattedCitation":"(Su, 2010)","plainTextFormattedCitation":"(Su, 2010)","previouslyFormattedCitation":"(Su, 2010)"},"properties":{"noteIndex":0},"schema":"https://github.com/citation-style-language/schema/raw/master/csl-citation.json"}</w:instrText>
      </w:r>
      <w:r w:rsidRPr="00D94E01">
        <w:rPr>
          <w:sz w:val="24"/>
          <w:szCs w:val="24"/>
        </w:rPr>
        <w:fldChar w:fldCharType="separate"/>
      </w:r>
      <w:r w:rsidRPr="00D94E01">
        <w:rPr>
          <w:noProof/>
          <w:sz w:val="24"/>
          <w:szCs w:val="24"/>
        </w:rPr>
        <w:t>(Su, 2010)</w:t>
      </w:r>
      <w:r w:rsidRPr="00D94E01">
        <w:rPr>
          <w:sz w:val="24"/>
          <w:szCs w:val="24"/>
        </w:rPr>
        <w:fldChar w:fldCharType="end"/>
      </w:r>
      <w:r w:rsidRPr="00D94E01">
        <w:rPr>
          <w:sz w:val="24"/>
          <w:szCs w:val="24"/>
        </w:rPr>
        <w:t xml:space="preserve">. Other studies show that different actors produce differences in the meaning of place. For example, local </w:t>
      </w:r>
      <w:r w:rsidRPr="00D94E01">
        <w:rPr>
          <w:sz w:val="24"/>
          <w:szCs w:val="24"/>
        </w:rPr>
        <w:lastRenderedPageBreak/>
        <w:t xml:space="preserve">communities build beaches as living spaces, where they can utilize the natural resources therein to maintain the economic prosperity of their families. On the other hand, for tourists, the beach is a place to represent themselves as a community that represents an egalitarian group </w:t>
      </w:r>
      <w:r w:rsidRPr="00D94E01">
        <w:rPr>
          <w:sz w:val="24"/>
          <w:szCs w:val="24"/>
        </w:rPr>
        <w:fldChar w:fldCharType="begin" w:fldLock="1"/>
      </w:r>
      <w:r w:rsidRPr="00D94E01">
        <w:rPr>
          <w:sz w:val="24"/>
          <w:szCs w:val="24"/>
        </w:rPr>
        <w:instrText>ADDIN CSL_CITATION {"citationItems":[{"id":"ITEM-1","itemData":{"author":[{"dropping-particle":"","family":"Ellison","given":"Elizabeth","non-dropping-particle":"","parse-names":false,"suffix":""}],"id":"ITEM-1","issued":{"date-parts":[["2013"]]},"publisher":"Queensland University of Technology","title":"The Australian Beachspace: Flagging The Spaces of Australian Beach Texts","type":"thesis"},"uris":["http://www.mendeley.com/documents/?uuid=0e0bcab9-7634-40ee-8c35-3dec0bf6cb6e"]}],"mendeley":{"formattedCitation":"(Ellison, 2013)","plainTextFormattedCitation":"(Ellison, 2013)","previouslyFormattedCitation":"(Ellison, 2013)"},"properties":{"noteIndex":0},"schema":"https://github.com/citation-style-language/schema/raw/master/csl-citation.json"}</w:instrText>
      </w:r>
      <w:r w:rsidRPr="00D94E01">
        <w:rPr>
          <w:sz w:val="24"/>
          <w:szCs w:val="24"/>
        </w:rPr>
        <w:fldChar w:fldCharType="separate"/>
      </w:r>
      <w:r w:rsidRPr="00D94E01">
        <w:rPr>
          <w:noProof/>
          <w:sz w:val="24"/>
          <w:szCs w:val="24"/>
        </w:rPr>
        <w:t>(Ellison, 2013)</w:t>
      </w:r>
      <w:r w:rsidRPr="00D94E01">
        <w:rPr>
          <w:sz w:val="24"/>
          <w:szCs w:val="24"/>
        </w:rPr>
        <w:fldChar w:fldCharType="end"/>
      </w:r>
      <w:r w:rsidRPr="00D94E01">
        <w:rPr>
          <w:sz w:val="24"/>
          <w:szCs w:val="24"/>
        </w:rPr>
        <w:t>.</w:t>
      </w:r>
    </w:p>
    <w:p w:rsidR="00A00F00" w:rsidRDefault="00D94E01" w:rsidP="00A00F00">
      <w:pPr>
        <w:spacing w:line="360" w:lineRule="auto"/>
        <w:ind w:firstLine="720"/>
        <w:jc w:val="both"/>
        <w:rPr>
          <w:sz w:val="24"/>
          <w:szCs w:val="24"/>
        </w:rPr>
      </w:pPr>
      <w:r w:rsidRPr="00D94E01">
        <w:rPr>
          <w:sz w:val="24"/>
          <w:szCs w:val="24"/>
        </w:rPr>
        <w:t xml:space="preserve">Then, some studies suggest that differences in actors in creating the meaning of place have triggered contestation </w:t>
      </w:r>
      <w:r w:rsidRPr="00D94E01">
        <w:rPr>
          <w:sz w:val="24"/>
          <w:szCs w:val="24"/>
        </w:rPr>
        <w:fldChar w:fldCharType="begin" w:fldLock="1"/>
      </w:r>
      <w:r w:rsidRPr="00D94E01">
        <w:rPr>
          <w:sz w:val="24"/>
          <w:szCs w:val="24"/>
        </w:rPr>
        <w:instrText>ADDIN CSL_CITATION {"citationItems":[{"id":"ITEM-1","itemData":{"author":[{"dropping-particle":"","family":"Erb","given":"Maribeth","non-dropping-particle":"","parse-names":false,"suffix":""}],"container-title":"Singapore Journal of Tropical Geography","id":"ITEM-1","issue":"2","issued":{"date-parts":[["1998"]]},"page":"177-192","title":"Tourism Space in Manggarai, Western Flores, Indonesia: The House as A Contested Place","type":"article-journal","volume":"19"},"uris":["http://www.mendeley.com/documents/?uuid=be04a6ee-4f25-4fb7-a6f6-7398d04ed0b2"]}],"mendeley":{"formattedCitation":"(Erb, 1998)","plainTextFormattedCitation":"(Erb, 1998)","previouslyFormattedCitation":"(Erb, 1998)"},"properties":{"noteIndex":0},"schema":"https://github.com/citation-style-language/schema/raw/master/csl-citation.json"}</w:instrText>
      </w:r>
      <w:r w:rsidRPr="00D94E01">
        <w:rPr>
          <w:sz w:val="24"/>
          <w:szCs w:val="24"/>
        </w:rPr>
        <w:fldChar w:fldCharType="separate"/>
      </w:r>
      <w:r w:rsidRPr="00D94E01">
        <w:rPr>
          <w:noProof/>
          <w:sz w:val="24"/>
          <w:szCs w:val="24"/>
        </w:rPr>
        <w:t>(Erb, 1998)</w:t>
      </w:r>
      <w:r w:rsidRPr="00D94E01">
        <w:rPr>
          <w:sz w:val="24"/>
          <w:szCs w:val="24"/>
        </w:rPr>
        <w:fldChar w:fldCharType="end"/>
      </w:r>
      <w:r w:rsidRPr="00D94E01">
        <w:rPr>
          <w:sz w:val="24"/>
          <w:szCs w:val="24"/>
        </w:rPr>
        <w:t xml:space="preserve"> </w:t>
      </w:r>
      <w:r w:rsidRPr="00D94E01">
        <w:rPr>
          <w:sz w:val="24"/>
          <w:szCs w:val="24"/>
        </w:rPr>
        <w:fldChar w:fldCharType="begin" w:fldLock="1"/>
      </w:r>
      <w:r>
        <w:rPr>
          <w:sz w:val="24"/>
          <w:szCs w:val="24"/>
        </w:rPr>
        <w:instrText>ADDIN CSL_CITATION {"citationItems":[{"id":"ITEM-1","itemData":{"abstract":"Few writers have commented on how seaside leisure spaces are socially con- structed, who competes for their use, and how they may change. This paper discusses how these spaces have been identified and partitioned at Durban, South Africa, as new tourist populations discover them. Given the history of ethnic separation and contemporary social and political change in this country, attention is focussed on the extent to which groups retain and express a sense of identity in the construction of leisure spaces. Selected spaces are discussed to illustrate how they may be constructed around notions of cultural identity, the possession of particular skills, or access to scarce spatial and material resources.","author":[{"dropping-particle":"","family":"Preston-whyte","given":"Robert","non-dropping-particle":"","parse-names":false,"suffix":""}],"container-title":"Annals of Tourism Research","id":"ITEM-1","issue":"3","issued":{"date-parts":[["2001"]]},"page":"581-596","title":"Constructed Leisure Space. The Seaside at Durban","type":"article-journal","volume":"28"},"uris":["http://www.mendeley.com/documents/?uuid=a8b43461-8327-4e9b-939c-5894381249f2"]}],"mendeley":{"formattedCitation":"(Preston-whyte, 2001)","manualFormatting":"(Preston-Whyte, 2001)","plainTextFormattedCitation":"(Preston-whyte, 2001)","previouslyFormattedCitation":"(Preston-whyte, 2001)"},"properties":{"noteIndex":0},"schema":"https://github.com/citation-style-language/schema/raw/master/csl-citation.json"}</w:instrText>
      </w:r>
      <w:r w:rsidRPr="00D94E01">
        <w:rPr>
          <w:sz w:val="24"/>
          <w:szCs w:val="24"/>
        </w:rPr>
        <w:fldChar w:fldCharType="separate"/>
      </w:r>
      <w:r w:rsidRPr="00D94E01">
        <w:rPr>
          <w:noProof/>
          <w:sz w:val="24"/>
          <w:szCs w:val="24"/>
        </w:rPr>
        <w:t>(Preston-Whyte, 2001)</w:t>
      </w:r>
      <w:r w:rsidRPr="00D94E01">
        <w:rPr>
          <w:sz w:val="24"/>
          <w:szCs w:val="24"/>
        </w:rPr>
        <w:fldChar w:fldCharType="end"/>
      </w:r>
      <w:r w:rsidRPr="00D94E01">
        <w:rPr>
          <w:sz w:val="24"/>
          <w:szCs w:val="24"/>
        </w:rPr>
        <w:t>. This contestation involves foreign tourists and the government in creating authentic local culture embedded in the traditional houses of local communities (</w:t>
      </w:r>
      <w:proofErr w:type="spellStart"/>
      <w:r w:rsidRPr="00D94E01">
        <w:rPr>
          <w:sz w:val="24"/>
          <w:szCs w:val="24"/>
        </w:rPr>
        <w:t>Erb</w:t>
      </w:r>
      <w:proofErr w:type="spellEnd"/>
      <w:r w:rsidRPr="00D94E01">
        <w:rPr>
          <w:sz w:val="24"/>
          <w:szCs w:val="24"/>
        </w:rPr>
        <w:t>, 1998). Other contestations involve various cultural identity groups when constructing the meaning of coastal areas in Durban as recreation areas (Preston-Whyte, 2001).</w:t>
      </w:r>
    </w:p>
    <w:p w:rsidR="00463AC3" w:rsidRDefault="00245D7B" w:rsidP="00D94E01">
      <w:pPr>
        <w:spacing w:line="360" w:lineRule="auto"/>
        <w:ind w:firstLine="720"/>
        <w:jc w:val="both"/>
        <w:rPr>
          <w:sz w:val="24"/>
          <w:szCs w:val="24"/>
        </w:rPr>
      </w:pPr>
      <w:r w:rsidRPr="00245D7B">
        <w:rPr>
          <w:sz w:val="24"/>
          <w:szCs w:val="24"/>
        </w:rPr>
        <w:t>Symbolic economy is a theoretical concept that places culture as the economic basis for urban development</w:t>
      </w:r>
      <w:r w:rsidRPr="00245D7B">
        <w:rPr>
          <w:sz w:val="24"/>
          <w:szCs w:val="24"/>
        </w:rPr>
        <w:t xml:space="preserve"> </w:t>
      </w:r>
      <w:r w:rsidR="00A00F00">
        <w:rPr>
          <w:sz w:val="24"/>
          <w:szCs w:val="24"/>
        </w:rPr>
        <w:fldChar w:fldCharType="begin" w:fldLock="1"/>
      </w:r>
      <w:r w:rsidR="005B53BA">
        <w:rPr>
          <w:sz w:val="24"/>
          <w:szCs w:val="24"/>
        </w:rPr>
        <w:instrText>ADDIN CSL_CITATION {"citationItems":[{"id":"ITEM-1","itemData":{"DOI":"10.4324/9781315847238-9","ISBN":"1557864365","abstract":"How do cities use culture today? Building on the experience of New York as a \"culture capital\" Sharon Zukin shows how three notions of culture - as ethnicity, aesthetic, and marketing tool - are reshaping urban places and conflicts over revitalization. She rejects the idea that cities have either a singular urban culture or many different subcultures to argue that cultures are constantly negotiated in the city's central spaces - the streets, parks, shops, museums, and restaurants - which are the great public spaces of modernity. While cultural gentrification may contribute to making our cities both safer and more civilised places to live, it has its darker side. Beneath the perceptions of \"civility\" and \"security\" nurtured by cultural strategies, Zukin shows an aggressive private-sector bid for control of public space, a relentless drive for expansion by art museums and other non-profit cultural institutions, and an increasing redesign of the built environment for the purposes of social control. Tying these developments to a new \"symbolic economy\" based on tourism, media and entertainment, Zukin traces the connections between real estate development and popular expression, and between elite visions of the arts and more democratic representations. Going beyond the immigrants, artists, street peddlers, and security guards who are the key figures in the symbolic economy, Zukin asks: Who really occupies the central spaces of cities? And whose culture is imposed as public culture? Combining cultural critique, interviews, autobiography and ethnography, The Culture of Cities is a compelling account of the public spaces of modernity as they are transformed into new, more troubling landscapes.","author":[{"dropping-particle":"","family":"Zukin","given":"Sharon","non-dropping-particle":"","parse-names":false,"suffix":""}],"container-title":"Urban Social Geography","id":"ITEM-1","issued":{"date-parts":[["1995"]]},"number-of-pages":"58-76","publisher":"Blackwell","publisher-place":"UK","title":"The cultures of cities","type":"book"},"uris":["http://www.mendeley.com/documents/?uuid=44be7d38-53b0-46c1-b81a-8ed199fd8a3f"]}],"mendeley":{"formattedCitation":"(Zukin, 1995)","plainTextFormattedCitation":"(Zukin, 1995)","previouslyFormattedCitation":"(Zukin, 1995)"},"properties":{"noteIndex":0},"schema":"https://github.com/citation-style-language/schema/raw/master/csl-citation.json"}</w:instrText>
      </w:r>
      <w:r w:rsidR="00A00F00">
        <w:rPr>
          <w:sz w:val="24"/>
          <w:szCs w:val="24"/>
        </w:rPr>
        <w:fldChar w:fldCharType="separate"/>
      </w:r>
      <w:r w:rsidR="00A00F00" w:rsidRPr="00A00F00">
        <w:rPr>
          <w:noProof/>
          <w:sz w:val="24"/>
          <w:szCs w:val="24"/>
        </w:rPr>
        <w:t>(Zukin, 1995)</w:t>
      </w:r>
      <w:r w:rsidR="00A00F00">
        <w:rPr>
          <w:sz w:val="24"/>
          <w:szCs w:val="24"/>
        </w:rPr>
        <w:fldChar w:fldCharType="end"/>
      </w:r>
      <w:r>
        <w:rPr>
          <w:sz w:val="24"/>
          <w:szCs w:val="24"/>
        </w:rPr>
        <w:t xml:space="preserve">. </w:t>
      </w:r>
      <w:r w:rsidRPr="00245D7B">
        <w:rPr>
          <w:sz w:val="24"/>
          <w:szCs w:val="24"/>
        </w:rPr>
        <w:t>Here, various cultural products are significant for increasing the economic value of products, including commercialized space through cultural narratives and representations</w:t>
      </w:r>
      <w:r>
        <w:rPr>
          <w:sz w:val="24"/>
          <w:szCs w:val="24"/>
        </w:rPr>
        <w:t xml:space="preserve"> </w:t>
      </w:r>
      <w:r w:rsidR="005B53BA">
        <w:rPr>
          <w:sz w:val="24"/>
          <w:szCs w:val="24"/>
        </w:rPr>
        <w:fldChar w:fldCharType="begin" w:fldLock="1"/>
      </w:r>
      <w:r w:rsidR="005B53BA">
        <w:rPr>
          <w:sz w:val="24"/>
          <w:szCs w:val="24"/>
        </w:rPr>
        <w:instrText>ADDIN CSL_CITATION {"citationItems":[{"id":"ITEM-1","itemData":{"author":[{"dropping-particle":"","family":"Zukin, Sharon, Robert Baskerville, Miriam Greenberg, Courtney Guthreau, Jean Halley, Mark Halling","given":"Kristin Lawler","non-dropping-particle":"","parse-names":false,"suffix":""}],"container-title":"Urban Affairs Review","id":"ITEM-1","issue":"5","issued":{"date-parts":[["1998"]]},"page":"627–654","title":"From Coney Island to Las Vegas in The Urban Imaginary","type":"article-journal","volume":"33"},"uris":["http://www.mendeley.com/documents/?uuid=98afe7f0-3b25-4452-b51d-5941109d4770"]}],"mendeley":{"formattedCitation":"(Zukin, Sharon, Robert Baskerville, Miriam Greenberg, Courtney Guthreau, Jean Halley, Mark Halling, 1998)","plainTextFormattedCitation":"(Zukin, Sharon, Robert Baskerville, Miriam Greenberg, Courtney Guthreau, Jean Halley, Mark Halling, 1998)","previouslyFormattedCitation":"(Zukin, Sharon, Robert Baskerville, Miriam Greenberg, Courtney Guthreau, Jean Halley, Mark Halling, 1998)"},"properties":{"noteIndex":0},"schema":"https://github.com/citation-style-language/schema/raw/master/csl-citation.json"}</w:instrText>
      </w:r>
      <w:r w:rsidR="005B53BA">
        <w:rPr>
          <w:sz w:val="24"/>
          <w:szCs w:val="24"/>
        </w:rPr>
        <w:fldChar w:fldCharType="separate"/>
      </w:r>
      <w:r w:rsidR="005B53BA" w:rsidRPr="005B53BA">
        <w:rPr>
          <w:noProof/>
          <w:sz w:val="24"/>
          <w:szCs w:val="24"/>
        </w:rPr>
        <w:t>(Zukin, Sharon, Robert Baskerville, Miriam Greenberg, Courtney Guthreau, Jean Halley, Mark Halling, 1998)</w:t>
      </w:r>
      <w:r w:rsidR="005B53BA">
        <w:rPr>
          <w:sz w:val="24"/>
          <w:szCs w:val="24"/>
        </w:rPr>
        <w:fldChar w:fldCharType="end"/>
      </w:r>
      <w:r w:rsidR="005B53BA">
        <w:rPr>
          <w:sz w:val="24"/>
          <w:szCs w:val="24"/>
        </w:rPr>
        <w:t>,</w:t>
      </w:r>
      <w:r w:rsidR="00463AC3">
        <w:rPr>
          <w:sz w:val="24"/>
          <w:szCs w:val="24"/>
        </w:rPr>
        <w:t xml:space="preserve"> </w:t>
      </w:r>
      <w:r w:rsidR="00463AC3" w:rsidRPr="00463AC3">
        <w:rPr>
          <w:sz w:val="24"/>
          <w:szCs w:val="24"/>
        </w:rPr>
        <w:t>such as handicraft products</w:t>
      </w:r>
      <w:r w:rsidR="005B53BA">
        <w:rPr>
          <w:sz w:val="24"/>
          <w:szCs w:val="24"/>
        </w:rPr>
        <w:t xml:space="preserve"> </w:t>
      </w:r>
      <w:r w:rsidR="005B53BA">
        <w:rPr>
          <w:sz w:val="24"/>
          <w:szCs w:val="24"/>
        </w:rPr>
        <w:fldChar w:fldCharType="begin" w:fldLock="1"/>
      </w:r>
      <w:r w:rsidR="005B53BA">
        <w:rPr>
          <w:sz w:val="24"/>
          <w:szCs w:val="24"/>
        </w:rPr>
        <w:instrText>ADDIN CSL_CITATION {"citationItems":[{"id":"ITEM-1","itemData":{"DOI":"10.1080/07360932.2015.1075895","ISSN":"18746381","abstract":"The world of crafts belongs to the ‘economy of symbolic goods’ identified by Pierre Bourdieu. The theoretical aim of this article is to show that Bourdieu’s analytical framework and methods are particularly useful to comprehend the structure of the diverse French craft economy and to understand the different ways in which symbolic and economic dimensions combine. First, the use of quantitative and qualitative methods (especially geometric data analysis) enables to highlight the structure of the world of crafts which remains divided between a traditional pole and a contemporary pole. Then, the apparent opposition between economic and symbolic aspects of crafts, represented by the two poles, is qualified by pointing out the different forms of ‘denial of the economy’ adopted by artist-craftsmen according to their economic and social characteristics. Finally, the article shows how economic and symbolic dimensions combine through the symbolic construction of the economic value of craft products.","author":[{"dropping-particle":"","family":"Jourdain","given":"Anne","non-dropping-particle":"","parse-names":false,"suffix":""}],"container-title":"Forum for Social Economics","id":"ITEM-1","issue":"3-4","issued":{"date-parts":[["2018"]]},"page":"342-361","title":"Analysing the Symbolic Economy with Pierre Bourdieu: The World of Crafts","type":"article-journal","volume":"47"},"uris":["http://www.mendeley.com/documents/?uuid=7ce9bb9e-b86d-4b69-ad6c-c4c5bd74fb54"]}],"mendeley":{"formattedCitation":"(Jourdain, 2018)","plainTextFormattedCitation":"(Jourdain, 2018)","previouslyFormattedCitation":"(Jourdain, 2018)"},"properties":{"noteIndex":0},"schema":"https://github.com/citation-style-language/schema/raw/master/csl-citation.json"}</w:instrText>
      </w:r>
      <w:r w:rsidR="005B53BA">
        <w:rPr>
          <w:sz w:val="24"/>
          <w:szCs w:val="24"/>
        </w:rPr>
        <w:fldChar w:fldCharType="separate"/>
      </w:r>
      <w:r w:rsidR="005B53BA" w:rsidRPr="005B53BA">
        <w:rPr>
          <w:noProof/>
          <w:sz w:val="24"/>
          <w:szCs w:val="24"/>
        </w:rPr>
        <w:t>(Jourdain, 2018)</w:t>
      </w:r>
      <w:r w:rsidR="005B53BA">
        <w:rPr>
          <w:sz w:val="24"/>
          <w:szCs w:val="24"/>
        </w:rPr>
        <w:fldChar w:fldCharType="end"/>
      </w:r>
      <w:r w:rsidR="005B53BA">
        <w:rPr>
          <w:sz w:val="24"/>
          <w:szCs w:val="24"/>
        </w:rPr>
        <w:t>,</w:t>
      </w:r>
      <w:r>
        <w:rPr>
          <w:sz w:val="24"/>
          <w:szCs w:val="24"/>
        </w:rPr>
        <w:t xml:space="preserve"> </w:t>
      </w:r>
      <w:r w:rsidR="00463AC3" w:rsidRPr="00463AC3">
        <w:rPr>
          <w:sz w:val="24"/>
          <w:szCs w:val="24"/>
        </w:rPr>
        <w:t>symbolic capital in the context of the commodification of experience</w:t>
      </w:r>
      <w:r w:rsidR="00463AC3" w:rsidRPr="00463AC3">
        <w:rPr>
          <w:sz w:val="24"/>
          <w:szCs w:val="24"/>
        </w:rPr>
        <w:t xml:space="preserve"> </w:t>
      </w:r>
      <w:r w:rsidR="005B53BA">
        <w:rPr>
          <w:sz w:val="24"/>
          <w:szCs w:val="24"/>
        </w:rPr>
        <w:fldChar w:fldCharType="begin" w:fldLock="1"/>
      </w:r>
      <w:r w:rsidR="005B53BA">
        <w:rPr>
          <w:sz w:val="24"/>
          <w:szCs w:val="24"/>
        </w:rPr>
        <w:instrText>ADDIN CSL_CITATION {"citationItems":[{"id":"ITEM-1","itemData":{"DOI":"10.1080/11745398.2007.9686754","ISSN":"1174-5398","abstract":"In the early twenty-first century, participation in adventure sports activities represents a fertile means of reinforcing personal identity and cultural distinction, secured through the quest for, and accrual of, symbolic capital. This article draws on a case study investigation of one Scottish whitewater rafting company to explore the technologically mediated nature of the accrual of symbolic capital in the adventure sports sub-field. It is concluded that experiences have emerged as new tradable commodities. An industry of commercial adventure organisations has emerged to service a demand characterised by a quest for managed instantaneous gratification and edited memories, rather than for authenticity and self-discovery. At the soft, or mass, end of the adventure market, it is perhaps now possible to talk in the language of 'post-adventure' whereby both producers and consumers stage a theatrical performance which produces a visual representation of authentic experience transferable to a virtual witnessing audience. The post-adventure experientialists, although possessing little knowledge of the intricacies of the adventure sports activities in which they participate, know and value them in terms of their mediatised status value and cool fashion statement. Whereas the adventurer of the past secured status through achievement, the post-adventurer has no such concerns as their gazing social network recognises and bestows value to displays of spectacle, style and show. [ABSTRACT FROM AUTHOR]","author":[{"dropping-particle":"","family":"McGillivray","given":"David","non-dropping-particle":"","parse-names":false,"suffix":""},{"dropping-particle":"","family":"Frew","given":"Matt","non-dropping-particle":"","parse-names":false,"suffix":""}],"container-title":"Annals of Leisure Research","id":"ITEM-1","issue":"1","issued":{"date-parts":[["2007"]]},"page":"54-78","title":"Capturing Adventure: Trading experiences in the symbolic economy","type":"article-journal","volume":"10"},"uris":["http://www.mendeley.com/documents/?uuid=5406d94c-bdd8-4b84-a5e9-a764ce6b05ce"]}],"mendeley":{"formattedCitation":"(McGillivray &amp; Frew, 2007)","plainTextFormattedCitation":"(McGillivray &amp; Frew, 2007)","previouslyFormattedCitation":"(McGillivray &amp; Frew, 2007)"},"properties":{"noteIndex":0},"schema":"https://github.com/citation-style-language/schema/raw/master/csl-citation.json"}</w:instrText>
      </w:r>
      <w:r w:rsidR="005B53BA">
        <w:rPr>
          <w:sz w:val="24"/>
          <w:szCs w:val="24"/>
        </w:rPr>
        <w:fldChar w:fldCharType="separate"/>
      </w:r>
      <w:r w:rsidR="005B53BA" w:rsidRPr="005B53BA">
        <w:rPr>
          <w:noProof/>
          <w:sz w:val="24"/>
          <w:szCs w:val="24"/>
        </w:rPr>
        <w:t>(McGillivray &amp; Frew, 2007)</w:t>
      </w:r>
      <w:r w:rsidR="005B53BA">
        <w:rPr>
          <w:sz w:val="24"/>
          <w:szCs w:val="24"/>
        </w:rPr>
        <w:fldChar w:fldCharType="end"/>
      </w:r>
      <w:r w:rsidR="00463AC3">
        <w:rPr>
          <w:sz w:val="24"/>
          <w:szCs w:val="24"/>
        </w:rPr>
        <w:t>.</w:t>
      </w:r>
      <w:r w:rsidR="00C2220D">
        <w:rPr>
          <w:sz w:val="24"/>
          <w:szCs w:val="24"/>
        </w:rPr>
        <w:t xml:space="preserve"> </w:t>
      </w:r>
    </w:p>
    <w:p w:rsidR="00D66370" w:rsidRDefault="00D66370" w:rsidP="00D94E01">
      <w:pPr>
        <w:spacing w:line="360" w:lineRule="auto"/>
        <w:ind w:firstLine="720"/>
        <w:jc w:val="both"/>
        <w:rPr>
          <w:sz w:val="24"/>
          <w:szCs w:val="24"/>
        </w:rPr>
      </w:pPr>
      <w:r w:rsidRPr="00D66370">
        <w:rPr>
          <w:sz w:val="24"/>
          <w:szCs w:val="24"/>
        </w:rPr>
        <w:t>In addition, the symbolic economy has also been scientifically documented in the context of urban development and tourism marketing.</w:t>
      </w:r>
      <w:r>
        <w:rPr>
          <w:sz w:val="24"/>
          <w:szCs w:val="24"/>
        </w:rPr>
        <w:t xml:space="preserve"> </w:t>
      </w:r>
    </w:p>
    <w:p w:rsidR="00D94E01" w:rsidRPr="00D94E01" w:rsidRDefault="00D66370" w:rsidP="00D66370">
      <w:pPr>
        <w:spacing w:line="360" w:lineRule="auto"/>
        <w:ind w:firstLine="720"/>
        <w:jc w:val="both"/>
        <w:rPr>
          <w:sz w:val="24"/>
          <w:szCs w:val="24"/>
        </w:rPr>
      </w:pPr>
      <w:r w:rsidRPr="00D66370">
        <w:rPr>
          <w:sz w:val="24"/>
          <w:szCs w:val="24"/>
        </w:rPr>
        <w:t>For example, Leavenworth is constructed as a town that offers authenticity and local traditions to increase tourist interest</w:t>
      </w:r>
      <w:r>
        <w:rPr>
          <w:sz w:val="24"/>
          <w:szCs w:val="24"/>
        </w:rPr>
        <w:t xml:space="preserve"> </w:t>
      </w:r>
      <w:r w:rsidR="005B53BA">
        <w:rPr>
          <w:sz w:val="24"/>
          <w:szCs w:val="24"/>
        </w:rPr>
        <w:fldChar w:fldCharType="begin" w:fldLock="1"/>
      </w:r>
      <w:r w:rsidR="00C2220D">
        <w:rPr>
          <w:sz w:val="24"/>
          <w:szCs w:val="24"/>
        </w:rPr>
        <w:instrText>ADDIN CSL_CITATION {"citationItems":[{"id":"ITEM-1","itemData":{"DOI":"10.1111/j.1931-0846.2000.tb00354.x","ISSN":"00167428","abstract":"Theme towns are an often-overlooked but significant form of tourism in rural areas. Many a small town across the United States, faced with a declining resource-based economy, has turned to \"theming\" as an economic-development strategy. In hopes of creating an alluring landscape, the built environment is radically transformed, and a variety of invented traditions are instituted. This article explores one such place - Leavenworth, Washington - that \"went Bavarian\" in the 1960s and is widely viewed as a success story. We examine four interrelated concepts that produce the symbolic economy of Leavenworth: emulation of other theme towns, authenticity, visual difference, and place marketing. After discussing each, we turn to the questions of how residents are affected by tourism and what it is like to live in Leavenworth.","author":[{"dropping-particle":"","family":"Frenkel","given":"Stephen","non-dropping-particle":"","parse-names":false,"suffix":""},{"dropping-particle":"","family":"Walton","given":"Judy","non-dropping-particle":"","parse-names":false,"suffix":""}],"container-title":"Geographical Review","id":"ITEM-1","issue":"4","issued":{"date-parts":[["2000"]]},"page":"559-584","title":"Bavarian Leavenworth and the symbolic economy of a theme town","type":"article-journal","volume":"90"},"uris":["http://www.mendeley.com/documents/?uuid=50949cad-8460-4be4-bae8-0b9f935c7b6c"]}],"mendeley":{"formattedCitation":"(Frenkel &amp; Walton, 2000)","plainTextFormattedCitation":"(Frenkel &amp; Walton, 2000)","previouslyFormattedCitation":"(Frenkel &amp; Walton, 2000)"},"properties":{"noteIndex":0},"schema":"https://github.com/citation-style-language/schema/raw/master/csl-citation.json"}</w:instrText>
      </w:r>
      <w:r w:rsidR="005B53BA">
        <w:rPr>
          <w:sz w:val="24"/>
          <w:szCs w:val="24"/>
        </w:rPr>
        <w:fldChar w:fldCharType="separate"/>
      </w:r>
      <w:r w:rsidR="005B53BA" w:rsidRPr="005B53BA">
        <w:rPr>
          <w:noProof/>
          <w:sz w:val="24"/>
          <w:szCs w:val="24"/>
        </w:rPr>
        <w:t>(Frenkel &amp; Walton, 2000)</w:t>
      </w:r>
      <w:r w:rsidR="005B53BA">
        <w:rPr>
          <w:sz w:val="24"/>
          <w:szCs w:val="24"/>
        </w:rPr>
        <w:fldChar w:fldCharType="end"/>
      </w:r>
      <w:r w:rsidR="001775F1">
        <w:rPr>
          <w:sz w:val="24"/>
          <w:szCs w:val="24"/>
        </w:rPr>
        <w:t>.</w:t>
      </w:r>
      <w:r>
        <w:rPr>
          <w:sz w:val="24"/>
          <w:szCs w:val="24"/>
        </w:rPr>
        <w:t xml:space="preserve"> </w:t>
      </w:r>
      <w:r w:rsidRPr="00D66370">
        <w:rPr>
          <w:sz w:val="24"/>
          <w:szCs w:val="24"/>
        </w:rPr>
        <w:t>The symbolic economy is also applied to the production of cultural narratives to shape the city of Xi'an, China, as an attractive destination for tourists seeking contemporary, historical, and traditional values</w:t>
      </w:r>
      <w:r w:rsidR="00C2220D">
        <w:t xml:space="preserve"> </w:t>
      </w:r>
      <w:r w:rsidR="00C2220D" w:rsidRPr="00D66370">
        <w:rPr>
          <w:sz w:val="24"/>
          <w:szCs w:val="24"/>
        </w:rPr>
        <w:fldChar w:fldCharType="begin" w:fldLock="1"/>
      </w:r>
      <w:r w:rsidR="00A06E88">
        <w:rPr>
          <w:sz w:val="24"/>
          <w:szCs w:val="24"/>
        </w:rPr>
        <w:instrText>ADDIN CSL_CITATION {"citationItems":[{"id":"ITEM-1","itemData":{"DOI":"10.1080/10350330.2020.1870405","ISSN":"14701219","abstract":"In the digital age, cities around the world are mobilizing various symbolic resources to rebrand their images through social media. Against this background, this study investigates how Xi’an, a second-tier developing city in China, constructs its digitalized urban imaginary using the popular social media platform of TikTok. A semiotic framework is developed to model Xi’an’s urban imaginary as evaluative attributes and to elucidate how they are constructed through linguistic and visual resources in short videos on TikTok. The analysis of 294 videos shows that Xi’an highlights its dual identity as a modern metropolis and a historical city. The modern metropolis image is characterized by the personification of Xi’an as a stylish, young, popular, and international microcelebrity; the historical city image is constructed through recreating the Great Tang dynasty and revitalizing local folk art. The characteristics of city branding discourse reflect China’s wanghong economy, urban policies and the affordances of social media.","author":[{"dropping-particle":"","family":"Wang","given":"Yilei","non-dropping-particle":"","parse-names":false,"suffix":""},{"dropping-particle":"","family":"Feng","given":"Dezheng","non-dropping-particle":"","parse-names":false,"suffix":""}],"container-title":"Social Semiotics","id":"ITEM-1","issue":"0","issued":{"date-parts":[["2021"]]},"page":"1-24","publisher":"Taylor &amp; Francis","title":"History, modernity, and city branding in China: a multimodal critical discourse analysis of Xi’an’s promotional videos on social media","type":"article-journal","volume":"0"},"uris":["http://www.mendeley.com/documents/?uuid=30cf2a09-5bc0-49fb-9183-e69c52ac4f64"]}],"mendeley":{"formattedCitation":"(Wang &amp; Feng, 2021)","plainTextFormattedCitation":"(Wang &amp; Feng, 2021)","previouslyFormattedCitation":"(Wang &amp; Feng, 2021)"},"properties":{"noteIndex":0},"schema":"https://github.com/citation-style-language/schema/raw/master/csl-citation.json"}</w:instrText>
      </w:r>
      <w:r w:rsidR="00C2220D" w:rsidRPr="00D66370">
        <w:rPr>
          <w:sz w:val="24"/>
          <w:szCs w:val="24"/>
        </w:rPr>
        <w:fldChar w:fldCharType="separate"/>
      </w:r>
      <w:r w:rsidR="00C2220D" w:rsidRPr="00D66370">
        <w:rPr>
          <w:noProof/>
          <w:sz w:val="24"/>
          <w:szCs w:val="24"/>
        </w:rPr>
        <w:t>(Wang &amp; Feng, 2021)</w:t>
      </w:r>
      <w:r w:rsidR="00C2220D" w:rsidRPr="00D66370">
        <w:rPr>
          <w:sz w:val="24"/>
          <w:szCs w:val="24"/>
        </w:rPr>
        <w:fldChar w:fldCharType="end"/>
      </w:r>
      <w:r w:rsidR="00C2220D" w:rsidRPr="00D66370">
        <w:rPr>
          <w:sz w:val="24"/>
          <w:szCs w:val="24"/>
        </w:rPr>
        <w:t>.</w:t>
      </w:r>
      <w:r w:rsidR="00C2220D" w:rsidRPr="007041DD">
        <w:t xml:space="preserve"> </w:t>
      </w:r>
    </w:p>
    <w:p w:rsidR="00D94E01" w:rsidRPr="00D94E01" w:rsidRDefault="00D94E01" w:rsidP="00D94E01">
      <w:pPr>
        <w:spacing w:line="360" w:lineRule="auto"/>
        <w:ind w:firstLine="720"/>
        <w:jc w:val="both"/>
        <w:rPr>
          <w:sz w:val="24"/>
          <w:szCs w:val="24"/>
        </w:rPr>
      </w:pPr>
      <w:r w:rsidRPr="00D94E01">
        <w:rPr>
          <w:sz w:val="24"/>
          <w:szCs w:val="24"/>
        </w:rPr>
        <w:t xml:space="preserve">Furthermore, </w:t>
      </w:r>
      <w:proofErr w:type="spellStart"/>
      <w:r w:rsidRPr="00D94E01">
        <w:rPr>
          <w:sz w:val="24"/>
          <w:szCs w:val="24"/>
        </w:rPr>
        <w:t>Batam</w:t>
      </w:r>
      <w:proofErr w:type="spellEnd"/>
      <w:r w:rsidRPr="00D94E01">
        <w:rPr>
          <w:sz w:val="24"/>
          <w:szCs w:val="24"/>
        </w:rPr>
        <w:t xml:space="preserve"> is an island closely related to the Malay community/culture. This is because Malay people first inhabited the island bordering Singapore and Malaysia called the </w:t>
      </w:r>
      <w:proofErr w:type="spellStart"/>
      <w:r w:rsidRPr="00D94E01">
        <w:rPr>
          <w:sz w:val="24"/>
          <w:szCs w:val="24"/>
        </w:rPr>
        <w:t>suku</w:t>
      </w:r>
      <w:proofErr w:type="spellEnd"/>
      <w:r w:rsidRPr="00D94E01">
        <w:rPr>
          <w:sz w:val="24"/>
          <w:szCs w:val="24"/>
        </w:rPr>
        <w:t xml:space="preserve"> </w:t>
      </w:r>
      <w:proofErr w:type="spellStart"/>
      <w:r w:rsidRPr="00D94E01">
        <w:rPr>
          <w:sz w:val="24"/>
          <w:szCs w:val="24"/>
        </w:rPr>
        <w:t>Selat</w:t>
      </w:r>
      <w:proofErr w:type="spellEnd"/>
      <w:r w:rsidRPr="00D94E01">
        <w:rPr>
          <w:sz w:val="24"/>
          <w:szCs w:val="24"/>
        </w:rPr>
        <w:t xml:space="preserve"> in 231 AD </w:t>
      </w:r>
      <w:r w:rsidRPr="00D94E01">
        <w:rPr>
          <w:sz w:val="24"/>
          <w:szCs w:val="24"/>
        </w:rPr>
        <w:fldChar w:fldCharType="begin" w:fldLock="1"/>
      </w:r>
      <w:r w:rsidRPr="00D94E01">
        <w:rPr>
          <w:sz w:val="24"/>
          <w:szCs w:val="24"/>
        </w:rPr>
        <w:instrText>ADDIN CSL_CITATION {"citationItems":[{"id":"ITEM-1","itemData":{"abstract":"Islands located and scattered in the Riau Archipelago Province must be built evenly and proportionally so as not to cause inequality in growth. Therefore, it is necessary to have a conception of coastal area development based on archipelego. The results of the Location Quotion analysis in each region, there is a dominance of 9 (nine) superior/base sectors in the Batam Bintan and Karimun areas as well as in Tanjungpinang City (BBK) and 10 (ten) leading/base sectors in the Natuna Anambas and Lingga areas ( NAL) which is the main source of regional income based on Gross Regional Domestic Revenue (GRDP) for business fields. By looking at the direction of development and development orientation, it is necessary to build an economic system that can focus development on the maritime sector, agriculture sector, agropolitan and agro-industry as well as the marine and fisheries sector. With the treatment of an island-based development system, the two KSN and NAL areas will be able to synergize with each other. Based on that, the pattern of regional development in terms of policy and the results of the Location Quontient statistical analysis, the concept of development can be applied to the concept of Maritime Economic Development.","author":[{"dropping-particle":"","family":"J.I. Jusuf Danuwidjojo, Fandy Lood","given":"Yunita FD Sidabutar","non-dropping-particle":"","parse-names":false,"suffix":""}],"container-title":"Jurnal Potensi","id":"ITEM-1","issue":"2","issued":{"date-parts":[["2021"]]},"page":"23-35","title":"Kearifan Lokal Melayu sebagai Identitas Kota Batam","type":"article-journal","volume":"I"},"uris":["http://www.mendeley.com/documents/?uuid=9ab8113e-7b38-4b71-956e-1fd3d6c446af"]}],"mendeley":{"formattedCitation":"(J.I. Jusuf Danuwidjojo, Fandy Lood, 2021)","plainTextFormattedCitation":"(J.I. Jusuf Danuwidjojo, Fandy Lood, 2021)","previouslyFormattedCitation":"(J.I. Jusuf Danuwidjojo, Fandy Lood, 2021)"},"properties":{"noteIndex":0},"schema":"https://github.com/citation-style-language/schema/raw/master/csl-citation.json"}</w:instrText>
      </w:r>
      <w:r w:rsidRPr="00D94E01">
        <w:rPr>
          <w:sz w:val="24"/>
          <w:szCs w:val="24"/>
        </w:rPr>
        <w:fldChar w:fldCharType="separate"/>
      </w:r>
      <w:r w:rsidRPr="00D94E01">
        <w:rPr>
          <w:noProof/>
          <w:sz w:val="24"/>
          <w:szCs w:val="24"/>
        </w:rPr>
        <w:t>(J.I. Jusuf Danuwidjojo, Fandy Lood, 2021)</w:t>
      </w:r>
      <w:r w:rsidRPr="00D94E01">
        <w:rPr>
          <w:sz w:val="24"/>
          <w:szCs w:val="24"/>
        </w:rPr>
        <w:fldChar w:fldCharType="end"/>
      </w:r>
      <w:r w:rsidRPr="00D94E01">
        <w:rPr>
          <w:sz w:val="24"/>
          <w:szCs w:val="24"/>
        </w:rPr>
        <w:t xml:space="preserve">. In addition, local stakeholders, especially the </w:t>
      </w:r>
      <w:proofErr w:type="spellStart"/>
      <w:r w:rsidRPr="00D94E01">
        <w:rPr>
          <w:sz w:val="24"/>
          <w:szCs w:val="24"/>
        </w:rPr>
        <w:t>Batam</w:t>
      </w:r>
      <w:proofErr w:type="spellEnd"/>
      <w:r w:rsidRPr="00D94E01">
        <w:rPr>
          <w:sz w:val="24"/>
          <w:szCs w:val="24"/>
        </w:rPr>
        <w:t xml:space="preserve"> City government, have firmly committed to making Malay a historical and cultural heritage that can be preserved and developed as an identity for the city in the Riau Islands province. This is reflected in the issuance of Regional Regulation No. 1 of 2018 concerning the Advancement of Malay Culture.</w:t>
      </w:r>
    </w:p>
    <w:p w:rsidR="00D94E01" w:rsidRPr="00D94E01" w:rsidRDefault="00D94E01" w:rsidP="00D94E01">
      <w:pPr>
        <w:spacing w:line="360" w:lineRule="auto"/>
        <w:ind w:firstLine="720"/>
        <w:jc w:val="both"/>
        <w:rPr>
          <w:sz w:val="24"/>
          <w:szCs w:val="24"/>
        </w:rPr>
      </w:pPr>
      <w:r w:rsidRPr="00D94E01">
        <w:rPr>
          <w:sz w:val="24"/>
          <w:szCs w:val="24"/>
        </w:rPr>
        <w:t xml:space="preserve">At the same time, tourism is one of the sectors targeted for development by the local government. Especially developing in </w:t>
      </w:r>
      <w:r w:rsidRPr="00D94E01">
        <w:rPr>
          <w:sz w:val="24"/>
          <w:szCs w:val="24"/>
        </w:rPr>
        <w:lastRenderedPageBreak/>
        <w:t xml:space="preserve">the field of tourism marketing, the government has projected the image of "Family Fun 365 Days A Year" for the city, which is synonymous with shopping tourism cities along with </w:t>
      </w:r>
      <w:proofErr w:type="spellStart"/>
      <w:r w:rsidRPr="00D94E01">
        <w:rPr>
          <w:sz w:val="24"/>
          <w:szCs w:val="24"/>
        </w:rPr>
        <w:t>Bintan</w:t>
      </w:r>
      <w:proofErr w:type="spellEnd"/>
      <w:r w:rsidRPr="00D94E01">
        <w:rPr>
          <w:sz w:val="24"/>
          <w:szCs w:val="24"/>
        </w:rPr>
        <w:t xml:space="preserve"> (See Government Regulation Number 50 of 2011 concerning the National Tourism Development Master Plan for 2010 - 2025).</w:t>
      </w:r>
    </w:p>
    <w:p w:rsidR="00D94E01" w:rsidRPr="00D94E01" w:rsidRDefault="00D94E01" w:rsidP="00D94E01">
      <w:pPr>
        <w:spacing w:line="360" w:lineRule="auto"/>
        <w:ind w:firstLine="720"/>
        <w:jc w:val="both"/>
        <w:rPr>
          <w:sz w:val="24"/>
          <w:szCs w:val="24"/>
        </w:rPr>
      </w:pPr>
      <w:r w:rsidRPr="00D94E01">
        <w:rPr>
          <w:sz w:val="24"/>
          <w:szCs w:val="24"/>
        </w:rPr>
        <w:t xml:space="preserve">As stated in the previous section, several studies have succeeded in documenting how actors create cities or other geographical entities in tourism marketing, including specific cultural values ​​attached to some cities for commodification/commercial purposes. However, limited research still attempts to highlight efforts to create a city through the lens of symbolic economy. This research attempts to fill this space by analyzing visual content produced by the </w:t>
      </w:r>
      <w:proofErr w:type="spellStart"/>
      <w:r w:rsidRPr="00D94E01">
        <w:rPr>
          <w:sz w:val="24"/>
          <w:szCs w:val="24"/>
        </w:rPr>
        <w:t>Batam</w:t>
      </w:r>
      <w:proofErr w:type="spellEnd"/>
      <w:r w:rsidRPr="00D94E01">
        <w:rPr>
          <w:sz w:val="24"/>
          <w:szCs w:val="24"/>
        </w:rPr>
        <w:t xml:space="preserve"> Tourism Authority to understand how material commodification works through the formation of the city as an authentic Malay destination. </w:t>
      </w:r>
    </w:p>
    <w:p w:rsidR="00D94E01" w:rsidRPr="00283D6A" w:rsidRDefault="00D94E01" w:rsidP="00D94E01">
      <w:pPr>
        <w:spacing w:line="360" w:lineRule="auto"/>
        <w:contextualSpacing/>
        <w:jc w:val="both"/>
        <w:rPr>
          <w:color w:val="000000"/>
          <w:sz w:val="24"/>
          <w:szCs w:val="24"/>
        </w:rPr>
      </w:pPr>
    </w:p>
    <w:p w:rsidR="006B146E" w:rsidRPr="006B146E" w:rsidRDefault="00D94E01" w:rsidP="006B146E">
      <w:pPr>
        <w:spacing w:line="360" w:lineRule="auto"/>
        <w:contextualSpacing/>
        <w:jc w:val="both"/>
        <w:rPr>
          <w:b/>
          <w:bCs/>
          <w:color w:val="000000"/>
          <w:sz w:val="24"/>
          <w:szCs w:val="24"/>
        </w:rPr>
      </w:pPr>
      <w:r>
        <w:rPr>
          <w:b/>
          <w:bCs/>
          <w:color w:val="000000"/>
          <w:sz w:val="24"/>
          <w:szCs w:val="24"/>
        </w:rPr>
        <w:t>LITERATURE REVIEW</w:t>
      </w:r>
    </w:p>
    <w:p w:rsidR="006B146E" w:rsidRDefault="006B146E" w:rsidP="006B146E">
      <w:pPr>
        <w:spacing w:line="360" w:lineRule="auto"/>
        <w:contextualSpacing/>
        <w:jc w:val="both"/>
        <w:rPr>
          <w:bCs/>
          <w:i/>
          <w:color w:val="000000"/>
          <w:sz w:val="24"/>
          <w:szCs w:val="24"/>
        </w:rPr>
      </w:pPr>
      <w:r w:rsidRPr="006B146E">
        <w:rPr>
          <w:bCs/>
          <w:i/>
          <w:color w:val="000000"/>
          <w:sz w:val="24"/>
          <w:szCs w:val="24"/>
        </w:rPr>
        <w:t>Met</w:t>
      </w:r>
      <w:r w:rsidR="009640B3">
        <w:rPr>
          <w:bCs/>
          <w:i/>
          <w:color w:val="000000"/>
          <w:sz w:val="24"/>
          <w:szCs w:val="24"/>
        </w:rPr>
        <w:t>h</w:t>
      </w:r>
      <w:r w:rsidRPr="006B146E">
        <w:rPr>
          <w:bCs/>
          <w:i/>
          <w:color w:val="000000"/>
          <w:sz w:val="24"/>
          <w:szCs w:val="24"/>
        </w:rPr>
        <w:t>odolog</w:t>
      </w:r>
      <w:r w:rsidR="009640B3">
        <w:rPr>
          <w:bCs/>
          <w:i/>
          <w:color w:val="000000"/>
          <w:sz w:val="24"/>
          <w:szCs w:val="24"/>
        </w:rPr>
        <w:t>y</w:t>
      </w:r>
    </w:p>
    <w:p w:rsidR="009640B3" w:rsidRPr="009640B3" w:rsidRDefault="009640B3" w:rsidP="009640B3">
      <w:pPr>
        <w:spacing w:line="360" w:lineRule="auto"/>
        <w:ind w:firstLine="720"/>
        <w:jc w:val="both"/>
        <w:rPr>
          <w:sz w:val="24"/>
          <w:szCs w:val="24"/>
        </w:rPr>
      </w:pPr>
      <w:r w:rsidRPr="009640B3">
        <w:rPr>
          <w:sz w:val="24"/>
          <w:szCs w:val="24"/>
        </w:rPr>
        <w:t xml:space="preserve">Semioticians view the world as socially constructed using a sign system </w:t>
      </w:r>
      <w:r w:rsidRPr="009640B3">
        <w:rPr>
          <w:sz w:val="24"/>
          <w:szCs w:val="24"/>
        </w:rPr>
        <w:fldChar w:fldCharType="begin" w:fldLock="1"/>
      </w:r>
      <w:r w:rsidRPr="009640B3">
        <w:rPr>
          <w:sz w:val="24"/>
          <w:szCs w:val="24"/>
        </w:rPr>
        <w:instrText>ADDIN CSL_CITATION {"citationItems":[{"id":"ITEM-1","itemData":{"DOI":"10.1016/S0261-5177(98)00105-8","ISSN":"02615177","abstract":"This paper examines the application of semiotics to tourism studies. The first section of the paper provides the theoretical background by briefly outlining the history, concepts, ontology and epistemology of the semiotic approach. The second section of the paper reviews the applications of semiotics to date in tourism research, focusing mainly on studies of tourism marketing. It highlights the usefulness of this approach for uncovering the systems of signs and the 'deep structure' of meaning in tourism marketing discourse. A framework for integrating semiotics with the study of tourism marketing is also introduced. In the final section, this framework is used to identify existing gaps in the research and to suggest directions for future applications of semiotics to tourism research. © 1999 Elsevier Science Ltd. All rights reserved.","author":[{"dropping-particle":"","family":"Echtner","given":"Charlotte M.","non-dropping-particle":"","parse-names":false,"suffix":""}],"container-title":"Tourism Management","id":"ITEM-1","issue":"1","issued":{"date-parts":[["1999"]]},"page":"47-57","title":"The semiotic Paradigm: Implications for Tourism Research","type":"article-journal","volume":"20"},"uris":["http://www.mendeley.com/documents/?uuid=99d74f85-6829-4e25-8bed-1df674b5e46e"]}],"mendeley":{"formattedCitation":"(Echtner, 1999)","plainTextFormattedCitation":"(Echtner, 1999)","previouslyFormattedCitation":"(Echtner, 1999)"},"properties":{"noteIndex":0},"schema":"https://github.com/citation-style-language/schema/raw/master/csl-citation.json"}</w:instrText>
      </w:r>
      <w:r w:rsidRPr="009640B3">
        <w:rPr>
          <w:sz w:val="24"/>
          <w:szCs w:val="24"/>
        </w:rPr>
        <w:fldChar w:fldCharType="separate"/>
      </w:r>
      <w:r w:rsidRPr="009640B3">
        <w:rPr>
          <w:noProof/>
          <w:sz w:val="24"/>
          <w:szCs w:val="24"/>
        </w:rPr>
        <w:t>(Echtner, 1999)</w:t>
      </w:r>
      <w:r w:rsidRPr="009640B3">
        <w:rPr>
          <w:sz w:val="24"/>
          <w:szCs w:val="24"/>
        </w:rPr>
        <w:fldChar w:fldCharType="end"/>
      </w:r>
      <w:r w:rsidRPr="009640B3">
        <w:rPr>
          <w:sz w:val="24"/>
          <w:szCs w:val="24"/>
        </w:rPr>
        <w:t xml:space="preserve">. According to Saussure (1959), a sign system consists of two elements: signified and signified. The first (signified) is defined as a mental </w:t>
      </w:r>
      <w:r w:rsidRPr="009640B3">
        <w:rPr>
          <w:sz w:val="24"/>
          <w:szCs w:val="24"/>
        </w:rPr>
        <w:t xml:space="preserve">representation of an object/concept, and the second is the material form of a sign, such as sounds, objects, and images </w:t>
      </w:r>
      <w:r w:rsidRPr="009640B3">
        <w:rPr>
          <w:sz w:val="24"/>
          <w:szCs w:val="24"/>
        </w:rPr>
        <w:fldChar w:fldCharType="begin" w:fldLock="1"/>
      </w:r>
      <w:r w:rsidRPr="009640B3">
        <w:rPr>
          <w:sz w:val="24"/>
          <w:szCs w:val="24"/>
        </w:rPr>
        <w:instrText>ADDIN CSL_CITATION {"citationItems":[{"id":"ITEM-1","itemData":{"ISBN":"9781626239777","author":[{"dropping-particle":"De","family":"Saussure","given":"Ferdinand","non-dropping-particle":"","parse-names":false,"suffix":""}],"id":"ITEM-1","issued":{"date-parts":[["1959"]]},"publisher":"Philosophical Library","publisher-place":"New York","title":"Course in General Linguistics","type":"book"},"uris":["http://www.mendeley.com/documents/?uuid=d3aa73d5-dfb8-42ce-8799-cd9951840eff"]}],"mendeley":{"formattedCitation":"(Saussure, 1959)","plainTextFormattedCitation":"(Saussure, 1959)","previouslyFormattedCitation":"(Saussure, 1959)"},"properties":{"noteIndex":0},"schema":"https://github.com/citation-style-language/schema/raw/master/csl-citation.json"}</w:instrText>
      </w:r>
      <w:r w:rsidRPr="009640B3">
        <w:rPr>
          <w:sz w:val="24"/>
          <w:szCs w:val="24"/>
        </w:rPr>
        <w:fldChar w:fldCharType="separate"/>
      </w:r>
      <w:r w:rsidRPr="009640B3">
        <w:rPr>
          <w:noProof/>
          <w:sz w:val="24"/>
          <w:szCs w:val="24"/>
        </w:rPr>
        <w:t>(Saussure, 1959)</w:t>
      </w:r>
      <w:r w:rsidRPr="009640B3">
        <w:rPr>
          <w:sz w:val="24"/>
          <w:szCs w:val="24"/>
        </w:rPr>
        <w:fldChar w:fldCharType="end"/>
      </w:r>
      <w:r w:rsidRPr="009640B3">
        <w:rPr>
          <w:sz w:val="24"/>
          <w:szCs w:val="24"/>
        </w:rPr>
        <w:t>.</w:t>
      </w:r>
    </w:p>
    <w:p w:rsidR="009640B3" w:rsidRPr="009640B3" w:rsidRDefault="009640B3" w:rsidP="009640B3">
      <w:pPr>
        <w:spacing w:line="360" w:lineRule="auto"/>
        <w:ind w:firstLine="720"/>
        <w:jc w:val="both"/>
        <w:rPr>
          <w:sz w:val="24"/>
          <w:szCs w:val="24"/>
        </w:rPr>
      </w:pPr>
      <w:r w:rsidRPr="009640B3">
        <w:rPr>
          <w:sz w:val="24"/>
          <w:szCs w:val="24"/>
        </w:rPr>
        <w:t xml:space="preserve">Other semioticians also believe that signs consist of layers of meaning. These layers are denotation, connotation, and myth </w:t>
      </w:r>
      <w:r w:rsidRPr="009640B3">
        <w:rPr>
          <w:sz w:val="24"/>
          <w:szCs w:val="24"/>
        </w:rPr>
        <w:fldChar w:fldCharType="begin" w:fldLock="1"/>
      </w:r>
      <w:r w:rsidRPr="009640B3">
        <w:rPr>
          <w:sz w:val="24"/>
          <w:szCs w:val="24"/>
        </w:rPr>
        <w:instrText>ADDIN CSL_CITATION {"citationItems":[{"id":"ITEM-1","itemData":{"author":[{"dropping-particle":"","family":"Barthes","given":"Roland","non-dropping-particle":"","parse-names":false,"suffix":""}],"id":"ITEM-1","issued":{"date-parts":[["1964"]]},"publisher":"Hill and Wang","publisher-place":"New York","title":"Elements oj Semiology Roland Barthes Translated from the French by","type":"book"},"uris":["http://www.mendeley.com/documents/?uuid=370342f4-8338-4419-a65e-57aa9bc470e8"]}],"mendeley":{"formattedCitation":"(Barthes, 1964)","plainTextFormattedCitation":"(Barthes, 1964)","previouslyFormattedCitation":"(Barthes, 1964)"},"properties":{"noteIndex":0},"schema":"https://github.com/citation-style-language/schema/raw/master/csl-citation.json"}</w:instrText>
      </w:r>
      <w:r w:rsidRPr="009640B3">
        <w:rPr>
          <w:sz w:val="24"/>
          <w:szCs w:val="24"/>
        </w:rPr>
        <w:fldChar w:fldCharType="separate"/>
      </w:r>
      <w:r w:rsidRPr="009640B3">
        <w:rPr>
          <w:noProof/>
          <w:sz w:val="24"/>
          <w:szCs w:val="24"/>
        </w:rPr>
        <w:t>(Barthes, 1964)</w:t>
      </w:r>
      <w:r w:rsidRPr="009640B3">
        <w:rPr>
          <w:sz w:val="24"/>
          <w:szCs w:val="24"/>
        </w:rPr>
        <w:fldChar w:fldCharType="end"/>
      </w:r>
      <w:r w:rsidRPr="009640B3">
        <w:rPr>
          <w:sz w:val="24"/>
          <w:szCs w:val="24"/>
        </w:rPr>
        <w:t>. Denotation is the first layer describing people or objects, while connotation refers to ideas or values ​​represented through signs and communicated to text viewers</w:t>
      </w:r>
      <w:r w:rsidR="00620C23">
        <w:rPr>
          <w:sz w:val="24"/>
          <w:szCs w:val="24"/>
        </w:rPr>
        <w:t xml:space="preserve"> </w:t>
      </w:r>
      <w:r w:rsidR="00620C23">
        <w:rPr>
          <w:sz w:val="24"/>
          <w:szCs w:val="24"/>
        </w:rPr>
        <w:fldChar w:fldCharType="begin" w:fldLock="1"/>
      </w:r>
      <w:r w:rsidR="00620C23">
        <w:rPr>
          <w:sz w:val="24"/>
          <w:szCs w:val="24"/>
        </w:rPr>
        <w:instrText>ADDIN CSL_CITATION {"citationItems":[{"id":"ITEM-1","itemData":{"author":[{"dropping-particle":"van","family":"Leeuwen","given":"Gunther Kress and Theo","non-dropping-particle":"","parse-names":false,"suffix":""}],"id":"ITEM-1","issued":{"date-parts":[["2006"]]},"publisher":"Routledge","publisher-place":"London","title":"Reading Images: The Grammar of Visual Desaign","type":"book"},"uris":["http://www.mendeley.com/documents/?uuid=d0572935-fa79-4f2e-a13c-9808a9c9e125"]}],"mendeley":{"formattedCitation":"(Leeuwen, 2006)","plainTextFormattedCitation":"(Leeuwen, 2006)","previouslyFormattedCitation":"(Leeuwen, 2006)"},"properties":{"noteIndex":0},"schema":"https://github.com/citation-style-language/schema/raw/master/csl-citation.json"}</w:instrText>
      </w:r>
      <w:r w:rsidR="00620C23">
        <w:rPr>
          <w:sz w:val="24"/>
          <w:szCs w:val="24"/>
        </w:rPr>
        <w:fldChar w:fldCharType="separate"/>
      </w:r>
      <w:r w:rsidR="00620C23" w:rsidRPr="00620C23">
        <w:rPr>
          <w:noProof/>
          <w:sz w:val="24"/>
          <w:szCs w:val="24"/>
        </w:rPr>
        <w:t>(Leeuwen, 2006)</w:t>
      </w:r>
      <w:r w:rsidR="00620C23">
        <w:rPr>
          <w:sz w:val="24"/>
          <w:szCs w:val="24"/>
        </w:rPr>
        <w:fldChar w:fldCharType="end"/>
      </w:r>
      <w:r w:rsidRPr="009640B3">
        <w:rPr>
          <w:sz w:val="24"/>
          <w:szCs w:val="24"/>
        </w:rPr>
        <w:t xml:space="preserve">. Lastly, myth refers to a way of thinking about a person, product, place, or idea structured to send a particular message to the reader or viewer of the text </w:t>
      </w:r>
      <w:r w:rsidRPr="009640B3">
        <w:rPr>
          <w:sz w:val="24"/>
          <w:szCs w:val="24"/>
        </w:rPr>
        <w:fldChar w:fldCharType="begin" w:fldLock="1"/>
      </w:r>
      <w:r w:rsidRPr="009640B3">
        <w:rPr>
          <w:sz w:val="24"/>
          <w:szCs w:val="24"/>
        </w:rPr>
        <w:instrText>ADDIN CSL_CITATION {"citationItems":[{"id":"ITEM-1","itemData":{"author":[{"dropping-particle":"","family":"Bignell","given":"Jonathan","non-dropping-particle":"","parse-names":false,"suffix":""}],"id":"ITEM-1","issued":{"date-parts":[["2002"]]},"publisher":"Manchester University Press","publisher-place":"New York","title":"Media semiotics","type":"book"},"uris":["http://www.mendeley.com/documents/?uuid=637e441d-d604-4bf4-9a52-ae4c92bd6bfb"]}],"mendeley":{"formattedCitation":"(Bignell, 2002)","plainTextFormattedCitation":"(Bignell, 2002)","previouslyFormattedCitation":"(Bignell, 2002)"},"properties":{"noteIndex":0},"schema":"https://github.com/citation-style-language/schema/raw/master/csl-citation.json"}</w:instrText>
      </w:r>
      <w:r w:rsidRPr="009640B3">
        <w:rPr>
          <w:sz w:val="24"/>
          <w:szCs w:val="24"/>
        </w:rPr>
        <w:fldChar w:fldCharType="separate"/>
      </w:r>
      <w:r w:rsidRPr="009640B3">
        <w:rPr>
          <w:noProof/>
          <w:sz w:val="24"/>
          <w:szCs w:val="24"/>
        </w:rPr>
        <w:t>(Bignell, 2002)</w:t>
      </w:r>
      <w:r w:rsidRPr="009640B3">
        <w:rPr>
          <w:sz w:val="24"/>
          <w:szCs w:val="24"/>
        </w:rPr>
        <w:fldChar w:fldCharType="end"/>
      </w:r>
      <w:r w:rsidRPr="009640B3">
        <w:rPr>
          <w:sz w:val="24"/>
          <w:szCs w:val="24"/>
        </w:rPr>
        <w:t>.</w:t>
      </w:r>
    </w:p>
    <w:p w:rsidR="009640B3" w:rsidRPr="009640B3" w:rsidRDefault="009640B3" w:rsidP="009640B3">
      <w:pPr>
        <w:spacing w:line="360" w:lineRule="auto"/>
        <w:ind w:firstLine="720"/>
        <w:jc w:val="both"/>
        <w:rPr>
          <w:sz w:val="24"/>
          <w:szCs w:val="24"/>
        </w:rPr>
      </w:pPr>
      <w:r w:rsidRPr="009640B3">
        <w:rPr>
          <w:sz w:val="24"/>
          <w:szCs w:val="24"/>
        </w:rPr>
        <w:t xml:space="preserve">While some other semiotics developed and applied </w:t>
      </w:r>
      <w:proofErr w:type="spellStart"/>
      <w:r w:rsidRPr="009640B3">
        <w:rPr>
          <w:sz w:val="24"/>
          <w:szCs w:val="24"/>
        </w:rPr>
        <w:t>Pairce's</w:t>
      </w:r>
      <w:proofErr w:type="spellEnd"/>
      <w:r w:rsidRPr="009640B3">
        <w:rPr>
          <w:sz w:val="24"/>
          <w:szCs w:val="24"/>
        </w:rPr>
        <w:t xml:space="preserve"> semiotic triangle in tourism studies (sign, </w:t>
      </w:r>
      <w:proofErr w:type="spellStart"/>
      <w:r w:rsidRPr="009640B3">
        <w:rPr>
          <w:sz w:val="24"/>
          <w:szCs w:val="24"/>
        </w:rPr>
        <w:t>designatum</w:t>
      </w:r>
      <w:proofErr w:type="spellEnd"/>
      <w:r w:rsidRPr="009640B3">
        <w:rPr>
          <w:sz w:val="24"/>
          <w:szCs w:val="24"/>
        </w:rPr>
        <w:t xml:space="preserve">, and interpretant) </w:t>
      </w:r>
      <w:r w:rsidRPr="009640B3">
        <w:rPr>
          <w:sz w:val="24"/>
          <w:szCs w:val="24"/>
        </w:rPr>
        <w:fldChar w:fldCharType="begin" w:fldLock="1"/>
      </w:r>
      <w:r w:rsidRPr="009640B3">
        <w:rPr>
          <w:sz w:val="24"/>
          <w:szCs w:val="24"/>
        </w:rPr>
        <w:instrText>ADDIN CSL_CITATION {"citationItems":[{"id":"ITEM-1","itemData":{"DOI":"10.1016/S0261-5177(98)00105-8","ISSN":"02615177","abstract":"This paper examines the application of semiotics to tourism studies. The first section of the paper provides the theoretical background by briefly outlining the history, concepts, ontology and epistemology of the semiotic approach. The second section of the paper reviews the applications of semiotics to date in tourism research, focusing mainly on studies of tourism marketing. It highlights the usefulness of this approach for uncovering the systems of signs and the 'deep structure' of meaning in tourism marketing discourse. A framework for integrating semiotics with the study of tourism marketing is also introduced. In the final section, this framework is used to identify existing gaps in the research and to suggest directions for future applications of semiotics to tourism research. © 1999 Elsevier Science Ltd. All rights reserved.","author":[{"dropping-particle":"","family":"Echtner","given":"Charlotte M.","non-dropping-particle":"","parse-names":false,"suffix":""}],"container-title":"Tourism Management","id":"ITEM-1","issue":"1","issued":{"date-parts":[["1999"]]},"page":"47-57","title":"The semiotic Paradigm: Implications for Tourism Research","type":"article-journal","volume":"20"},"uris":["http://www.mendeley.com/documents/?uuid=99d74f85-6829-4e25-8bed-1df674b5e46e"]}],"mendeley":{"formattedCitation":"(Echtner, 1999)","plainTextFormattedCitation":"(Echtner, 1999)","previouslyFormattedCitation":"(Echtner, 1999)"},"properties":{"noteIndex":0},"schema":"https://github.com/citation-style-language/schema/raw/master/csl-citation.json"}</w:instrText>
      </w:r>
      <w:r w:rsidRPr="009640B3">
        <w:rPr>
          <w:sz w:val="24"/>
          <w:szCs w:val="24"/>
        </w:rPr>
        <w:fldChar w:fldCharType="separate"/>
      </w:r>
      <w:r w:rsidRPr="009640B3">
        <w:rPr>
          <w:noProof/>
          <w:sz w:val="24"/>
          <w:szCs w:val="24"/>
        </w:rPr>
        <w:t>(Echtner, 1999)</w:t>
      </w:r>
      <w:r w:rsidRPr="009640B3">
        <w:rPr>
          <w:sz w:val="24"/>
          <w:szCs w:val="24"/>
        </w:rPr>
        <w:fldChar w:fldCharType="end"/>
      </w:r>
      <w:r w:rsidRPr="009640B3">
        <w:rPr>
          <w:sz w:val="24"/>
          <w:szCs w:val="24"/>
        </w:rPr>
        <w:t xml:space="preserve"> </w:t>
      </w:r>
      <w:r w:rsidRPr="009640B3">
        <w:rPr>
          <w:sz w:val="24"/>
          <w:szCs w:val="24"/>
        </w:rPr>
        <w:fldChar w:fldCharType="begin" w:fldLock="1"/>
      </w:r>
      <w:r w:rsidRPr="009640B3">
        <w:rPr>
          <w:sz w:val="24"/>
          <w:szCs w:val="24"/>
        </w:rPr>
        <w:instrText>ADDIN CSL_CITATION {"citationItems":[{"id":"ITEM-1","itemData":{"DOI":"10.1080/15022250.2015.1084148","ISSN":"15022269","abstract":"Abstract: It is often argued that “authenticity” has become one of the most overused terms in tourism marketing and tourism studies. Yet, most scholars readily agree that some form of authenticity is essential to the level of satisfaction experienced by tourists. Through its focus on representations and perceptions of “authenticity” at heritage tourism sites, this article argues that it makes sense to speak of authenticities (in the plural), rather than authenticity (in the singular), and proposes a semiotics-based typology for the purpose – including a new definition of “symbolic authenticity”. Finally, through practical application to two sites: Nottingham Castle and the Hans Egede monument in Nuuk's Colonial Harbour, the article illustrates how such a typology of authenticities might be a valuable tool to destination developers and marketers, city planners, site managers and interpreters as they seek to address different heritage tourist segments.","author":[{"dropping-particle":"","family":"Thomsen","given":"Robert C.","non-dropping-particle":"","parse-names":false,"suffix":""},{"dropping-particle":"","family":"Vester","given":"Stine Printzlau","non-dropping-particle":"","parse-names":false,"suffix":""}],"container-title":"Scandinavian Journal of Hospitality and Tourism","id":"ITEM-1","issue":"3","issued":{"date-parts":[["2016"]]},"page":"254-273","title":"Towards a Semiotics-Based Typology of Authenticities in Heritage Tourism: Authenticities at Nottingham Castle, UK, and Nuuk Colonial Harbour, Greenland","type":"article-journal","volume":"16"},"uris":["http://www.mendeley.com/documents/?uuid=56d33d06-52e4-4551-b889-c8df103ea242"]}],"mendeley":{"formattedCitation":"(Thomsen &amp; Vester, 2016)","plainTextFormattedCitation":"(Thomsen &amp; Vester, 2016)","previouslyFormattedCitation":"(Thomsen &amp; Vester, 2016)"},"properties":{"noteIndex":0},"schema":"https://github.com/citation-style-language/schema/raw/master/csl-citation.json"}</w:instrText>
      </w:r>
      <w:r w:rsidRPr="009640B3">
        <w:rPr>
          <w:sz w:val="24"/>
          <w:szCs w:val="24"/>
        </w:rPr>
        <w:fldChar w:fldCharType="separate"/>
      </w:r>
      <w:r w:rsidRPr="009640B3">
        <w:rPr>
          <w:noProof/>
          <w:sz w:val="24"/>
          <w:szCs w:val="24"/>
        </w:rPr>
        <w:t>(Thomsen &amp; Vester, 2016)</w:t>
      </w:r>
      <w:r w:rsidRPr="009640B3">
        <w:rPr>
          <w:sz w:val="24"/>
          <w:szCs w:val="24"/>
        </w:rPr>
        <w:fldChar w:fldCharType="end"/>
      </w:r>
      <w:r w:rsidRPr="009640B3">
        <w:rPr>
          <w:sz w:val="24"/>
          <w:szCs w:val="24"/>
        </w:rPr>
        <w:t>. Eichner (1999) urges that semiotic research in tourism marketing needs to address all the relationships represented by the sides of the triangle: tourism advertising (sign), destination (</w:t>
      </w:r>
      <w:proofErr w:type="spellStart"/>
      <w:r w:rsidRPr="009640B3">
        <w:rPr>
          <w:sz w:val="24"/>
          <w:szCs w:val="24"/>
        </w:rPr>
        <w:t>designatum</w:t>
      </w:r>
      <w:proofErr w:type="spellEnd"/>
      <w:r w:rsidRPr="009640B3">
        <w:rPr>
          <w:sz w:val="24"/>
          <w:szCs w:val="24"/>
        </w:rPr>
        <w:t xml:space="preserve">), and potential tourists (interpretant). Meanwhile, Thomsen and Vester (2016) successfully identified authenticities in heritage tourism by applying </w:t>
      </w:r>
      <w:proofErr w:type="spellStart"/>
      <w:r w:rsidRPr="009640B3">
        <w:rPr>
          <w:sz w:val="24"/>
          <w:szCs w:val="24"/>
        </w:rPr>
        <w:t>Pairce's</w:t>
      </w:r>
      <w:proofErr w:type="spellEnd"/>
      <w:r w:rsidRPr="009640B3">
        <w:rPr>
          <w:sz w:val="24"/>
          <w:szCs w:val="24"/>
        </w:rPr>
        <w:t xml:space="preserve"> semiotic triangle approach (</w:t>
      </w:r>
      <w:r w:rsidRPr="009640B3">
        <w:rPr>
          <w:i/>
          <w:iCs/>
          <w:sz w:val="24"/>
          <w:szCs w:val="24"/>
        </w:rPr>
        <w:t>index, icon, and symbols</w:t>
      </w:r>
      <w:r w:rsidRPr="009640B3">
        <w:rPr>
          <w:sz w:val="24"/>
          <w:szCs w:val="24"/>
        </w:rPr>
        <w:t>).</w:t>
      </w:r>
    </w:p>
    <w:p w:rsidR="009640B3" w:rsidRPr="009640B3" w:rsidRDefault="009640B3" w:rsidP="009640B3">
      <w:pPr>
        <w:spacing w:line="360" w:lineRule="auto"/>
        <w:ind w:firstLine="720"/>
        <w:jc w:val="both"/>
        <w:rPr>
          <w:sz w:val="24"/>
          <w:szCs w:val="24"/>
        </w:rPr>
      </w:pPr>
      <w:r w:rsidRPr="009640B3">
        <w:rPr>
          <w:sz w:val="24"/>
          <w:szCs w:val="24"/>
        </w:rPr>
        <w:lastRenderedPageBreak/>
        <w:t xml:space="preserve">A sign within the material tourism promotion is categorized as an index since it indicates the actual/real connection to the object, then categorized as an icon since it resembles the object, and finally, categorized as a symbol, as it indicates interpretational/conventional relation to the object </w:t>
      </w:r>
      <w:r w:rsidRPr="009640B3">
        <w:rPr>
          <w:sz w:val="24"/>
          <w:szCs w:val="24"/>
        </w:rPr>
        <w:fldChar w:fldCharType="begin" w:fldLock="1"/>
      </w:r>
      <w:r w:rsidR="00FA2B49">
        <w:rPr>
          <w:sz w:val="24"/>
          <w:szCs w:val="24"/>
        </w:rPr>
        <w:instrText>ADDIN CSL_CITATION {"citationItems":[{"id":"ITEM-1","itemData":{"ISBN":"9781626239777","author":[{"dropping-particle":"","family":"Peirce","given":"","non-dropping-particle":"","parse-names":false,"suffix":""}],"editor":[{"dropping-particle":"","family":"Nathan Houser, Jonathan R. Eller","given":"Albert C. Lewis","non-dropping-particle":"","parse-names":false,"suffix":""}],"id":"ITEM-1","issued":{"date-parts":[["1998"]]},"publisher":"Indiana University Press","publisher-place":"Bloomington, Indiana","title":"The Essential Peirce: Selected Philosophical Writings Volume 2 (1893-1913)","type":"book"},"uris":["http://www.mendeley.com/documents/?uuid=2e7fef5b-636f-455d-b56e-9b98c8924860"]}],"mendeley":{"formattedCitation":"(Peirce, 1998)","plainTextFormattedCitation":"(Peirce, 1998)","previouslyFormattedCitation":"(Peirce, 1998)"},"properties":{"noteIndex":0},"schema":"https://github.com/citation-style-language/schema/raw/master/csl-citation.json"}</w:instrText>
      </w:r>
      <w:r w:rsidRPr="009640B3">
        <w:rPr>
          <w:sz w:val="24"/>
          <w:szCs w:val="24"/>
        </w:rPr>
        <w:fldChar w:fldCharType="separate"/>
      </w:r>
      <w:r w:rsidRPr="009640B3">
        <w:rPr>
          <w:noProof/>
          <w:sz w:val="24"/>
          <w:szCs w:val="24"/>
        </w:rPr>
        <w:t>(Peirce, 1998)</w:t>
      </w:r>
      <w:r w:rsidRPr="009640B3">
        <w:rPr>
          <w:sz w:val="24"/>
          <w:szCs w:val="24"/>
        </w:rPr>
        <w:fldChar w:fldCharType="end"/>
      </w:r>
      <w:r w:rsidRPr="009640B3">
        <w:rPr>
          <w:sz w:val="24"/>
          <w:szCs w:val="24"/>
        </w:rPr>
        <w:t>.</w:t>
      </w:r>
    </w:p>
    <w:p w:rsidR="009640B3" w:rsidRPr="009640B3" w:rsidRDefault="009640B3" w:rsidP="009640B3">
      <w:pPr>
        <w:spacing w:line="360" w:lineRule="auto"/>
        <w:ind w:firstLine="720"/>
        <w:jc w:val="both"/>
        <w:rPr>
          <w:sz w:val="24"/>
          <w:szCs w:val="24"/>
        </w:rPr>
      </w:pPr>
      <w:r w:rsidRPr="009640B3">
        <w:rPr>
          <w:sz w:val="24"/>
          <w:szCs w:val="24"/>
        </w:rPr>
        <w:t xml:space="preserve">This study applies two analysis techniques (qualitative content analysis and semiotic analysis) to identify cultural meanings produced by local DMOs within the framework of the symbolic economy through the distribution of signs into promotional materials for </w:t>
      </w:r>
      <w:proofErr w:type="spellStart"/>
      <w:r w:rsidRPr="009640B3">
        <w:rPr>
          <w:sz w:val="24"/>
          <w:szCs w:val="24"/>
        </w:rPr>
        <w:t>Batam</w:t>
      </w:r>
      <w:proofErr w:type="spellEnd"/>
      <w:r w:rsidRPr="009640B3">
        <w:rPr>
          <w:sz w:val="24"/>
          <w:szCs w:val="24"/>
        </w:rPr>
        <w:t xml:space="preserve"> tourist destinations. This content analysis is conducted to identify denotative meanings in the data by looking at the main subjects that appear in the data. </w:t>
      </w:r>
      <w:r w:rsidRPr="009640B3">
        <w:rPr>
          <w:sz w:val="24"/>
          <w:szCs w:val="24"/>
        </w:rPr>
        <w:fldChar w:fldCharType="begin" w:fldLock="1"/>
      </w:r>
      <w:r w:rsidRPr="009640B3">
        <w:rPr>
          <w:sz w:val="24"/>
          <w:szCs w:val="24"/>
        </w:rPr>
        <w:instrText>ADDIN CSL_CITATION {"citationItems":[{"id":"ITEM-1","itemData":{"DOI":"10.1080/14616680309715","author":[{"dropping-particle":"","family":"Jenkins","given":"Olivia","non-dropping-particle":"","parse-names":false,"suffix":""}],"container-title":"An International Journal of Tourism Space, Place and Environment","id":"ITEM-1","issue":"3","issued":{"date-parts":[["2003"]]},"page":"305-328","title":"Photography and travel brochures : The circle of representation Photography and travel brochures : the circle of representation","type":"article-journal","volume":"5"},"uris":["http://www.mendeley.com/documents/?uuid=2756c498-4810-4638-a84a-1beae30687a7"]}],"mendeley":{"formattedCitation":"(Jenkins, 2003)","plainTextFormattedCitation":"(Jenkins, 2003)","previouslyFormattedCitation":"(Jenkins, 2003)"},"properties":{"noteIndex":0},"schema":"https://github.com/citation-style-language/schema/raw/master/csl-citation.json"}</w:instrText>
      </w:r>
      <w:r w:rsidRPr="009640B3">
        <w:rPr>
          <w:sz w:val="24"/>
          <w:szCs w:val="24"/>
        </w:rPr>
        <w:fldChar w:fldCharType="separate"/>
      </w:r>
      <w:r w:rsidRPr="009640B3">
        <w:rPr>
          <w:noProof/>
          <w:sz w:val="24"/>
          <w:szCs w:val="24"/>
        </w:rPr>
        <w:t>(Jenkins, 2003)</w:t>
      </w:r>
      <w:r w:rsidRPr="009640B3">
        <w:rPr>
          <w:sz w:val="24"/>
          <w:szCs w:val="24"/>
        </w:rPr>
        <w:fldChar w:fldCharType="end"/>
      </w:r>
      <w:r w:rsidRPr="009640B3">
        <w:rPr>
          <w:sz w:val="24"/>
          <w:szCs w:val="24"/>
        </w:rPr>
        <w:t>. Several steps are taken to carry out this analysis.</w:t>
      </w:r>
    </w:p>
    <w:p w:rsidR="009640B3" w:rsidRPr="009640B3" w:rsidRDefault="009640B3" w:rsidP="009640B3">
      <w:pPr>
        <w:spacing w:line="360" w:lineRule="auto"/>
        <w:ind w:firstLine="720"/>
        <w:jc w:val="both"/>
        <w:rPr>
          <w:sz w:val="24"/>
          <w:szCs w:val="24"/>
        </w:rPr>
      </w:pPr>
      <w:r w:rsidRPr="009640B3">
        <w:rPr>
          <w:sz w:val="24"/>
          <w:szCs w:val="24"/>
        </w:rPr>
        <w:t xml:space="preserve">First, all visual content posted on the official Instagram account of the local tourism bureau was collected. That official account is named @batamtourism_official. Meanwhile, the data collection activity was carried out in May 2024, and at that time, the official account had 470 posts and more than 5000 followers. </w:t>
      </w:r>
    </w:p>
    <w:p w:rsidR="009640B3" w:rsidRPr="009640B3" w:rsidRDefault="009640B3" w:rsidP="009640B3">
      <w:pPr>
        <w:spacing w:line="360" w:lineRule="auto"/>
        <w:ind w:firstLine="720"/>
        <w:jc w:val="both"/>
        <w:rPr>
          <w:color w:val="C00000"/>
          <w:sz w:val="24"/>
          <w:szCs w:val="24"/>
        </w:rPr>
      </w:pPr>
      <w:r w:rsidRPr="009640B3">
        <w:rPr>
          <w:sz w:val="24"/>
          <w:szCs w:val="24"/>
        </w:rPr>
        <w:t xml:space="preserve"> Second is coding framework development. In a content analysis, each data will be coded. Therefore, before coding, the researcher prepares the coding framework. The coding framework of this </w:t>
      </w:r>
      <w:r w:rsidRPr="009640B3">
        <w:rPr>
          <w:sz w:val="24"/>
          <w:szCs w:val="24"/>
        </w:rPr>
        <w:t xml:space="preserve">research is compiled by referring to the framework of the concept of authenticity in tourism developed by Cohen (2007). According to him, authenticity includes several dimensions, including origins, creativity, and genuineness </w:t>
      </w:r>
      <w:r w:rsidRPr="009640B3">
        <w:rPr>
          <w:color w:val="000000" w:themeColor="text1"/>
          <w:sz w:val="24"/>
          <w:szCs w:val="24"/>
        </w:rPr>
        <w:fldChar w:fldCharType="begin" w:fldLock="1"/>
      </w:r>
      <w:r w:rsidRPr="009640B3">
        <w:rPr>
          <w:color w:val="000000" w:themeColor="text1"/>
          <w:sz w:val="24"/>
          <w:szCs w:val="24"/>
        </w:rPr>
        <w:instrText>ADDIN CSL_CITATION {"citationItems":[{"id":"ITEM-1","itemData":{"DOI":"10.1080/02508281.2007.11081279","ISSN":"02508281","author":[{"dropping-particle":"","family":"Cohen","given":"Erik","non-dropping-particle":"","parse-names":false,"suffix":""}],"container-title":"Tourism Recreation Research","id":"ITEM-1","issue":"2","issued":{"date-parts":[["2007"]]},"page":"75-82","title":"Authenticity in tourism studies: Apres ia lutte","type":"article-journal","volume":"32"},"uris":["http://www.mendeley.com/documents/?uuid=cd2d0527-71cd-47f7-b2e2-27a0822c44fc"]}],"mendeley":{"formattedCitation":"(Cohen, 2007)","plainTextFormattedCitation":"(Cohen, 2007)","previouslyFormattedCitation":"(Cohen, 2007)"},"properties":{"noteIndex":0},"schema":"https://github.com/citation-style-language/schema/raw/master/csl-citation.json"}</w:instrText>
      </w:r>
      <w:r w:rsidRPr="009640B3">
        <w:rPr>
          <w:color w:val="000000" w:themeColor="text1"/>
          <w:sz w:val="24"/>
          <w:szCs w:val="24"/>
        </w:rPr>
        <w:fldChar w:fldCharType="separate"/>
      </w:r>
      <w:r w:rsidRPr="009640B3">
        <w:rPr>
          <w:noProof/>
          <w:color w:val="000000" w:themeColor="text1"/>
          <w:sz w:val="24"/>
          <w:szCs w:val="24"/>
        </w:rPr>
        <w:t>(Cohen, 2007)</w:t>
      </w:r>
      <w:r w:rsidRPr="009640B3">
        <w:rPr>
          <w:color w:val="000000" w:themeColor="text1"/>
          <w:sz w:val="24"/>
          <w:szCs w:val="24"/>
        </w:rPr>
        <w:fldChar w:fldCharType="end"/>
      </w:r>
      <w:r w:rsidRPr="009640B3">
        <w:rPr>
          <w:color w:val="000000" w:themeColor="text1"/>
          <w:sz w:val="24"/>
          <w:szCs w:val="24"/>
        </w:rPr>
        <w:t>.</w:t>
      </w:r>
    </w:p>
    <w:p w:rsidR="009640B3" w:rsidRPr="009640B3" w:rsidRDefault="009640B3" w:rsidP="009640B3">
      <w:pPr>
        <w:spacing w:line="360" w:lineRule="auto"/>
        <w:ind w:firstLine="720"/>
        <w:jc w:val="both"/>
        <w:rPr>
          <w:sz w:val="24"/>
          <w:szCs w:val="24"/>
        </w:rPr>
      </w:pPr>
      <w:r w:rsidRPr="009640B3">
        <w:rPr>
          <w:sz w:val="24"/>
          <w:szCs w:val="24"/>
        </w:rPr>
        <w:t xml:space="preserve">The third stage is coding. All visual data collected with the Malay culture theme is coded at this stage. This coding process is carried out using a previously prepared coding framework. For example, when data (visual content) depicts someone performing a local dance, the data will be coded as "creativity". </w:t>
      </w:r>
    </w:p>
    <w:p w:rsidR="009640B3" w:rsidRPr="009640B3" w:rsidRDefault="009640B3" w:rsidP="009640B3">
      <w:pPr>
        <w:spacing w:line="360" w:lineRule="auto"/>
        <w:ind w:firstLine="720"/>
        <w:jc w:val="both"/>
        <w:rPr>
          <w:sz w:val="24"/>
          <w:szCs w:val="24"/>
        </w:rPr>
      </w:pPr>
      <w:r w:rsidRPr="009640B3">
        <w:rPr>
          <w:sz w:val="24"/>
          <w:szCs w:val="24"/>
        </w:rPr>
        <w:t>Fourth is data organization. At this stage, all data that has been coded is grouped based on their respective coding sub-themes. This is done to understand what themes appear in all data and identify what themes get the main spotlight by paying attention to the number of occurrences in the data.</w:t>
      </w:r>
    </w:p>
    <w:p w:rsidR="009640B3" w:rsidRPr="009640B3" w:rsidRDefault="009640B3" w:rsidP="009640B3">
      <w:pPr>
        <w:spacing w:line="360" w:lineRule="auto"/>
        <w:ind w:firstLine="720"/>
        <w:jc w:val="both"/>
        <w:rPr>
          <w:sz w:val="24"/>
          <w:szCs w:val="24"/>
        </w:rPr>
      </w:pPr>
      <w:r w:rsidRPr="009640B3">
        <w:rPr>
          <w:sz w:val="24"/>
          <w:szCs w:val="24"/>
        </w:rPr>
        <w:t xml:space="preserve">Next, after all stages of content analysis are carried out and the denotative meanings of each data are identified, the next stage of analysis is semiotic analysis (level 2 analysis). This analysis technique is carried out to reveal each data's deepest layers of meaning. This step is carried out by analyzing each sign distributed in the data using a theoretical framework or Malay culture and applying 3 </w:t>
      </w:r>
      <w:proofErr w:type="spellStart"/>
      <w:r w:rsidRPr="009640B3">
        <w:rPr>
          <w:sz w:val="24"/>
          <w:szCs w:val="24"/>
        </w:rPr>
        <w:t>Pairce</w:t>
      </w:r>
      <w:proofErr w:type="spellEnd"/>
      <w:r w:rsidRPr="009640B3">
        <w:rPr>
          <w:sz w:val="24"/>
          <w:szCs w:val="24"/>
        </w:rPr>
        <w:t xml:space="preserve"> sign approaches (index, icon, and symbol).</w:t>
      </w:r>
    </w:p>
    <w:p w:rsidR="009640B3" w:rsidRPr="009640B3" w:rsidRDefault="009640B3" w:rsidP="000671DC">
      <w:pPr>
        <w:spacing w:line="360" w:lineRule="auto"/>
        <w:ind w:firstLine="720"/>
        <w:jc w:val="both"/>
        <w:rPr>
          <w:sz w:val="24"/>
          <w:szCs w:val="24"/>
        </w:rPr>
      </w:pPr>
      <w:r w:rsidRPr="009640B3">
        <w:rPr>
          <w:sz w:val="24"/>
          <w:szCs w:val="24"/>
        </w:rPr>
        <w:lastRenderedPageBreak/>
        <w:t xml:space="preserve">Finally, each sign analyzed using the three approaches will be interpreted using the theoretical framework of authenticity developed by Cohen (2007) (origins, creativity, and genuineness). </w:t>
      </w:r>
    </w:p>
    <w:p w:rsidR="006B146E" w:rsidRPr="006B146E" w:rsidRDefault="006B146E" w:rsidP="009640B3">
      <w:pPr>
        <w:spacing w:line="360" w:lineRule="auto"/>
        <w:contextualSpacing/>
        <w:jc w:val="both"/>
        <w:rPr>
          <w:i/>
          <w:color w:val="000000"/>
          <w:sz w:val="24"/>
          <w:szCs w:val="24"/>
        </w:rPr>
      </w:pPr>
    </w:p>
    <w:p w:rsidR="006B146E" w:rsidRDefault="00A06E88" w:rsidP="006B146E">
      <w:pPr>
        <w:spacing w:line="360" w:lineRule="auto"/>
        <w:contextualSpacing/>
        <w:jc w:val="both"/>
        <w:rPr>
          <w:b/>
          <w:bCs/>
          <w:i/>
          <w:color w:val="000000"/>
          <w:sz w:val="24"/>
          <w:szCs w:val="24"/>
          <w:lang w:val="id-ID"/>
        </w:rPr>
      </w:pPr>
      <w:r w:rsidRPr="00A06E88">
        <w:rPr>
          <w:b/>
          <w:bCs/>
          <w:i/>
          <w:color w:val="000000"/>
          <w:sz w:val="24"/>
          <w:szCs w:val="24"/>
        </w:rPr>
        <w:t>Theoretical Framework Development</w:t>
      </w:r>
    </w:p>
    <w:p w:rsidR="00A06E88" w:rsidRDefault="00A06E88" w:rsidP="00A06E88">
      <w:pPr>
        <w:spacing w:line="360" w:lineRule="auto"/>
        <w:rPr>
          <w:b/>
          <w:bCs/>
        </w:rPr>
      </w:pPr>
      <w:r w:rsidRPr="007041DD">
        <w:rPr>
          <w:b/>
          <w:bCs/>
        </w:rPr>
        <w:t>City branding dan Place-Making</w:t>
      </w:r>
    </w:p>
    <w:p w:rsidR="00A06E88" w:rsidRDefault="00A06E88" w:rsidP="00A06E88">
      <w:pPr>
        <w:spacing w:line="360" w:lineRule="auto"/>
        <w:ind w:firstLine="720"/>
        <w:jc w:val="both"/>
      </w:pPr>
      <w:r w:rsidRPr="00045985">
        <w:t>In academic literature, "brand,"  the noun form of "branding,” is defined as a set of associations or a sum of associations</w:t>
      </w:r>
      <w:r>
        <w:t xml:space="preserve"> </w:t>
      </w:r>
      <w:r w:rsidRPr="007041DD">
        <w:fldChar w:fldCharType="begin" w:fldLock="1"/>
      </w:r>
      <w:r w:rsidRPr="007041DD">
        <w:instrText>ADDIN CSL_CITATION {"citationItems":[{"id":"ITEM-1","itemData":{"DOI":"10.1177/0308518X15594918","ISSN":"14723409","abstract":"This article attempts to ‘rethink’ place brands after examining in detail how people form them in their minds. The article starts with a very brief account of the place branding literature to provide the necessary background and goes on to identify what we see as a shortcoming in current understanding of the place brand: the dominant idea that brands are formed as sums of mental associations. The article attempts to take current understanding of place brands further by going beyond associations and adding a missing element: the interactions between those associations. We propose a rethinking of place brands based on two pillars: first we incorporate more geographical understanding into place branding and, second, we outline a process that allows place elements and placebased associations to combine and form the place brand. The place brand formation process starts when people use place-making elements (materiality, practices, institutions and representations) to form mental associations with the place. These associations are not static but evolve and change over time as they interact with each other on several dimensions. These interactions constitute the way in which the place brand is formed. The argumentation leads to a novel conceptualization of the role of place branding in the above processes. The practical applicability and implications of the proposed rethinking of place brands suggested here are explored in detail through the examination of the branding process followed recently in Bogotá, Colombia, where our approach to place branding has found practical application.","author":[{"dropping-particle":"","family":"Kavaratzis","given":"Mihalis","non-dropping-particle":"","parse-names":false,"suffix":""},{"dropping-particle":"","family":"Kalandides","given":"Ares","non-dropping-particle":"","parse-names":false,"suffix":""}],"container-title":"Environment and Planning A","id":"ITEM-1","issue":"6","issued":{"date-parts":[["2015"]]},"page":"1368-1382","title":"Rethinking the place brand: the interactive formation of place brands and the role of participatory place branding","type":"article-journal","volume":"47"},"uris":["http://www.mendeley.com/documents/?uuid=3a3f4fe6-b91f-40f8-8c57-f87acebf2573"]}],"mendeley":{"formattedCitation":"(Kavaratzis &amp; Kalandides, 2015)","plainTextFormattedCitation":"(Kavaratzis &amp; Kalandides, 2015)","previouslyFormattedCitation":"(Kavaratzis &amp; Kalandides, 2015)"},"properties":{"noteIndex":0},"schema":"https://github.com/citation-style-language/schema/raw/master/csl-citation.json"}</w:instrText>
      </w:r>
      <w:r w:rsidRPr="007041DD">
        <w:fldChar w:fldCharType="separate"/>
      </w:r>
      <w:r w:rsidRPr="007041DD">
        <w:rPr>
          <w:noProof/>
        </w:rPr>
        <w:t>(Kavaratzis &amp; Kalandides, 2015)</w:t>
      </w:r>
      <w:r w:rsidRPr="007041DD">
        <w:fldChar w:fldCharType="end"/>
      </w:r>
      <w:r w:rsidRPr="007041DD">
        <w:t xml:space="preserve">. </w:t>
      </w:r>
      <w:r w:rsidRPr="00045985">
        <w:t>Through this association, its customers associate various meanings with a particular brand</w:t>
      </w:r>
      <w:r>
        <w:t xml:space="preserve"> </w:t>
      </w:r>
      <w:r w:rsidRPr="007041DD">
        <w:fldChar w:fldCharType="begin" w:fldLock="1"/>
      </w:r>
      <w:r w:rsidRPr="007041DD">
        <w:instrText>ADDIN CSL_CITATION {"citationItems":[{"id":"ITEM-1","itemData":{"author":[{"dropping-particle":"","family":"Batey","given":"Mark","non-dropping-particle":"","parse-names":false,"suffix":""}],"id":"ITEM-1","issued":{"date-parts":[["2008"]]},"publisher":"Routledge","publisher-place":"London","title":"Brand Meaning","type":"book"},"uris":["http://www.mendeley.com/documents/?uuid=2a7bbcc2-f445-43e7-951f-465ccc68023a"]}],"mendeley":{"formattedCitation":"(Batey, 2008)","plainTextFormattedCitation":"(Batey, 2008)","previouslyFormattedCitation":"(Batey, 2008)"},"properties":{"noteIndex":0},"schema":"https://github.com/citation-style-language/schema/raw/master/csl-citation.json"}</w:instrText>
      </w:r>
      <w:r w:rsidRPr="007041DD">
        <w:fldChar w:fldCharType="separate"/>
      </w:r>
      <w:r w:rsidRPr="007041DD">
        <w:rPr>
          <w:noProof/>
        </w:rPr>
        <w:t>(Batey, 2008)</w:t>
      </w:r>
      <w:r w:rsidRPr="007041DD">
        <w:fldChar w:fldCharType="end"/>
      </w:r>
      <w:r w:rsidRPr="007041DD">
        <w:t xml:space="preserve">. </w:t>
      </w:r>
      <w:r w:rsidRPr="00045985">
        <w:t>The concept of city branding can be interpreted as all efforts aimed at creating a city's meaning through associating the city with various elements or attributes.</w:t>
      </w:r>
    </w:p>
    <w:p w:rsidR="00A06E88" w:rsidRDefault="00A06E88" w:rsidP="00A06E88">
      <w:pPr>
        <w:spacing w:line="360" w:lineRule="auto"/>
        <w:ind w:firstLine="720"/>
        <w:jc w:val="both"/>
      </w:pPr>
      <w:r w:rsidRPr="0018006E">
        <w:t>Meanwhile, the city in tourism literature is a concept that refers to a geographical entity that is deliberately developed for tourism purposes. In addition to the term city, other terms are often used, including place, location, country, and so on</w:t>
      </w:r>
      <w:r>
        <w:t xml:space="preserve"> </w:t>
      </w:r>
      <w:r w:rsidRPr="007041DD">
        <w:fldChar w:fldCharType="begin" w:fldLock="1"/>
      </w:r>
      <w:r w:rsidRPr="007041DD">
        <w:instrText>ADDIN CSL_CITATION {"citationItems":[{"id":"ITEM-1","itemData":{"DOI":"10.1057/palgrave.pb.6000084","ISSN":"1751-8040","abstract":"The inception of place branding evolved from research within various fi elds including place image and marketing. The literature reports on studies focusing on the application of the branding concept to various geographical entities ranging from countries to towns and the challenges of branding the multidimensional construct ‘ place ’ especially in relation to stakeholder engagement. There seems to be a recognisable gap in the literature regarding the application of the term ‘ place ’ and its associated vocabulary: location, country, nation, city and region. While a ‘ destination ’ indicated tourism only, there is no agreed language for the holistic or all encompassing brand. This exploratory research attempts to identify the application of the term ‘ place ’ and it associated vocabulary. The application of place brand terms was examined by discipline and in relation to geographical entities using the sample population of place-branding case-study research. Content analysis was used to elicit place brand terms and geographical entities within various articles published in various disciplines. The data were analysed using the chi-square test for independence. The content analysis affi rmed that the focus of place branding has shifted from the discipline of tourism to branding and business. The research also affi rmed that a ‘ destination ’ indicates tourism only, articulated in various geographical entity forms, while the absence of ‘ town ’ as a possible place brand term became apparent as did the lack of case-study research relating to towns; countries and cities commanded the majority share of the case-study research. The results of the study depict the application of place brand terms in a generic manner from which guidance for the specifi c application of place terms may provide future consensus either implicitly or through the formation of distinctive place term defi nitions.","author":[{"dropping-particle":"","family":"Hanna","given":"Sonya","non-dropping-particle":"","parse-names":false,"suffix":""},{"dropping-particle":"","family":"Rowley","given":"Jennifer","non-dropping-particle":"","parse-names":false,"suffix":""}],"container-title":"Place Branding and Public Diplomacy","id":"ITEM-1","issue":"1","issued":{"date-parts":[["2008"]]},"page":"61-75","title":"An analysis of terminology use in place branding","type":"article-journal","volume":"4"},"uris":["http://www.mendeley.com/documents/?uuid=2ab7b547-9802-4b88-819f-fb546db55a60"]}],"mendeley":{"formattedCitation":"(Hanna &amp; Rowley, 2008)","plainTextFormattedCitation":"(Hanna &amp; Rowley, 2008)","previouslyFormattedCitation":"(Hanna &amp; Rowley, 2008)"},"properties":{"noteIndex":0},"schema":"https://github.com/citation-style-language/schema/raw/master/csl-citation.json"}</w:instrText>
      </w:r>
      <w:r w:rsidRPr="007041DD">
        <w:fldChar w:fldCharType="separate"/>
      </w:r>
      <w:r w:rsidRPr="007041DD">
        <w:rPr>
          <w:noProof/>
        </w:rPr>
        <w:t>(Hanna &amp; Rowley, 2008)</w:t>
      </w:r>
      <w:r w:rsidRPr="007041DD">
        <w:fldChar w:fldCharType="end"/>
      </w:r>
      <w:r w:rsidRPr="007041DD">
        <w:t xml:space="preserve">. </w:t>
      </w:r>
      <w:r w:rsidRPr="0018006E">
        <w:t>In the study of human geography, the geographical entity or place is a site with meaning created and shared based on mediation and representation</w:t>
      </w:r>
      <w:r w:rsidRPr="007041DD">
        <w:t xml:space="preserve"> (</w:t>
      </w:r>
      <w:proofErr w:type="spellStart"/>
      <w:r w:rsidRPr="007041DD">
        <w:t>Cresswell</w:t>
      </w:r>
      <w:proofErr w:type="spellEnd"/>
      <w:r w:rsidRPr="007041DD">
        <w:t>: 2009).</w:t>
      </w:r>
    </w:p>
    <w:p w:rsidR="00A06E88" w:rsidRDefault="00A06E88" w:rsidP="00A06E88">
      <w:pPr>
        <w:spacing w:line="360" w:lineRule="auto"/>
        <w:ind w:firstLine="720"/>
        <w:jc w:val="both"/>
      </w:pPr>
      <w:r w:rsidRPr="0018006E">
        <w:t>At the empirical level, the issue of cultural representation in the context of place-making, including destinations, has been highlighted by several studies. Young (1999) argues that tourist attractions are constructed and negotiated by two components: tourists and the tourism industry. This study also shows that tourist attractions are constructed by the tourism industry to attract tourists rather than providing a realistic picture of the place. Then, the constructed meanings are consumed by tourists in order to gain an understanding of the tourist attraction</w:t>
      </w:r>
      <w:r>
        <w:t xml:space="preserve"> </w:t>
      </w:r>
      <w:r w:rsidRPr="007041DD">
        <w:fldChar w:fldCharType="begin" w:fldLock="1"/>
      </w:r>
      <w:r w:rsidRPr="007041DD">
        <w:instrText>ADDIN CSL_CITATION {"citationItems":[{"id":"ITEM-1","itemData":{"DOI":"10.1080/00049189993648","ISBN":"0004918999364","ISSN":"00049182","abstract":"Ordinary places become tourist places when they are attributed particular meanings and values which appeal to and attract tourists. In this sense, tourist places are socially constructed and negotiated phenomena. This paper explores place meanings in the context of the Daintree and Cape Tribulation area, Far North Queensland, Australia. Two components of place meaning were examined. Firstly, the meanings of place produced by the tourist industry and, secondly, the meanings of place consumed by tourists visiting the area. There existed significant overlap between these constructions in spite of potentially conflicting on-site evidence, suggesting that actual experience of place does not significantly affect place meanings. This was confirmed by a comparison between different groups of tourists, which revealed that the meaning attributed to place was influenced by pre-visitation variables, including existing knowledge, and environmental preferences and experience. A conceptual model of tourist places is proposed, which argues that the success of a tourist place depends on the level of consensus on meanings negotiated between the systems of place production and place consumption.","author":[{"dropping-particle":"","family":"Young","given":"Martin","non-dropping-particle":"","parse-names":false,"suffix":""}],"container-title":"Australian Geographer","id":"ITEM-1","issue":"3","issued":{"date-parts":[["1999"]]},"page":"373-389","title":"The social construction of tourist places","type":"article-journal","volume":"30"},"uris":["http://www.mendeley.com/documents/?uuid=b443daf7-ad74-4692-8c57-f9cfb0acf282"]}],"mendeley":{"formattedCitation":"(Young, 1999)","plainTextFormattedCitation":"(Young, 1999)","previouslyFormattedCitation":"(Young, 1999)"},"properties":{"noteIndex":0},"schema":"https://github.com/citation-style-language/schema/raw/master/csl-citation.json"}</w:instrText>
      </w:r>
      <w:r w:rsidRPr="007041DD">
        <w:fldChar w:fldCharType="separate"/>
      </w:r>
      <w:r w:rsidRPr="007041DD">
        <w:rPr>
          <w:noProof/>
        </w:rPr>
        <w:t>(Young, 1999)</w:t>
      </w:r>
      <w:r w:rsidRPr="007041DD">
        <w:fldChar w:fldCharType="end"/>
      </w:r>
      <w:r w:rsidRPr="007041DD">
        <w:t>.</w:t>
      </w:r>
    </w:p>
    <w:p w:rsidR="00A06E88" w:rsidRDefault="00A06E88" w:rsidP="00A06E88">
      <w:pPr>
        <w:spacing w:line="360" w:lineRule="auto"/>
        <w:ind w:firstLine="720"/>
        <w:jc w:val="both"/>
      </w:pPr>
      <w:r w:rsidRPr="0018006E">
        <w:t>Likewise, Ellison (2013) found that different groups in society produce a rich tapestry of meanings for tourism places. A study that focused on how the meaning of Australian beaches was created found that local people constructed beaches as living spaces. On the other hand, tourists represented them as egalitarian societal settings. In addition to the two different thematic representations, beaches as natural beauty and physical beauty; beaches as barren land associated with myth, fear, danger, and disturbed violence; and beaches as urban/natural blends are other representations found in this study</w:t>
      </w:r>
      <w:r>
        <w:t xml:space="preserve"> </w:t>
      </w:r>
      <w:r w:rsidRPr="007041DD">
        <w:fldChar w:fldCharType="begin" w:fldLock="1"/>
      </w:r>
      <w:r w:rsidRPr="007041DD">
        <w:instrText>ADDIN CSL_CITATION {"citationItems":[{"id":"ITEM-1","itemData":{"author":[{"dropping-particle":"","family":"Ellison","given":"Elizabeth","non-dropping-particle":"","parse-names":false,"suffix":""}],"id":"ITEM-1","issued":{"date-parts":[["2013"]]},"publisher":"Queensland University of Technology","title":"The Australian Beachspace: Flagging The Spaces of Australian Beach Texts","type":"thesis"},"uris":["http://www.mendeley.com/documents/?uuid=0e0bcab9-7634-40ee-8c35-3dec0bf6cb6e"]}],"mendeley":{"formattedCitation":"(Ellison, 2013)","plainTextFormattedCitation":"(Ellison, 2013)","previouslyFormattedCitation":"(Ellison, 2013)"},"properties":{"noteIndex":0},"schema":"https://github.com/citation-style-language/schema/raw/master/csl-citation.json"}</w:instrText>
      </w:r>
      <w:r w:rsidRPr="007041DD">
        <w:fldChar w:fldCharType="separate"/>
      </w:r>
      <w:r w:rsidRPr="007041DD">
        <w:rPr>
          <w:noProof/>
        </w:rPr>
        <w:t>(Ellison, 2013)</w:t>
      </w:r>
      <w:r w:rsidRPr="007041DD">
        <w:fldChar w:fldCharType="end"/>
      </w:r>
      <w:r w:rsidRPr="007041DD">
        <w:t>.</w:t>
      </w:r>
    </w:p>
    <w:p w:rsidR="00A06E88" w:rsidRDefault="00A06E88" w:rsidP="00A06E88">
      <w:pPr>
        <w:spacing w:line="360" w:lineRule="auto"/>
        <w:ind w:firstLine="720"/>
        <w:jc w:val="both"/>
      </w:pPr>
      <w:r w:rsidRPr="0018006E">
        <w:t>Meanwhile, other study findings show that the local tourism industry and mass media play an essential role in interpreting the city through representation</w:t>
      </w:r>
      <w:r>
        <w:t xml:space="preserve"> </w:t>
      </w:r>
      <w:r w:rsidRPr="007041DD">
        <w:fldChar w:fldCharType="begin" w:fldLock="1"/>
      </w:r>
      <w:r w:rsidRPr="007041DD">
        <w:instrText>ADDIN CSL_CITATION {"citationItems":[{"id":"ITEM-1","itemData":{"DOI":"10.1080/14616688.2010.494688","author":[{"dropping-particle":"","family":"Su","given":"Xiaobo","non-dropping-particle":"","parse-names":false,"suffix":""}],"id":"ITEM-1","issue":"917396443","issued":{"date-parts":[["2010"]]},"title":"The Imagination of Place and Tourism Consumption : A Case Study of The Imagination of Place and Tourism Consumption : A Case Study of Lijiang Ancient Town , China","type":"article-journal"},"uris":["http://www.mendeley.com/documents/?uuid=2a43ecc6-aed1-4a80-9d57-357583729d8a"]}],"mendeley":{"formattedCitation":"(Su, 2010)","plainTextFormattedCitation":"(Su, 2010)","previouslyFormattedCitation":"(Su, 2010)"},"properties":{"noteIndex":0},"schema":"https://github.com/citation-style-language/schema/raw/master/csl-citation.json"}</w:instrText>
      </w:r>
      <w:r w:rsidRPr="007041DD">
        <w:fldChar w:fldCharType="separate"/>
      </w:r>
      <w:r w:rsidRPr="007041DD">
        <w:rPr>
          <w:noProof/>
        </w:rPr>
        <w:t>(Su, 2010)</w:t>
      </w:r>
      <w:r w:rsidRPr="007041DD">
        <w:fldChar w:fldCharType="end"/>
      </w:r>
      <w:r w:rsidRPr="007041DD">
        <w:t xml:space="preserve">. </w:t>
      </w:r>
      <w:r w:rsidRPr="0018006E">
        <w:t>The findings were revealed through a study of the construction of the ancient city of Lijiang (one of the world heritages in China), characterized as a city full of historical nostalgia, in addition to its original and eternal natural beauty because human hands have not touched it.</w:t>
      </w:r>
    </w:p>
    <w:p w:rsidR="00A06E88" w:rsidRPr="00833E3D" w:rsidRDefault="00A06E88" w:rsidP="00A06E88">
      <w:pPr>
        <w:spacing w:line="360" w:lineRule="auto"/>
        <w:ind w:firstLine="720"/>
        <w:jc w:val="both"/>
      </w:pPr>
      <w:r w:rsidRPr="00833E3D">
        <w:t xml:space="preserve">On the other hand, research conducted by </w:t>
      </w:r>
      <w:proofErr w:type="spellStart"/>
      <w:r w:rsidRPr="00833E3D">
        <w:t>Erb</w:t>
      </w:r>
      <w:proofErr w:type="spellEnd"/>
      <w:r w:rsidRPr="00833E3D">
        <w:t xml:space="preserve"> (1998) and </w:t>
      </w:r>
      <w:proofErr w:type="spellStart"/>
      <w:r w:rsidRPr="00833E3D">
        <w:t>Preston_whyte</w:t>
      </w:r>
      <w:proofErr w:type="spellEnd"/>
      <w:r w:rsidRPr="00833E3D">
        <w:t xml:space="preserve"> (2001) identified that various groups (cultures) in society have different ideas about building tourism space. In practice, these differences trigger contestation involving these groups in developing tourist attractions.</w:t>
      </w:r>
    </w:p>
    <w:p w:rsidR="00A06E88" w:rsidRDefault="00A06E88" w:rsidP="00A06E88">
      <w:pPr>
        <w:spacing w:line="360" w:lineRule="auto"/>
        <w:ind w:firstLine="720"/>
        <w:jc w:val="both"/>
      </w:pPr>
      <w:proofErr w:type="spellStart"/>
      <w:r w:rsidRPr="00833E3D">
        <w:t>Erb's</w:t>
      </w:r>
      <w:proofErr w:type="spellEnd"/>
      <w:r w:rsidRPr="00833E3D">
        <w:t xml:space="preserve"> work (1998) found that foreign tourists and the state/government competed to build the authenticity of local culture inherent in the </w:t>
      </w:r>
      <w:proofErr w:type="spellStart"/>
      <w:r w:rsidRPr="00833E3D">
        <w:t>Manggarian</w:t>
      </w:r>
      <w:proofErr w:type="spellEnd"/>
      <w:r w:rsidRPr="00833E3D">
        <w:t xml:space="preserve"> traditional house, a local heritage of cultural groups in Indonesia. At the same time, Preston-</w:t>
      </w:r>
      <w:proofErr w:type="spellStart"/>
      <w:r w:rsidRPr="00833E3D">
        <w:t>whyte</w:t>
      </w:r>
      <w:proofErr w:type="spellEnd"/>
      <w:r w:rsidRPr="00833E3D">
        <w:t xml:space="preserve"> (2001) found that various cultural identities of groups were contested while developing the waterfront in Durban.</w:t>
      </w:r>
    </w:p>
    <w:p w:rsidR="00A06E88" w:rsidRDefault="00A06E88" w:rsidP="00A06E88">
      <w:pPr>
        <w:spacing w:line="360" w:lineRule="auto"/>
        <w:ind w:firstLine="720"/>
        <w:jc w:val="both"/>
      </w:pPr>
    </w:p>
    <w:p w:rsidR="00A06E88" w:rsidRPr="00A06E88" w:rsidRDefault="00A06E88" w:rsidP="00A06E88">
      <w:pPr>
        <w:jc w:val="both"/>
        <w:rPr>
          <w:b/>
          <w:bCs/>
          <w:i/>
          <w:iCs/>
        </w:rPr>
      </w:pPr>
      <w:r w:rsidRPr="00A06E88">
        <w:rPr>
          <w:b/>
          <w:bCs/>
          <w:i/>
          <w:iCs/>
        </w:rPr>
        <w:t>The Place-making and socia</w:t>
      </w:r>
      <w:r>
        <w:rPr>
          <w:b/>
          <w:bCs/>
          <w:i/>
          <w:iCs/>
        </w:rPr>
        <w:t>l</w:t>
      </w:r>
      <w:r w:rsidRPr="00A06E88">
        <w:rPr>
          <w:b/>
          <w:bCs/>
          <w:i/>
          <w:iCs/>
        </w:rPr>
        <w:t xml:space="preserve"> </w:t>
      </w:r>
      <w:r>
        <w:rPr>
          <w:b/>
          <w:bCs/>
          <w:i/>
          <w:iCs/>
        </w:rPr>
        <w:t>m</w:t>
      </w:r>
      <w:r w:rsidRPr="00A06E88">
        <w:rPr>
          <w:b/>
          <w:bCs/>
          <w:i/>
          <w:iCs/>
        </w:rPr>
        <w:t>edia in the lens of the symbolic economy</w:t>
      </w:r>
    </w:p>
    <w:p w:rsidR="00A06E88" w:rsidRDefault="00A06E88" w:rsidP="00A06E88">
      <w:pPr>
        <w:spacing w:line="360" w:lineRule="auto"/>
        <w:jc w:val="both"/>
      </w:pPr>
    </w:p>
    <w:p w:rsidR="00A06E88" w:rsidRDefault="00A06E88" w:rsidP="00A06E88">
      <w:pPr>
        <w:spacing w:line="360" w:lineRule="auto"/>
        <w:ind w:firstLine="720"/>
        <w:jc w:val="both"/>
      </w:pPr>
      <w:r>
        <w:rPr>
          <w:rStyle w:val="Emphasis"/>
          <w:color w:val="0E101A"/>
        </w:rPr>
        <w:lastRenderedPageBreak/>
        <w:t>Symbolic economy</w:t>
      </w:r>
      <w:r>
        <w:t xml:space="preserve"> is a theoretical concept attempting to explain the complex interrelationships between culture, power, and urban development. In this perspective, culture is the economic basis of a city because various cultural products (art, music, film, and media) can act as drivers of economic growth, attract tourists and investors, and increase property values ​​</w:t>
      </w:r>
      <w:r w:rsidRPr="007041DD">
        <w:fldChar w:fldCharType="begin" w:fldLock="1"/>
      </w:r>
      <w:r w:rsidRPr="007041DD">
        <w:instrText>ADDIN CSL_CITATION {"citationItems":[{"id":"ITEM-1","itemData":{"DOI":"10.4324/9781315847238-9","ISBN":"1557864365","abstract":"How do cities use culture today? Building on the experience of New York as a \"culture capital\" Sharon Zukin shows how three notions of culture - as ethnicity, aesthetic, and marketing tool - are reshaping urban places and conflicts over revitalization. She rejects the idea that cities have either a singular urban culture or many different subcultures to argue that cultures are constantly negotiated in the city's central spaces - the streets, parks, shops, museums, and restaurants - which are the great public spaces of modernity. While cultural gentrification may contribute to making our cities both safer and more civilised places to live, it has its darker side. Beneath the perceptions of \"civility\" and \"security\" nurtured by cultural strategies, Zukin shows an aggressive private-sector bid for control of public space, a relentless drive for expansion by art museums and other non-profit cultural institutions, and an increasing redesign of the built environment for the purposes of social control. Tying these developments to a new \"symbolic economy\" based on tourism, media and entertainment, Zukin traces the connections between real estate development and popular expression, and between elite visions of the arts and more democratic representations. Going beyond the immigrants, artists, street peddlers, and security guards who are the key figures in the symbolic economy, Zukin asks: Who really occupies the central spaces of cities? And whose culture is imposed as public culture? Combining cultural critique, interviews, autobiography and ethnography, The Culture of Cities is a compelling account of the public spaces of modernity as they are transformed into new, more troubling landscapes.","author":[{"dropping-particle":"","family":"Zukin","given":"Sharon","non-dropping-particle":"","parse-names":false,"suffix":""}],"container-title":"Urban Social Geography","id":"ITEM-1","issued":{"date-parts":[["1995"]]},"number-of-pages":"58-76","publisher":"Blackwell","publisher-place":"UK","title":"The cultures of cities","type":"book"},"uris":["http://www.mendeley.com/documents/?uuid=44be7d38-53b0-46c1-b81a-8ed199fd8a3f"]}],"mendeley":{"formattedCitation":"(Zukin, 1995)","plainTextFormattedCitation":"(Zukin, 1995)","previouslyFormattedCitation":"(Zukin, 1995)"},"properties":{"noteIndex":0},"schema":"https://github.com/citation-style-language/schema/raw/master/csl-citation.json"}</w:instrText>
      </w:r>
      <w:r w:rsidRPr="007041DD">
        <w:fldChar w:fldCharType="separate"/>
      </w:r>
      <w:r w:rsidRPr="007041DD">
        <w:rPr>
          <w:noProof/>
        </w:rPr>
        <w:t>(</w:t>
      </w:r>
      <w:proofErr w:type="spellStart"/>
      <w:r w:rsidRPr="007041DD">
        <w:rPr>
          <w:noProof/>
        </w:rPr>
        <w:t>Zukin</w:t>
      </w:r>
      <w:proofErr w:type="spellEnd"/>
      <w:r w:rsidRPr="007041DD">
        <w:rPr>
          <w:noProof/>
        </w:rPr>
        <w:t>, 1995)</w:t>
      </w:r>
      <w:r w:rsidRPr="007041DD">
        <w:fldChar w:fldCharType="end"/>
      </w:r>
      <w:r w:rsidRPr="007041DD">
        <w:t xml:space="preserve">. </w:t>
      </w:r>
      <w:r w:rsidRPr="00833E3D">
        <w:t>In line with this, through the concept of "economy of symbolic goods, culture is one of the factors that determine the economic value of a product (</w:t>
      </w:r>
      <w:r>
        <w:t>place</w:t>
      </w:r>
      <w:r w:rsidRPr="00833E3D">
        <w:t xml:space="preserve">) </w:t>
      </w:r>
      <w:r w:rsidRPr="007041DD">
        <w:fldChar w:fldCharType="begin" w:fldLock="1"/>
      </w:r>
      <w:r w:rsidRPr="007041DD">
        <w:instrText>ADDIN CSL_CITATION {"citationItems":[{"id":"ITEM-1","itemData":{"abstract":"The art business, a trade in things that have no price, belongs to the class of practices in which the logic of the pre-capitalist economy lives on (as it does, in another sphere, in the economy of exchanges between the generations). These practices, functioning as practical negations, can only work by pretending not to be doing what they are doing. Defying ordinary logic, they lend themselves to two opposed readings, both equally false, which each undo their essential duality and duplicity by reducing them either to the disavowal or to what is disavowed-to disinterestedness or self-interest. The challenge which economies based on disavowal of the ’economic’ present to all forms of economism lies precisely in the fact that they function, and can function, in practice-and not merely in the agents’ representations-only by virtue of a constant, collective repression of narrowly ’economic’ interest and of the real nature of the practices revealed by ’economic’ analysis.","author":[{"dropping-particle":"","family":"Bourdieu","given":"Pierre","non-dropping-particle":"","parse-names":false,"suffix":""}],"container-title":"Media Culture and Society","id":"ITEM-1","issue":"2","issued":{"date-parts":[["1980"]]},"page":"261-293","title":"The Production of Belief: Contribution Economy of Symbolic Goods","type":"article-journal","volume":"263"},"uris":["http://www.mendeley.com/documents/?uuid=e40a8aa7-d39d-4f66-b2a9-d3674dcaf42d"]}],"mendeley":{"formattedCitation":"(Bourdieu, 1980)","plainTextFormattedCitation":"(Bourdieu, 1980)","previouslyFormattedCitation":"(Bourdieu, 1980)"},"properties":{"noteIndex":0},"schema":"https://github.com/citation-style-language/schema/raw/master/csl-citation.json"}</w:instrText>
      </w:r>
      <w:r w:rsidRPr="007041DD">
        <w:fldChar w:fldCharType="separate"/>
      </w:r>
      <w:r w:rsidRPr="007041DD">
        <w:rPr>
          <w:noProof/>
        </w:rPr>
        <w:t>(Bourdieu, 1980)</w:t>
      </w:r>
      <w:r w:rsidRPr="007041DD">
        <w:fldChar w:fldCharType="end"/>
      </w:r>
      <w:r w:rsidRPr="007041DD">
        <w:t xml:space="preserve">. </w:t>
      </w:r>
    </w:p>
    <w:p w:rsidR="00A06E88" w:rsidRDefault="00A06E88" w:rsidP="00A06E88">
      <w:pPr>
        <w:spacing w:line="360" w:lineRule="auto"/>
        <w:ind w:firstLine="720"/>
        <w:jc w:val="both"/>
      </w:pPr>
      <w:r w:rsidRPr="009B069C">
        <w:t>Cultural narratives and representations presented through various cultural products can create a sense of place (city) that is attractive to residents, tourists, and investors</w:t>
      </w:r>
      <w:r>
        <w:t xml:space="preserve"> </w:t>
      </w:r>
      <w:r>
        <w:fldChar w:fldCharType="begin" w:fldLock="1"/>
      </w:r>
      <w:r>
        <w:instrText>ADDIN CSL_CITATION {"citationItems":[{"id":"ITEM-1","itemData":{"DOI":"10.4324/9781315847238-9","ISBN":"1557864365","abstract":"How do cities use culture today? Building on the experience of New York as a \"culture capital\" Sharon Zukin shows how three notions of culture - as ethnicity, aesthetic, and marketing tool - are reshaping urban places and conflicts over revitalization. She rejects the idea that cities have either a singular urban culture or many different subcultures to argue that cultures are constantly negotiated in the city's central spaces - the streets, parks, shops, museums, and restaurants - which are the great public spaces of modernity. While cultural gentrification may contribute to making our cities both safer and more civilised places to live, it has its darker side. Beneath the perceptions of \"civility\" and \"security\" nurtured by cultural strategies, Zukin shows an aggressive private-sector bid for control of public space, a relentless drive for expansion by art museums and other non-profit cultural institutions, and an increasing redesign of the built environment for the purposes of social control. Tying these developments to a new \"symbolic economy\" based on tourism, media and entertainment, Zukin traces the connections between real estate development and popular expression, and between elite visions of the arts and more democratic representations. Going beyond the immigrants, artists, street peddlers, and security guards who are the key figures in the symbolic economy, Zukin asks: Who really occupies the central spaces of cities? And whose culture is imposed as public culture? Combining cultural critique, interviews, autobiography and ethnography, The Culture of Cities is a compelling account of the public spaces of modernity as they are transformed into new, more troubling landscapes.","author":[{"dropping-particle":"","family":"Zukin","given":"Sharon","non-dropping-particle":"","parse-names":false,"suffix":""}],"container-title":"Urban Social Geography","id":"ITEM-1","issued":{"date-parts":[["1995"]]},"number-of-pages":"58-76","publisher":"Blackwell","publisher-place":"UK","title":"The cultures of cities","type":"book"},"uris":["http://www.mendeley.com/documents/?uuid=44be7d38-53b0-46c1-b81a-8ed199fd8a3f"]}],"mendeley":{"formattedCitation":"(Zukin, 1995)","plainTextFormattedCitation":"(Zukin, 1995)","previouslyFormattedCitation":"(Zukin, 1995)"},"properties":{"noteIndex":0},"schema":"https://github.com/citation-style-language/schema/raw/master/csl-citation.json"}</w:instrText>
      </w:r>
      <w:r>
        <w:fldChar w:fldCharType="separate"/>
      </w:r>
      <w:r w:rsidRPr="009B069C">
        <w:rPr>
          <w:noProof/>
        </w:rPr>
        <w:t>(Zukin, 1995)</w:t>
      </w:r>
      <w:r>
        <w:fldChar w:fldCharType="end"/>
      </w:r>
      <w:r>
        <w:t xml:space="preserve">. </w:t>
      </w:r>
      <w:r w:rsidRPr="009B069C">
        <w:t>At the same time, the process of creating this city is influenced by social hierarchy and power relations in an urban society because the dominant group can control the narrative and cultural representation deliberately produced to create a city</w:t>
      </w:r>
      <w:r>
        <w:t xml:space="preserve"> </w:t>
      </w:r>
      <w:r w:rsidRPr="007041DD">
        <w:fldChar w:fldCharType="begin" w:fldLock="1"/>
      </w:r>
      <w:r w:rsidRPr="007041DD">
        <w:instrText>ADDIN CSL_CITATION {"citationItems":[{"id":"ITEM-1","itemData":{"author":[{"dropping-particle":"","family":"Zukin, Sharon, Robert Baskerville, Miriam Greenberg, Courtney Guthreau, Jean Halley, Mark Halling","given":"Kristin Lawler","non-dropping-particle":"","parse-names":false,"suffix":""}],"container-title":"Urban Affairs Review","id":"ITEM-1","issue":"5","issued":{"date-parts":[["1998"]]},"page":"627–654","title":"From Coney Island to Las Vegas in The Urban Imaginary","type":"article-journal","volume":"33"},"uris":["http://www.mendeley.com/documents/?uuid=98afe7f0-3b25-4452-b51d-5941109d4770"]}],"mendeley":{"formattedCitation":"(Zukin, Sharon, Robert Baskerville, Miriam Greenberg, Courtney Guthreau, Jean Halley, Mark Halling, 1998)","plainTextFormattedCitation":"(Zukin, Sharon, Robert Baskerville, Miriam Greenberg, Courtney Guthreau, Jean Halley, Mark Halling, 1998)","previouslyFormattedCitation":"(Zukin, Sharon, Robert Baskerville, Miriam Greenberg, Courtney Guthreau, Jean Halley, Mark Halling, 1998)"},"properties":{"noteIndex":0},"schema":"https://github.com/citation-style-language/schema/raw/master/csl-citation.json"}</w:instrText>
      </w:r>
      <w:r w:rsidRPr="007041DD">
        <w:fldChar w:fldCharType="separate"/>
      </w:r>
      <w:r w:rsidRPr="007041DD">
        <w:rPr>
          <w:noProof/>
        </w:rPr>
        <w:t>(Zukin, Sharon, Robert Baskerville, Miriam Greenberg, Courtney Guthreau, Jean Halley, Mark Halling, 1998)</w:t>
      </w:r>
      <w:r w:rsidRPr="007041DD">
        <w:fldChar w:fldCharType="end"/>
      </w:r>
      <w:r w:rsidRPr="007041DD">
        <w:t>.</w:t>
      </w:r>
    </w:p>
    <w:p w:rsidR="00A06E88" w:rsidRPr="007041DD" w:rsidRDefault="00A06E88" w:rsidP="00A06E88">
      <w:pPr>
        <w:spacing w:line="360" w:lineRule="auto"/>
        <w:ind w:firstLine="720"/>
        <w:jc w:val="both"/>
      </w:pPr>
      <w:r w:rsidRPr="009B069C">
        <w:t xml:space="preserve">This theory has been </w:t>
      </w:r>
      <w:r>
        <w:t>applied</w:t>
      </w:r>
      <w:r w:rsidRPr="009B069C">
        <w:t xml:space="preserve"> and discussed in various studies with various contexts and issues highlighted. For example, in the context of maintaining a business and promoting handicraft products, artists embed cultural meanings in their products to increase the product's value</w:t>
      </w:r>
      <w:r>
        <w:t xml:space="preserve"> </w:t>
      </w:r>
      <w:r w:rsidRPr="007041DD">
        <w:fldChar w:fldCharType="begin" w:fldLock="1"/>
      </w:r>
      <w:r w:rsidRPr="007041DD">
        <w:instrText>ADDIN CSL_CITATION {"citationItems":[{"id":"ITEM-1","itemData":{"DOI":"10.1080/07360932.2015.1075895","ISSN":"18746381","abstract":"The world of crafts belongs to the ‘economy of symbolic goods’ identified by Pierre Bourdieu. The theoretical aim of this article is to show that Bourdieu’s analytical framework and methods are particularly useful to comprehend the structure of the diverse French craft economy and to understand the different ways in which symbolic and economic dimensions combine. First, the use of quantitative and qualitative methods (especially geometric data analysis) enables to highlight the structure of the world of crafts which remains divided between a traditional pole and a contemporary pole. Then, the apparent opposition between economic and symbolic aspects of crafts, represented by the two poles, is qualified by pointing out the different forms of ‘denial of the economy’ adopted by artist-craftsmen according to their economic and social characteristics. Finally, the article shows how economic and symbolic dimensions combine through the symbolic construction of the economic value of craft products.","author":[{"dropping-particle":"","family":"Jourdain","given":"Anne","non-dropping-particle":"","parse-names":false,"suffix":""}],"container-title":"Forum for Social Economics","id":"ITEM-1","issue":"3-4","issued":{"date-parts":[["2018"]]},"page":"342-361","title":"Analysing the Symbolic Economy with Pierre Bourdieu: The World of Crafts","type":"article-journal","volume":"47"},"uris":["http://www.mendeley.com/documents/?uuid=7ce9bb9e-b86d-4b69-ad6c-c4c5bd74fb54"]}],"mendeley":{"formattedCitation":"(Jourdain, 2018)","plainTextFormattedCitation":"(Jourdain, 2018)","previouslyFormattedCitation":"(Jourdain, 2018)"},"properties":{"noteIndex":0},"schema":"https://github.com/citation-style-language/schema/raw/master/csl-citation.json"}</w:instrText>
      </w:r>
      <w:r w:rsidRPr="007041DD">
        <w:fldChar w:fldCharType="separate"/>
      </w:r>
      <w:r w:rsidRPr="007041DD">
        <w:rPr>
          <w:noProof/>
        </w:rPr>
        <w:t>(Jourdain, 2018)</w:t>
      </w:r>
      <w:r w:rsidRPr="007041DD">
        <w:fldChar w:fldCharType="end"/>
      </w:r>
      <w:r w:rsidRPr="007041DD">
        <w:t xml:space="preserve">. </w:t>
      </w:r>
      <w:r w:rsidRPr="009B069C">
        <w:t>Meanwhile, in the lens of symbolic economy, other studies show that authenticity operates as a form of symbolic violence. This violence is manifested when minority groups are marginalized because they cannot achieve socially recognized values, even though they try to conform to the cultural standards of the dominant group</w:t>
      </w:r>
      <w:r>
        <w:t xml:space="preserve"> </w:t>
      </w:r>
      <w:r w:rsidRPr="007041DD">
        <w:fldChar w:fldCharType="begin" w:fldLock="1"/>
      </w:r>
      <w:r w:rsidRPr="007041DD">
        <w:instrText>ADDIN CSL_CITATION {"citationItems":[{"id":"ITEM-1","itemData":{"DOI":"10.1080/1600910X.2016.1156007","ISSN":"21599149","abstract":"While authenticity has become a main axiological principle in late-modernity, a desired good and token of worth, studies from different countries indicate inequality in access to authenticity: middle-class ethnic minorities often face difficulties being recognized as authentic and experiencing themselves as such. This phenomenon is discussed below in terms of symbolic violence. While doing this the article makes several theoretical contributions: (1) Bourdieu's notion of symbolic violence is historicized. Different forms of symbolic violence (pre-modern, modern, and late-modern) are distinguished, each relying on a unique cosmology, logic, and symbolic economy. (2) Different strategies employed by social theorists to theorize authenticity are discussed and compared to reveal a gap between common understandings of authenticity as the dispositional depth of action and the misrecognized principle that often informs the ascription of authenticity, i.e. faithfulness to established discursive categories. Discursive structures allow members of hegemonic groups to naturalize cultural exploration and self-transformation as authentic self-realization, whereas even second-generation middle-class ethnic minorities often have their classed dispositions suspected as inauthentic. Some eventually understand themselves as inauthentic, while others invest in late acquisition of lowbrow culture in order to gain authenticity, thus contributing to their own subjection. (3) Cultural schemes may thus exert symbolic violence even if they cannot be traced back to strategic action of their privileged beneficiaries.","author":[{"dropping-particle":"","family":"Schwarz","given":"Ori","non-dropping-particle":"","parse-names":false,"suffix":""}],"container-title":"Distinktion","id":"ITEM-1","issue":"1","issued":{"date-parts":[["2016"]]},"page":"2-19","title":"The symbolic economy of authenticity as a form of symbolic violence: the case of middle-class ethnic minorities","type":"article-journal","volume":"17"},"uris":["http://www.mendeley.com/documents/?uuid=401ed5de-6e2d-4d08-8a85-02e61b10fef8"]}],"mendeley":{"formattedCitation":"(Schwarz, 2016)","plainTextFormattedCitation":"(Schwarz, 2016)","previouslyFormattedCitation":"(Schwarz, 2016)"},"properties":{"noteIndex":0},"schema":"https://github.com/citation-style-language/schema/raw/master/csl-citation.json"}</w:instrText>
      </w:r>
      <w:r w:rsidRPr="007041DD">
        <w:fldChar w:fldCharType="separate"/>
      </w:r>
      <w:r w:rsidRPr="007041DD">
        <w:rPr>
          <w:noProof/>
        </w:rPr>
        <w:t>(Schwarz, 2016)</w:t>
      </w:r>
      <w:r w:rsidRPr="007041DD">
        <w:fldChar w:fldCharType="end"/>
      </w:r>
      <w:r w:rsidRPr="007041DD">
        <w:t>.</w:t>
      </w:r>
    </w:p>
    <w:p w:rsidR="00A06E88" w:rsidRDefault="00A06E88" w:rsidP="00A06E88">
      <w:pPr>
        <w:spacing w:line="360" w:lineRule="auto"/>
        <w:ind w:firstLine="720"/>
        <w:jc w:val="both"/>
      </w:pPr>
    </w:p>
    <w:p w:rsidR="00A06E88" w:rsidRDefault="00A06E88" w:rsidP="00A06E88">
      <w:pPr>
        <w:spacing w:line="360" w:lineRule="auto"/>
        <w:ind w:firstLine="720"/>
        <w:jc w:val="both"/>
      </w:pPr>
      <w:r w:rsidRPr="009B069C">
        <w:t>Furthermore, symbolic economy, commodification of experiences, and social media are interconnected in the context of adventure sports</w:t>
      </w:r>
      <w:r>
        <w:t xml:space="preserve">. </w:t>
      </w:r>
      <w:r w:rsidRPr="009B069C">
        <w:t xml:space="preserve">When experiences are commoditized, they become a </w:t>
      </w:r>
      <w:r w:rsidRPr="009B069C">
        <w:t>means for individuals to acquire symbolic capital, and social media is a tool to multiply that symbolic capital because the experience is readily displayed to others using social media</w:t>
      </w:r>
      <w:r>
        <w:t xml:space="preserve"> </w:t>
      </w:r>
      <w:r w:rsidRPr="007041DD">
        <w:fldChar w:fldCharType="begin" w:fldLock="1"/>
      </w:r>
      <w:r w:rsidRPr="007041DD">
        <w:instrText>ADDIN CSL_CITATION {"citationItems":[{"id":"ITEM-1","itemData":{"DOI":"10.1080/11745398.2007.9686754","ISSN":"1174-5398","abstract":"In the early twenty-first century, participation in adventure sports activities represents a fertile means of reinforcing personal identity and cultural distinction, secured through the quest for, and accrual of, symbolic capital. This article draws on a case study investigation of one Scottish whitewater rafting company to explore the technologically mediated nature of the accrual of symbolic capital in the adventure sports sub-field. It is concluded that experiences have emerged as new tradable commodities. An industry of commercial adventure organisations has emerged to service a demand characterised by a quest for managed instantaneous gratification and edited memories, rather than for authenticity and self-discovery. At the soft, or mass, end of the adventure market, it is perhaps now possible to talk in the language of 'post-adventure' whereby both producers and consumers stage a theatrical performance which produces a visual representation of authentic experience transferable to a virtual witnessing audience. The post-adventure experientialists, although possessing little knowledge of the intricacies of the adventure sports activities in which they participate, know and value them in terms of their mediatised status value and cool fashion statement. Whereas the adventurer of the past secured status through achievement, the post-adventurer has no such concerns as their gazing social network recognises and bestows value to displays of spectacle, style and show. [ABSTRACT FROM AUTHOR]","author":[{"dropping-particle":"","family":"McGillivray","given":"David","non-dropping-particle":"","parse-names":false,"suffix":""},{"dropping-particle":"","family":"Frew","given":"Matt","non-dropping-particle":"","parse-names":false,"suffix":""}],"container-title":"Annals of Leisure Research","id":"ITEM-1","issue":"1","issued":{"date-parts":[["2007"]]},"page":"54-78","title":"Capturing Adventure: Trading experiences in the symbolic economy","type":"article-journal","volume":"10"},"uris":["http://www.mendeley.com/documents/?uuid=5406d94c-bdd8-4b84-a5e9-a764ce6b05ce"]}],"mendeley":{"formattedCitation":"(McGillivray &amp; Frew, 2007)","plainTextFormattedCitation":"(McGillivray &amp; Frew, 2007)","previouslyFormattedCitation":"(McGillivray &amp; Frew, 2007)"},"properties":{"noteIndex":0},"schema":"https://github.com/citation-style-language/schema/raw/master/csl-citation.json"}</w:instrText>
      </w:r>
      <w:r w:rsidRPr="007041DD">
        <w:fldChar w:fldCharType="separate"/>
      </w:r>
      <w:r w:rsidRPr="007041DD">
        <w:rPr>
          <w:noProof/>
        </w:rPr>
        <w:t>(McGillivray &amp; Frew, 2007)</w:t>
      </w:r>
      <w:r w:rsidRPr="007041DD">
        <w:fldChar w:fldCharType="end"/>
      </w:r>
      <w:r w:rsidRPr="007041DD">
        <w:t xml:space="preserve">. </w:t>
      </w:r>
    </w:p>
    <w:p w:rsidR="00A06E88" w:rsidRDefault="00A06E88" w:rsidP="00A06E88">
      <w:pPr>
        <w:spacing w:line="360" w:lineRule="auto"/>
        <w:ind w:firstLine="720"/>
        <w:jc w:val="both"/>
      </w:pPr>
      <w:r w:rsidRPr="009B069C">
        <w:t>Meanwhile, to support the economic transformation of the city of Leavenworth from a resource-based economy to an economy based on tourism and consumption, the symbolic economy is manifested through the production of narratives of authenticity and local traditions in order to attract tourists who crave exotic and familiar experiences</w:t>
      </w:r>
      <w:r>
        <w:t xml:space="preserve"> </w:t>
      </w:r>
      <w:r w:rsidRPr="007041DD">
        <w:fldChar w:fldCharType="begin" w:fldLock="1"/>
      </w:r>
      <w:r w:rsidRPr="007041DD">
        <w:instrText>ADDIN CSL_CITATION {"citationItems":[{"id":"ITEM-1","itemData":{"DOI":"10.1111/j.1931-0846.2000.tb00354.x","ISSN":"00167428","abstract":"Theme towns are an often-overlooked but significant form of tourism in rural areas. Many a small town across the United States, faced with a declining resource-based economy, has turned to \"theming\" as an economic-development strategy. In hopes of creating an alluring landscape, the built environment is radically transformed, and a variety of invented traditions are instituted. This article explores one such place - Leavenworth, Washington - that \"went Bavarian\" in the 1960s and is widely viewed as a success story. We examine four interrelated concepts that produce the symbolic economy of Leavenworth: emulation of other theme towns, authenticity, visual difference, and place marketing. After discussing each, we turn to the questions of how residents are affected by tourism and what it is like to live in Leavenworth.","author":[{"dropping-particle":"","family":"Frenkel","given":"Stephen","non-dropping-particle":"","parse-names":false,"suffix":""},{"dropping-particle":"","family":"Walton","given":"Judy","non-dropping-particle":"","parse-names":false,"suffix":""}],"container-title":"Geographical Review","id":"ITEM-1","issue":"4","issued":{"date-parts":[["2000"]]},"page":"559-584","title":"Bavarian Leavenworth and the symbolic economy of a theme town","type":"article-journal","volume":"90"},"uris":["http://www.mendeley.com/documents/?uuid=50949cad-8460-4be4-bae8-0b9f935c7b6c"]}],"mendeley":{"formattedCitation":"(Frenkel &amp; Walton, 2000)","plainTextFormattedCitation":"(Frenkel &amp; Walton, 2000)","previouslyFormattedCitation":"(Frenkel &amp; Walton, 2000)"},"properties":{"noteIndex":0},"schema":"https://github.com/citation-style-language/schema/raw/master/csl-citation.json"}</w:instrText>
      </w:r>
      <w:r w:rsidRPr="007041DD">
        <w:fldChar w:fldCharType="separate"/>
      </w:r>
      <w:r w:rsidRPr="007041DD">
        <w:rPr>
          <w:noProof/>
        </w:rPr>
        <w:t>(Frenkel &amp; Walton, 2000)</w:t>
      </w:r>
      <w:r w:rsidRPr="007041DD">
        <w:fldChar w:fldCharType="end"/>
      </w:r>
      <w:r w:rsidRPr="007041DD">
        <w:t>.</w:t>
      </w:r>
    </w:p>
    <w:p w:rsidR="00A06E88" w:rsidRDefault="00A06E88" w:rsidP="00A06E88">
      <w:pPr>
        <w:spacing w:line="360" w:lineRule="auto"/>
        <w:ind w:firstLine="720"/>
        <w:jc w:val="both"/>
      </w:pPr>
      <w:r w:rsidRPr="009B069C">
        <w:t>Notably, In the context of Xian City, cultural narratives are produced by the local tourism bureau to shape the city's brand by utilizing social media</w:t>
      </w:r>
      <w:r>
        <w:t xml:space="preserve"> </w:t>
      </w:r>
      <w:r w:rsidRPr="007041DD">
        <w:fldChar w:fldCharType="begin" w:fldLock="1"/>
      </w:r>
      <w:r>
        <w:instrText>ADDIN CSL_CITATION {"citationItems":[{"id":"ITEM-1","itemData":{"DOI":"10.1080/10350330.2020.1870405","ISSN":"14701219","abstract":"In the digital age, cities around the world are mobilizing various symbolic resources to rebrand their images through social media. Against this background, this study investigates how Xi’an, a second-tier developing city in China, constructs its digitalized urban imaginary using the popular social media platform of TikTok. A semiotic framework is developed to model Xi’an’s urban imaginary as evaluative attributes and to elucidate how they are constructed through linguistic and visual resources in short videos on TikTok. The analysis of 294 videos shows that Xi’an highlights its dual identity as a modern metropolis and a historical city. The modern metropolis image is characterized by the personification of Xi’an as a stylish, young, popular, and international microcelebrity; the historical city image is constructed through recreating the Great Tang dynasty and revitalizing local folk art. The characteristics of city branding discourse reflect China’s wanghong economy, urban policies and the affordances of social media.","author":[{"dropping-particle":"","family":"Wang","given":"Yilei","non-dropping-particle":"","parse-names":false,"suffix":""},{"dropping-particle":"","family":"Feng","given":"Dezheng","non-dropping-particle":"","parse-names":false,"suffix":""}],"container-title":"Social Semiotics","id":"ITEM-1","issue":"0","issued":{"date-parts":[["2021"]]},"page":"1-24","publisher":"Taylor &amp; Francis","title":"History, modernity, and city branding in China: a multimodal critical discourse analysis of Xi’an’s promotional videos on social media","type":"article-journal","volume":"0"},"uris":["http://www.mendeley.com/documents/?uuid=30cf2a09-5bc0-49fb-9183-e69c52ac4f64"]}],"mendeley":{"formattedCitation":"(Wang &amp; Feng, 2021)","plainTextFormattedCitation":"(Wang &amp; Feng, 2021)","previouslyFormattedCitation":"(Wang &amp; Feng, 2021)"},"properties":{"noteIndex":0},"schema":"https://github.com/citation-style-language/schema/raw/master/csl-citation.json"}</w:instrText>
      </w:r>
      <w:r w:rsidRPr="007041DD">
        <w:fldChar w:fldCharType="separate"/>
      </w:r>
      <w:r w:rsidRPr="007041DD">
        <w:rPr>
          <w:noProof/>
        </w:rPr>
        <w:t>(Wang &amp; Feng, 2021)</w:t>
      </w:r>
      <w:r w:rsidRPr="007041DD">
        <w:fldChar w:fldCharType="end"/>
      </w:r>
      <w:r w:rsidRPr="007041DD">
        <w:t xml:space="preserve">. </w:t>
      </w:r>
      <w:r w:rsidRPr="009B069C">
        <w:t>This study scientifically proves the symbolic economy manifested in the production of cultural narratives to shape the city as an attractive destination for tourists seeking contemporary, historical, and traditional values.</w:t>
      </w:r>
    </w:p>
    <w:p w:rsidR="00A06E88" w:rsidRDefault="00A06E88" w:rsidP="00A06E88">
      <w:pPr>
        <w:spacing w:line="360" w:lineRule="auto"/>
        <w:ind w:firstLine="720"/>
        <w:jc w:val="both"/>
      </w:pPr>
      <w:r w:rsidRPr="009B069C">
        <w:t xml:space="preserve">This study applies the theory of symbolic economy to highlight the issue of forming the authenticity of the </w:t>
      </w:r>
      <w:proofErr w:type="spellStart"/>
      <w:r w:rsidRPr="009B069C">
        <w:t>Batam</w:t>
      </w:r>
      <w:proofErr w:type="spellEnd"/>
      <w:r w:rsidRPr="009B069C">
        <w:t xml:space="preserve"> city destination behind the branding strategy carried out by the local DMO (</w:t>
      </w:r>
      <w:r>
        <w:t xml:space="preserve">Dinas </w:t>
      </w:r>
      <w:proofErr w:type="spellStart"/>
      <w:r>
        <w:t>Kebudayaan</w:t>
      </w:r>
      <w:proofErr w:type="spellEnd"/>
      <w:r>
        <w:t xml:space="preserve"> dan </w:t>
      </w:r>
      <w:proofErr w:type="spellStart"/>
      <w:r>
        <w:t>Pariwisata</w:t>
      </w:r>
      <w:proofErr w:type="spellEnd"/>
      <w:r>
        <w:t xml:space="preserve"> </w:t>
      </w:r>
      <w:proofErr w:type="spellStart"/>
      <w:r>
        <w:t>kota</w:t>
      </w:r>
      <w:proofErr w:type="spellEnd"/>
      <w:r>
        <w:t xml:space="preserve"> </w:t>
      </w:r>
      <w:proofErr w:type="spellStart"/>
      <w:r>
        <w:t>Batam</w:t>
      </w:r>
      <w:proofErr w:type="spellEnd"/>
      <w:r w:rsidRPr="009B069C">
        <w:t>) using one of the social media platforms (Instagram). Therefore, this study focuses on the cultural representation produced through visual content uploaded to the official Instagram account of the local DMO.</w:t>
      </w:r>
    </w:p>
    <w:p w:rsidR="006B146E" w:rsidRDefault="006B146E" w:rsidP="006B146E">
      <w:pPr>
        <w:spacing w:line="360" w:lineRule="auto"/>
        <w:contextualSpacing/>
        <w:jc w:val="both"/>
        <w:rPr>
          <w:b/>
          <w:color w:val="000000"/>
          <w:sz w:val="24"/>
          <w:szCs w:val="24"/>
          <w:lang w:val="id-ID"/>
        </w:rPr>
      </w:pPr>
    </w:p>
    <w:p w:rsidR="001B01FA" w:rsidRDefault="00D94E01" w:rsidP="006B146E">
      <w:pPr>
        <w:spacing w:line="360" w:lineRule="auto"/>
        <w:contextualSpacing/>
        <w:jc w:val="both"/>
        <w:rPr>
          <w:b/>
          <w:bCs/>
          <w:color w:val="000000"/>
          <w:sz w:val="24"/>
          <w:szCs w:val="24"/>
        </w:rPr>
      </w:pPr>
      <w:r>
        <w:rPr>
          <w:b/>
          <w:bCs/>
          <w:color w:val="000000"/>
          <w:sz w:val="24"/>
          <w:szCs w:val="24"/>
        </w:rPr>
        <w:t>FINDINGS AND DISCUSSION</w:t>
      </w:r>
    </w:p>
    <w:p w:rsidR="001B01FA" w:rsidRPr="009640B3" w:rsidRDefault="00212B30" w:rsidP="006B146E">
      <w:pPr>
        <w:spacing w:line="360" w:lineRule="auto"/>
        <w:contextualSpacing/>
        <w:jc w:val="both"/>
        <w:rPr>
          <w:i/>
          <w:iCs/>
          <w:color w:val="000000"/>
          <w:sz w:val="24"/>
          <w:szCs w:val="24"/>
        </w:rPr>
      </w:pPr>
      <w:r w:rsidRPr="009640B3">
        <w:rPr>
          <w:i/>
          <w:iCs/>
          <w:color w:val="000000"/>
          <w:sz w:val="24"/>
          <w:szCs w:val="24"/>
        </w:rPr>
        <w:t>Findings</w:t>
      </w:r>
    </w:p>
    <w:p w:rsidR="001B01FA" w:rsidRPr="001B01FA" w:rsidRDefault="001B01FA" w:rsidP="001B01FA">
      <w:pPr>
        <w:spacing w:line="360" w:lineRule="auto"/>
        <w:ind w:firstLine="426"/>
        <w:jc w:val="both"/>
        <w:rPr>
          <w:sz w:val="24"/>
          <w:szCs w:val="24"/>
          <w:lang w:val="en-GB"/>
        </w:rPr>
      </w:pPr>
      <w:r w:rsidRPr="001B01FA">
        <w:rPr>
          <w:sz w:val="24"/>
          <w:szCs w:val="24"/>
          <w:lang w:val="en-GB"/>
        </w:rPr>
        <w:t>The results of this stage of the analysis show that within the Malay culture theme, several sub-themes appear prominently in the data, such as: “</w:t>
      </w:r>
      <w:proofErr w:type="spellStart"/>
      <w:r w:rsidRPr="001B01FA">
        <w:rPr>
          <w:i/>
          <w:iCs/>
          <w:sz w:val="24"/>
          <w:szCs w:val="24"/>
          <w:lang w:val="en-GB"/>
        </w:rPr>
        <w:t>gasing</w:t>
      </w:r>
      <w:proofErr w:type="spellEnd"/>
      <w:r w:rsidRPr="001B01FA">
        <w:rPr>
          <w:i/>
          <w:iCs/>
          <w:sz w:val="24"/>
          <w:szCs w:val="24"/>
          <w:lang w:val="en-GB"/>
        </w:rPr>
        <w:t>”</w:t>
      </w:r>
      <w:r w:rsidRPr="001B01FA">
        <w:rPr>
          <w:sz w:val="24"/>
          <w:szCs w:val="24"/>
          <w:lang w:val="en-GB"/>
        </w:rPr>
        <w:t xml:space="preserve"> and “</w:t>
      </w:r>
      <w:proofErr w:type="spellStart"/>
      <w:r w:rsidRPr="001B01FA">
        <w:rPr>
          <w:i/>
          <w:iCs/>
          <w:sz w:val="24"/>
          <w:szCs w:val="24"/>
          <w:lang w:val="en-GB"/>
        </w:rPr>
        <w:t>gasing</w:t>
      </w:r>
      <w:proofErr w:type="spellEnd"/>
      <w:r w:rsidRPr="001B01FA">
        <w:rPr>
          <w:i/>
          <w:iCs/>
          <w:sz w:val="24"/>
          <w:szCs w:val="24"/>
          <w:lang w:val="en-GB"/>
        </w:rPr>
        <w:t>”</w:t>
      </w:r>
      <w:r w:rsidRPr="001B01FA">
        <w:rPr>
          <w:sz w:val="24"/>
          <w:szCs w:val="24"/>
          <w:lang w:val="en-GB"/>
        </w:rPr>
        <w:t xml:space="preserve"> game performances, “Malay </w:t>
      </w:r>
      <w:proofErr w:type="spellStart"/>
      <w:r w:rsidRPr="001B01FA">
        <w:rPr>
          <w:sz w:val="24"/>
          <w:szCs w:val="24"/>
          <w:lang w:val="en-GB"/>
        </w:rPr>
        <w:t>Kenduri</w:t>
      </w:r>
      <w:proofErr w:type="spellEnd"/>
      <w:r w:rsidRPr="001B01FA">
        <w:rPr>
          <w:sz w:val="24"/>
          <w:szCs w:val="24"/>
          <w:lang w:val="en-GB"/>
        </w:rPr>
        <w:t xml:space="preserve">”, </w:t>
      </w:r>
      <w:r w:rsidRPr="001B01FA">
        <w:rPr>
          <w:sz w:val="24"/>
          <w:szCs w:val="24"/>
          <w:lang w:val="en-GB"/>
        </w:rPr>
        <w:lastRenderedPageBreak/>
        <w:t>“</w:t>
      </w:r>
      <w:proofErr w:type="spellStart"/>
      <w:r w:rsidRPr="001B01FA">
        <w:rPr>
          <w:sz w:val="24"/>
          <w:szCs w:val="24"/>
          <w:lang w:val="en-GB"/>
        </w:rPr>
        <w:t>Tanjak</w:t>
      </w:r>
      <w:proofErr w:type="spellEnd"/>
      <w:r w:rsidRPr="001B01FA">
        <w:rPr>
          <w:sz w:val="24"/>
          <w:szCs w:val="24"/>
          <w:lang w:val="en-GB"/>
        </w:rPr>
        <w:t>”, and “</w:t>
      </w:r>
      <w:proofErr w:type="spellStart"/>
      <w:r w:rsidRPr="001B01FA">
        <w:rPr>
          <w:sz w:val="24"/>
          <w:szCs w:val="24"/>
          <w:lang w:val="en-GB"/>
        </w:rPr>
        <w:t>Kompang</w:t>
      </w:r>
      <w:proofErr w:type="spellEnd"/>
      <w:r w:rsidRPr="001B01FA">
        <w:rPr>
          <w:sz w:val="24"/>
          <w:szCs w:val="24"/>
          <w:lang w:val="en-GB"/>
        </w:rPr>
        <w:t>”. This section presents the results of the analysis of each sub-theme of the Malay culture.</w:t>
      </w:r>
    </w:p>
    <w:p w:rsidR="001B01FA" w:rsidRPr="001B01FA" w:rsidRDefault="001B01FA" w:rsidP="001B01FA">
      <w:pPr>
        <w:spacing w:line="360" w:lineRule="auto"/>
        <w:ind w:firstLine="426"/>
        <w:jc w:val="both"/>
        <w:rPr>
          <w:sz w:val="24"/>
          <w:szCs w:val="24"/>
        </w:rPr>
      </w:pPr>
      <w:r w:rsidRPr="001B01FA">
        <w:rPr>
          <w:sz w:val="24"/>
          <w:szCs w:val="24"/>
          <w:lang w:val="en-GB"/>
        </w:rPr>
        <w:t>The first sub-theme is “</w:t>
      </w:r>
      <w:proofErr w:type="spellStart"/>
      <w:r w:rsidRPr="001B01FA">
        <w:rPr>
          <w:sz w:val="24"/>
          <w:szCs w:val="24"/>
          <w:lang w:val="en-GB"/>
        </w:rPr>
        <w:t>gasing</w:t>
      </w:r>
      <w:proofErr w:type="spellEnd"/>
      <w:r w:rsidRPr="001B01FA">
        <w:rPr>
          <w:sz w:val="24"/>
          <w:szCs w:val="24"/>
          <w:lang w:val="en-GB"/>
        </w:rPr>
        <w:t>” and the “</w:t>
      </w:r>
      <w:proofErr w:type="spellStart"/>
      <w:r w:rsidRPr="001B01FA">
        <w:rPr>
          <w:sz w:val="24"/>
          <w:szCs w:val="24"/>
          <w:lang w:val="en-GB"/>
        </w:rPr>
        <w:t>gasing</w:t>
      </w:r>
      <w:proofErr w:type="spellEnd"/>
      <w:r w:rsidRPr="001B01FA">
        <w:rPr>
          <w:sz w:val="24"/>
          <w:szCs w:val="24"/>
          <w:lang w:val="en-GB"/>
        </w:rPr>
        <w:t xml:space="preserve">” game performances. </w:t>
      </w:r>
      <w:proofErr w:type="spellStart"/>
      <w:r w:rsidRPr="001B01FA">
        <w:rPr>
          <w:sz w:val="24"/>
          <w:szCs w:val="24"/>
          <w:lang w:val="en-GB"/>
        </w:rPr>
        <w:t>Gasing</w:t>
      </w:r>
      <w:proofErr w:type="spellEnd"/>
      <w:r w:rsidRPr="001B01FA">
        <w:rPr>
          <w:sz w:val="24"/>
          <w:szCs w:val="24"/>
          <w:lang w:val="en-GB"/>
        </w:rPr>
        <w:t xml:space="preserve"> itself has been a traditional Malay game since ancient times. It is one of the cultural heritage of the Malay people </w:t>
      </w:r>
      <w:r w:rsidRPr="001B01FA">
        <w:rPr>
          <w:color w:val="000000" w:themeColor="text1"/>
          <w:sz w:val="24"/>
          <w:szCs w:val="24"/>
          <w:shd w:val="clear" w:color="auto" w:fill="FFFFFF"/>
        </w:rPr>
        <w:fldChar w:fldCharType="begin" w:fldLock="1"/>
      </w:r>
      <w:r w:rsidR="009640B3">
        <w:rPr>
          <w:color w:val="000000" w:themeColor="text1"/>
          <w:sz w:val="24"/>
          <w:szCs w:val="24"/>
          <w:shd w:val="clear" w:color="auto" w:fill="FFFFFF"/>
        </w:rPr>
        <w:instrText>ADDIN CSL_CITATION {"citationItems":[{"id":"ITEM-1","itemData":{"DOI":"10.1007/978-981-287-332-3","ISBN":"9789812873323","abstract":"This book focuses on Art and Design Education Research. Gathering 72 papers illustrated with diagrams and tables, they provide state-of-the-art information on infrastructure and sustainable issues in Art and Design, focusing on Design Industrial Applications, Visual Communication and New Media, Art Education Research, Cultural Studies, and the Social Implications of Art. They also offer detailed information on innovative research trends in Design Technology and Multimedia Design, as well as a compilation of interdisciplinary findings combining the Humanities and Quality of Life in Art and Design.","author":[{"dropping-particle":"","family":"Hassan","given":"Oskar Hasdinor","non-dropping-particle":"","parse-names":false,"suffix":""},{"dropping-particle":"","family":"Abidin","given":"Shahriman Zainal","non-dropping-particle":"","parse-names":false,"suffix":""},{"dropping-particle":"","family":"Legino","given":"Rafeah","non-dropping-particle":"","parse-names":false,"suffix":""},{"dropping-particle":"","family":"Anwar","given":"Rusmadiah","non-dropping-particle":"","parse-names":false,"suffix":""},{"dropping-particle":"","family":"Kamaruzaman","given":"Muhamad Fairus","non-dropping-particle":"","parse-names":false,"suffix":""}],"container-title":"International Colloquium of Art and Design Education Research (i-CADER 2014)","id":"ITEM-1","issued":{"date-parts":[["2016"]]},"page":"1-709","title":"International colloquium of art and design education research (i-CADER 2014)","type":"article-journal"},"uris":["http://www.mendeley.com/documents/?uuid=5e92fcdb-f7c5-46cb-8084-950702fa93af"]}],"mendeley":{"formattedCitation":"(Hassan, Abidin, Legino, Anwar, &amp; Kamaruzaman, 2016)","manualFormatting":"(Hassan et al., 2016)","plainTextFormattedCitation":"(Hassan, Abidin, Legino, Anwar, &amp; Kamaruzaman, 2016)","previouslyFormattedCitation":"(Hassan, Abidin, Legino, Anwar, &amp; Kamaruzaman, 2016)"},"properties":{"noteIndex":0},"schema":"https://github.com/citation-style-language/schema/raw/master/csl-citation.json"}</w:instrText>
      </w:r>
      <w:r w:rsidRPr="001B01FA">
        <w:rPr>
          <w:color w:val="000000" w:themeColor="text1"/>
          <w:sz w:val="24"/>
          <w:szCs w:val="24"/>
          <w:shd w:val="clear" w:color="auto" w:fill="FFFFFF"/>
        </w:rPr>
        <w:fldChar w:fldCharType="separate"/>
      </w:r>
      <w:r w:rsidRPr="001B01FA">
        <w:rPr>
          <w:noProof/>
          <w:color w:val="000000" w:themeColor="text1"/>
          <w:sz w:val="24"/>
          <w:szCs w:val="24"/>
          <w:shd w:val="clear" w:color="auto" w:fill="FFFFFF"/>
        </w:rPr>
        <w:t>(Hassan et al., 2016)</w:t>
      </w:r>
      <w:r w:rsidRPr="001B01FA">
        <w:rPr>
          <w:color w:val="000000" w:themeColor="text1"/>
          <w:sz w:val="24"/>
          <w:szCs w:val="24"/>
          <w:shd w:val="clear" w:color="auto" w:fill="FFFFFF"/>
        </w:rPr>
        <w:fldChar w:fldCharType="end"/>
      </w:r>
      <w:r w:rsidRPr="001B01FA">
        <w:rPr>
          <w:color w:val="000000" w:themeColor="text1"/>
          <w:sz w:val="24"/>
          <w:szCs w:val="24"/>
          <w:shd w:val="clear" w:color="auto" w:fill="FFFFFF"/>
        </w:rPr>
        <w:t>. However, nowadays, “</w:t>
      </w:r>
      <w:proofErr w:type="spellStart"/>
      <w:r w:rsidRPr="001B01FA">
        <w:rPr>
          <w:i/>
          <w:iCs/>
          <w:color w:val="000000" w:themeColor="text1"/>
          <w:sz w:val="24"/>
          <w:szCs w:val="24"/>
          <w:shd w:val="clear" w:color="auto" w:fill="FFFFFF"/>
        </w:rPr>
        <w:t>gasing</w:t>
      </w:r>
      <w:proofErr w:type="spellEnd"/>
      <w:r w:rsidRPr="001B01FA">
        <w:rPr>
          <w:i/>
          <w:iCs/>
          <w:color w:val="000000" w:themeColor="text1"/>
          <w:sz w:val="24"/>
          <w:szCs w:val="24"/>
          <w:shd w:val="clear" w:color="auto" w:fill="FFFFFF"/>
        </w:rPr>
        <w:t>”</w:t>
      </w:r>
      <w:r w:rsidRPr="001B01FA">
        <w:rPr>
          <w:color w:val="000000" w:themeColor="text1"/>
          <w:sz w:val="24"/>
          <w:szCs w:val="24"/>
          <w:shd w:val="clear" w:color="auto" w:fill="FFFFFF"/>
        </w:rPr>
        <w:t xml:space="preserve"> is not only a traditional heritage art but has also developed into a sports game. At the same time, the </w:t>
      </w:r>
      <w:proofErr w:type="spellStart"/>
      <w:r w:rsidRPr="001B01FA">
        <w:rPr>
          <w:i/>
          <w:iCs/>
          <w:color w:val="000000" w:themeColor="text1"/>
          <w:sz w:val="24"/>
          <w:szCs w:val="24"/>
          <w:shd w:val="clear" w:color="auto" w:fill="FFFFFF"/>
        </w:rPr>
        <w:t>gasing</w:t>
      </w:r>
      <w:proofErr w:type="spellEnd"/>
      <w:r w:rsidRPr="001B01FA">
        <w:rPr>
          <w:color w:val="000000" w:themeColor="text1"/>
          <w:sz w:val="24"/>
          <w:szCs w:val="24"/>
          <w:shd w:val="clear" w:color="auto" w:fill="FFFFFF"/>
        </w:rPr>
        <w:t xml:space="preserve"> game has also become one of the tourist attractions </w:t>
      </w:r>
      <w:r w:rsidRPr="001B01FA">
        <w:rPr>
          <w:sz w:val="24"/>
          <w:szCs w:val="24"/>
        </w:rPr>
        <w:fldChar w:fldCharType="begin" w:fldLock="1"/>
      </w:r>
      <w:r w:rsidR="009640B3">
        <w:rPr>
          <w:sz w:val="24"/>
          <w:szCs w:val="24"/>
        </w:rPr>
        <w:instrText>ADDIN CSL_CITATION {"citationItems":[{"id":"ITEM-1","itemData":{"author":[{"dropping-particle":"","family":"Nurul Aqillah binti Zaini, Siti Nor Ayna binti Mohd Ayu","given":"Mohd Zairul Masron","non-dropping-particle":"","parse-names":false,"suffix":""}],"container-title":"Sejarah Lisan Malaysia","id":"ITEM-1","issue":"2","issued":{"date-parts":[["2021"]]},"page":"37-54","title":"Seni putaran : Gasing Pangkah Tradisional yang Kian Lenyap Nurul Aqillah binti Zaini Siti Nor Ayna binti Mohd Ayu Mohd Zairul Masron Fakulti Pengurusan Maklumat UiTM Cawangan Selangor , Kampus Puncak Perdana","type":"article-journal","volume":"5"},"uris":["http://www.mendeley.com/documents/?uuid=69603ea3-c33f-49d6-96e4-42377bce262d"]}],"mendeley":{"formattedCitation":"(Nurul Aqillah binti Zaini, Siti Nor Ayna binti Mohd Ayu, 2021)","manualFormatting":"(Nurul et al. Nor Ayna binti Mohd Ayu, 2021)","plainTextFormattedCitation":"(Nurul Aqillah binti Zaini, Siti Nor Ayna binti Mohd Ayu, 2021)","previouslyFormattedCitation":"(Nurul Aqillah binti Zaini, Siti Nor Ayna binti Mohd Ayu, 2021)"},"properties":{"noteIndex":0},"schema":"https://github.com/citation-style-language/schema/raw/master/csl-citation.json"}</w:instrText>
      </w:r>
      <w:r w:rsidRPr="001B01FA">
        <w:rPr>
          <w:sz w:val="24"/>
          <w:szCs w:val="24"/>
        </w:rPr>
        <w:fldChar w:fldCharType="separate"/>
      </w:r>
      <w:r w:rsidRPr="001B01FA">
        <w:rPr>
          <w:noProof/>
          <w:sz w:val="24"/>
          <w:szCs w:val="24"/>
        </w:rPr>
        <w:t>(Nurul et al. Nor Ayna binti Mohd Ayu, 2021)</w:t>
      </w:r>
      <w:r w:rsidRPr="001B01FA">
        <w:rPr>
          <w:sz w:val="24"/>
          <w:szCs w:val="24"/>
        </w:rPr>
        <w:fldChar w:fldCharType="end"/>
      </w:r>
      <w:r w:rsidRPr="001B01FA">
        <w:rPr>
          <w:sz w:val="24"/>
          <w:szCs w:val="24"/>
        </w:rPr>
        <w:t>.</w:t>
      </w:r>
    </w:p>
    <w:p w:rsidR="001B01FA" w:rsidRPr="001B01FA" w:rsidRDefault="001B01FA" w:rsidP="000671DC">
      <w:pPr>
        <w:shd w:val="clear" w:color="auto" w:fill="FFFFFF"/>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Viewed from a semiotic perspective, the emergence of the “</w:t>
      </w:r>
      <w:proofErr w:type="spellStart"/>
      <w:r w:rsidRPr="001B01FA">
        <w:rPr>
          <w:color w:val="000000" w:themeColor="text1"/>
          <w:sz w:val="24"/>
          <w:szCs w:val="24"/>
          <w:shd w:val="clear" w:color="auto" w:fill="FFFFFF"/>
        </w:rPr>
        <w:t>gasing</w:t>
      </w:r>
      <w:proofErr w:type="spellEnd"/>
      <w:r w:rsidRPr="001B01FA">
        <w:rPr>
          <w:color w:val="000000" w:themeColor="text1"/>
          <w:sz w:val="24"/>
          <w:szCs w:val="24"/>
          <w:shd w:val="clear" w:color="auto" w:fill="FFFFFF"/>
        </w:rPr>
        <w:t xml:space="preserve">” theme in the data is identified as an index sign. Since that sign is commonly understood as an element of Malay culture. When the sign is distributed into the visual content of </w:t>
      </w:r>
      <w:proofErr w:type="spellStart"/>
      <w:r w:rsidRPr="001B01FA">
        <w:rPr>
          <w:color w:val="000000" w:themeColor="text1"/>
          <w:sz w:val="24"/>
          <w:szCs w:val="24"/>
          <w:shd w:val="clear" w:color="auto" w:fill="FFFFFF"/>
        </w:rPr>
        <w:t>Batam's</w:t>
      </w:r>
      <w:proofErr w:type="spellEnd"/>
      <w:r w:rsidRPr="001B01FA">
        <w:rPr>
          <w:color w:val="000000" w:themeColor="text1"/>
          <w:sz w:val="24"/>
          <w:szCs w:val="24"/>
          <w:shd w:val="clear" w:color="auto" w:fill="FFFFFF"/>
        </w:rPr>
        <w:t xml:space="preserve"> destination promotion, it suggests connecting the Malay culture with the concept of </w:t>
      </w:r>
      <w:proofErr w:type="spellStart"/>
      <w:r w:rsidRPr="001B01FA">
        <w:rPr>
          <w:color w:val="000000" w:themeColor="text1"/>
          <w:sz w:val="24"/>
          <w:szCs w:val="24"/>
          <w:shd w:val="clear" w:color="auto" w:fill="FFFFFF"/>
        </w:rPr>
        <w:t>Batam</w:t>
      </w:r>
      <w:proofErr w:type="spellEnd"/>
      <w:r w:rsidRPr="001B01FA">
        <w:rPr>
          <w:color w:val="000000" w:themeColor="text1"/>
          <w:sz w:val="24"/>
          <w:szCs w:val="24"/>
          <w:shd w:val="clear" w:color="auto" w:fill="FFFFFF"/>
        </w:rPr>
        <w:t xml:space="preserve"> destinations. Behind the visualization of the sign resembling the shape of the casing in this context, an idea of the extensive relationship between Malay communities with their unique culture and </w:t>
      </w:r>
      <w:proofErr w:type="spellStart"/>
      <w:r w:rsidRPr="001B01FA">
        <w:rPr>
          <w:color w:val="000000" w:themeColor="text1"/>
          <w:sz w:val="24"/>
          <w:szCs w:val="24"/>
          <w:shd w:val="clear" w:color="auto" w:fill="FFFFFF"/>
        </w:rPr>
        <w:t>badam's</w:t>
      </w:r>
      <w:proofErr w:type="spellEnd"/>
      <w:r w:rsidRPr="001B01FA">
        <w:rPr>
          <w:color w:val="000000" w:themeColor="text1"/>
          <w:sz w:val="24"/>
          <w:szCs w:val="24"/>
          <w:shd w:val="clear" w:color="auto" w:fill="FFFFFF"/>
        </w:rPr>
        <w:t xml:space="preserve"> destination is conveyed and emphasized.</w:t>
      </w:r>
    </w:p>
    <w:p w:rsidR="001B01FA" w:rsidRDefault="001B01FA" w:rsidP="000671DC">
      <w:pPr>
        <w:shd w:val="clear" w:color="auto" w:fill="FFFFFF"/>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 xml:space="preserve">Then, besides the </w:t>
      </w:r>
      <w:proofErr w:type="spellStart"/>
      <w:r w:rsidRPr="001B01FA">
        <w:rPr>
          <w:i/>
          <w:iCs/>
          <w:color w:val="000000" w:themeColor="text1"/>
          <w:sz w:val="24"/>
          <w:szCs w:val="24"/>
          <w:shd w:val="clear" w:color="auto" w:fill="FFFFFF"/>
        </w:rPr>
        <w:t>gasing</w:t>
      </w:r>
      <w:proofErr w:type="spellEnd"/>
      <w:r w:rsidRPr="001B01FA">
        <w:rPr>
          <w:color w:val="000000" w:themeColor="text1"/>
          <w:sz w:val="24"/>
          <w:szCs w:val="24"/>
          <w:shd w:val="clear" w:color="auto" w:fill="FFFFFF"/>
        </w:rPr>
        <w:t xml:space="preserve"> theme, the </w:t>
      </w:r>
      <w:proofErr w:type="spellStart"/>
      <w:r w:rsidRPr="001B01FA">
        <w:rPr>
          <w:i/>
          <w:iCs/>
          <w:color w:val="000000" w:themeColor="text1"/>
          <w:sz w:val="24"/>
          <w:szCs w:val="24"/>
          <w:shd w:val="clear" w:color="auto" w:fill="FFFFFF"/>
        </w:rPr>
        <w:t>gasing</w:t>
      </w:r>
      <w:proofErr w:type="spellEnd"/>
      <w:r w:rsidRPr="001B01FA">
        <w:rPr>
          <w:color w:val="000000" w:themeColor="text1"/>
          <w:sz w:val="24"/>
          <w:szCs w:val="24"/>
          <w:shd w:val="clear" w:color="auto" w:fill="FFFFFF"/>
        </w:rPr>
        <w:t xml:space="preserve"> games' performance also appears in the data (see Figure 1). As presented in the previous section, gasping game performance is a part of Malay cultural heritage. </w:t>
      </w:r>
      <w:r w:rsidRPr="001B01FA">
        <w:rPr>
          <w:color w:val="000000" w:themeColor="text1"/>
          <w:sz w:val="24"/>
          <w:szCs w:val="24"/>
          <w:shd w:val="clear" w:color="auto" w:fill="FFFFFF"/>
        </w:rPr>
        <w:t xml:space="preserve">Therefore, the emergence of this theme by distributing various signs resembling the character or identity of the Malay community confirms that </w:t>
      </w:r>
      <w:proofErr w:type="spellStart"/>
      <w:r w:rsidRPr="001B01FA">
        <w:rPr>
          <w:color w:val="000000" w:themeColor="text1"/>
          <w:sz w:val="24"/>
          <w:szCs w:val="24"/>
          <w:shd w:val="clear" w:color="auto" w:fill="FFFFFF"/>
        </w:rPr>
        <w:t>Batam</w:t>
      </w:r>
      <w:proofErr w:type="spellEnd"/>
      <w:r w:rsidRPr="001B01FA">
        <w:rPr>
          <w:color w:val="000000" w:themeColor="text1"/>
          <w:sz w:val="24"/>
          <w:szCs w:val="24"/>
          <w:shd w:val="clear" w:color="auto" w:fill="FFFFFF"/>
        </w:rPr>
        <w:t xml:space="preserve"> is an icon of Malay destinations.</w:t>
      </w:r>
    </w:p>
    <w:p w:rsidR="001B01FA" w:rsidRDefault="001B01FA" w:rsidP="000671DC">
      <w:pPr>
        <w:shd w:val="clear" w:color="auto" w:fill="FFFFFF"/>
        <w:spacing w:line="360" w:lineRule="auto"/>
        <w:ind w:firstLine="426"/>
        <w:jc w:val="both"/>
        <w:rPr>
          <w:sz w:val="24"/>
          <w:szCs w:val="24"/>
        </w:rPr>
      </w:pPr>
      <w:r w:rsidRPr="001B01FA">
        <w:rPr>
          <w:sz w:val="24"/>
          <w:szCs w:val="24"/>
        </w:rPr>
        <w:t xml:space="preserve">In addition, for the people of </w:t>
      </w:r>
      <w:proofErr w:type="spellStart"/>
      <w:r w:rsidRPr="001B01FA">
        <w:rPr>
          <w:sz w:val="24"/>
          <w:szCs w:val="24"/>
        </w:rPr>
        <w:t>Batam</w:t>
      </w:r>
      <w:proofErr w:type="spellEnd"/>
      <w:r w:rsidRPr="001B01FA">
        <w:rPr>
          <w:sz w:val="24"/>
          <w:szCs w:val="24"/>
        </w:rPr>
        <w:t>, “</w:t>
      </w:r>
      <w:proofErr w:type="spellStart"/>
      <w:r w:rsidRPr="001B01FA">
        <w:rPr>
          <w:sz w:val="24"/>
          <w:szCs w:val="24"/>
        </w:rPr>
        <w:t>gasing</w:t>
      </w:r>
      <w:proofErr w:type="spellEnd"/>
      <w:r w:rsidRPr="001B01FA">
        <w:rPr>
          <w:sz w:val="24"/>
          <w:szCs w:val="24"/>
        </w:rPr>
        <w:t xml:space="preserve">” seems to be an essential marker for affirming their identity as part of the Malay community. This is reflected by the </w:t>
      </w:r>
      <w:proofErr w:type="spellStart"/>
      <w:r w:rsidRPr="001B01FA">
        <w:rPr>
          <w:sz w:val="24"/>
          <w:szCs w:val="24"/>
        </w:rPr>
        <w:t>gasing</w:t>
      </w:r>
      <w:proofErr w:type="spellEnd"/>
      <w:r w:rsidRPr="001B01FA">
        <w:rPr>
          <w:sz w:val="24"/>
          <w:szCs w:val="24"/>
        </w:rPr>
        <w:t xml:space="preserve"> monument in this city's center. Furthermore, the monument is exploited as a theme in the promotional materials for this city's destinations (see Figure 2).</w:t>
      </w:r>
    </w:p>
    <w:p w:rsidR="00967867" w:rsidRDefault="00967867" w:rsidP="00967867">
      <w:pPr>
        <w:shd w:val="clear" w:color="auto" w:fill="FFFFFF"/>
        <w:spacing w:line="360" w:lineRule="auto"/>
        <w:jc w:val="both"/>
        <w:rPr>
          <w:sz w:val="24"/>
          <w:szCs w:val="24"/>
        </w:rPr>
      </w:pPr>
      <w:r>
        <w:rPr>
          <w:noProof/>
          <w:color w:val="222222"/>
          <w:shd w:val="clear" w:color="auto" w:fill="FFFFFF"/>
        </w:rPr>
        <w:drawing>
          <wp:inline distT="0" distB="0" distL="0" distR="0" wp14:anchorId="49B999E7" wp14:editId="70520496">
            <wp:extent cx="2700655" cy="2120007"/>
            <wp:effectExtent l="0" t="0" r="444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655" cy="2120007"/>
                    </a:xfrm>
                    <a:prstGeom prst="rect">
                      <a:avLst/>
                    </a:prstGeom>
                  </pic:spPr>
                </pic:pic>
              </a:graphicData>
            </a:graphic>
          </wp:inline>
        </w:drawing>
      </w:r>
    </w:p>
    <w:p w:rsidR="00967867" w:rsidRPr="00967867" w:rsidRDefault="00967867" w:rsidP="00967867">
      <w:pPr>
        <w:shd w:val="clear" w:color="auto" w:fill="FFFFFF"/>
        <w:jc w:val="both"/>
        <w:rPr>
          <w:b/>
          <w:bCs/>
          <w:sz w:val="24"/>
          <w:szCs w:val="24"/>
        </w:rPr>
      </w:pPr>
      <w:r w:rsidRPr="00967867">
        <w:rPr>
          <w:b/>
          <w:bCs/>
        </w:rPr>
        <w:t xml:space="preserve">Figure 1 Some examples of promotional materials depicting traditional Malay ethnic art performances called the </w:t>
      </w:r>
      <w:proofErr w:type="spellStart"/>
      <w:r w:rsidRPr="00967867">
        <w:rPr>
          <w:b/>
          <w:bCs/>
          <w:i/>
          <w:iCs/>
        </w:rPr>
        <w:t>gasing</w:t>
      </w:r>
      <w:proofErr w:type="spellEnd"/>
      <w:r w:rsidRPr="00967867">
        <w:rPr>
          <w:b/>
          <w:bCs/>
        </w:rPr>
        <w:t xml:space="preserve"> game.</w:t>
      </w:r>
    </w:p>
    <w:p w:rsidR="00967867" w:rsidRPr="001B01FA" w:rsidRDefault="00967867" w:rsidP="00967867">
      <w:pPr>
        <w:shd w:val="clear" w:color="auto" w:fill="FFFFFF"/>
        <w:spacing w:line="360" w:lineRule="auto"/>
        <w:jc w:val="both"/>
        <w:rPr>
          <w:sz w:val="24"/>
          <w:szCs w:val="24"/>
        </w:rPr>
      </w:pPr>
    </w:p>
    <w:p w:rsidR="001B01FA" w:rsidRDefault="001B01FA" w:rsidP="00967867">
      <w:pPr>
        <w:shd w:val="clear" w:color="auto" w:fill="FFFFFF"/>
        <w:spacing w:line="360" w:lineRule="auto"/>
        <w:ind w:firstLine="426"/>
        <w:jc w:val="both"/>
        <w:rPr>
          <w:sz w:val="24"/>
          <w:szCs w:val="24"/>
        </w:rPr>
      </w:pPr>
      <w:r w:rsidRPr="001B01FA">
        <w:rPr>
          <w:sz w:val="24"/>
          <w:szCs w:val="24"/>
        </w:rPr>
        <w:t>The emergence of the “</w:t>
      </w:r>
      <w:proofErr w:type="spellStart"/>
      <w:r w:rsidRPr="001B01FA">
        <w:rPr>
          <w:sz w:val="24"/>
          <w:szCs w:val="24"/>
        </w:rPr>
        <w:t>gasing</w:t>
      </w:r>
      <w:proofErr w:type="spellEnd"/>
      <w:r w:rsidRPr="001B01FA">
        <w:rPr>
          <w:sz w:val="24"/>
          <w:szCs w:val="24"/>
        </w:rPr>
        <w:t xml:space="preserve">” monument in the data suggests a symbolic sign. This is because there is no direct relationship between the </w:t>
      </w:r>
      <w:proofErr w:type="spellStart"/>
      <w:r w:rsidRPr="001B01FA">
        <w:rPr>
          <w:sz w:val="24"/>
          <w:szCs w:val="24"/>
        </w:rPr>
        <w:t>gasing</w:t>
      </w:r>
      <w:proofErr w:type="spellEnd"/>
      <w:r w:rsidRPr="001B01FA">
        <w:rPr>
          <w:sz w:val="24"/>
          <w:szCs w:val="24"/>
        </w:rPr>
        <w:t xml:space="preserve"> monument and the city's destination. However, </w:t>
      </w:r>
      <w:proofErr w:type="spellStart"/>
      <w:r w:rsidRPr="001B01FA">
        <w:rPr>
          <w:sz w:val="24"/>
          <w:szCs w:val="24"/>
        </w:rPr>
        <w:t>Gasing</w:t>
      </w:r>
      <w:proofErr w:type="spellEnd"/>
      <w:r w:rsidRPr="001B01FA">
        <w:rPr>
          <w:sz w:val="24"/>
          <w:szCs w:val="24"/>
        </w:rPr>
        <w:t xml:space="preserve"> itself has been generally identified as a Malay cultural heritage. Therefore, the “</w:t>
      </w:r>
      <w:proofErr w:type="spellStart"/>
      <w:r w:rsidRPr="001B01FA">
        <w:rPr>
          <w:sz w:val="24"/>
          <w:szCs w:val="24"/>
        </w:rPr>
        <w:t>gasing</w:t>
      </w:r>
      <w:proofErr w:type="spellEnd"/>
      <w:r w:rsidRPr="001B01FA">
        <w:rPr>
          <w:sz w:val="24"/>
          <w:szCs w:val="24"/>
        </w:rPr>
        <w:t xml:space="preserve">” monument theme can be seen as a strategy of </w:t>
      </w:r>
      <w:proofErr w:type="spellStart"/>
      <w:r w:rsidRPr="001B01FA">
        <w:rPr>
          <w:sz w:val="24"/>
          <w:szCs w:val="24"/>
        </w:rPr>
        <w:t>Batam's</w:t>
      </w:r>
      <w:proofErr w:type="spellEnd"/>
      <w:r w:rsidRPr="001B01FA">
        <w:rPr>
          <w:sz w:val="24"/>
          <w:szCs w:val="24"/>
        </w:rPr>
        <w:t xml:space="preserve"> tourism bureau to </w:t>
      </w:r>
      <w:r w:rsidRPr="001B01FA">
        <w:rPr>
          <w:sz w:val="24"/>
          <w:szCs w:val="24"/>
        </w:rPr>
        <w:lastRenderedPageBreak/>
        <w:t>emphasize the idea of ​​</w:t>
      </w:r>
      <w:proofErr w:type="spellStart"/>
      <w:r w:rsidRPr="001B01FA">
        <w:rPr>
          <w:sz w:val="24"/>
          <w:szCs w:val="24"/>
        </w:rPr>
        <w:t>Batam</w:t>
      </w:r>
      <w:proofErr w:type="spellEnd"/>
      <w:r w:rsidRPr="001B01FA">
        <w:rPr>
          <w:sz w:val="24"/>
          <w:szCs w:val="24"/>
        </w:rPr>
        <w:t xml:space="preserve"> as a Malay destination. In other words, the </w:t>
      </w:r>
      <w:proofErr w:type="spellStart"/>
      <w:r w:rsidRPr="001B01FA">
        <w:rPr>
          <w:sz w:val="24"/>
          <w:szCs w:val="24"/>
        </w:rPr>
        <w:t>gasing</w:t>
      </w:r>
      <w:proofErr w:type="spellEnd"/>
      <w:r w:rsidRPr="001B01FA">
        <w:rPr>
          <w:sz w:val="24"/>
          <w:szCs w:val="24"/>
        </w:rPr>
        <w:t xml:space="preserve"> monument theme represents the </w:t>
      </w:r>
      <w:proofErr w:type="spellStart"/>
      <w:r w:rsidRPr="001B01FA">
        <w:rPr>
          <w:sz w:val="24"/>
          <w:szCs w:val="24"/>
        </w:rPr>
        <w:t>Malayness</w:t>
      </w:r>
      <w:proofErr w:type="spellEnd"/>
      <w:r w:rsidRPr="001B01FA">
        <w:rPr>
          <w:sz w:val="24"/>
          <w:szCs w:val="24"/>
        </w:rPr>
        <w:t xml:space="preserve"> of </w:t>
      </w:r>
      <w:proofErr w:type="spellStart"/>
      <w:r w:rsidRPr="001B01FA">
        <w:rPr>
          <w:sz w:val="24"/>
          <w:szCs w:val="24"/>
        </w:rPr>
        <w:t>Batam's</w:t>
      </w:r>
      <w:proofErr w:type="spellEnd"/>
      <w:r w:rsidRPr="001B01FA">
        <w:rPr>
          <w:sz w:val="24"/>
          <w:szCs w:val="24"/>
        </w:rPr>
        <w:t xml:space="preserve"> destination.</w:t>
      </w:r>
    </w:p>
    <w:p w:rsidR="001B01FA" w:rsidRDefault="001B01FA" w:rsidP="000671DC">
      <w:pPr>
        <w:shd w:val="clear" w:color="auto" w:fill="FFFFFF"/>
        <w:spacing w:line="360" w:lineRule="auto"/>
        <w:ind w:firstLine="426"/>
        <w:jc w:val="both"/>
        <w:rPr>
          <w:sz w:val="24"/>
          <w:szCs w:val="24"/>
        </w:rPr>
      </w:pPr>
      <w:r w:rsidRPr="001B01FA">
        <w:rPr>
          <w:sz w:val="24"/>
          <w:szCs w:val="24"/>
        </w:rPr>
        <w:t>The sub-theme is “</w:t>
      </w:r>
      <w:proofErr w:type="spellStart"/>
      <w:r w:rsidRPr="001B01FA">
        <w:rPr>
          <w:sz w:val="24"/>
          <w:szCs w:val="24"/>
        </w:rPr>
        <w:t>kenduri</w:t>
      </w:r>
      <w:proofErr w:type="spellEnd"/>
      <w:r w:rsidRPr="001B01FA">
        <w:rPr>
          <w:sz w:val="24"/>
          <w:szCs w:val="24"/>
        </w:rPr>
        <w:t>”. “</w:t>
      </w:r>
      <w:proofErr w:type="spellStart"/>
      <w:r w:rsidRPr="001B01FA">
        <w:rPr>
          <w:sz w:val="24"/>
          <w:szCs w:val="24"/>
        </w:rPr>
        <w:t>Kenduri</w:t>
      </w:r>
      <w:proofErr w:type="spellEnd"/>
      <w:r w:rsidRPr="001B01FA">
        <w:rPr>
          <w:sz w:val="24"/>
          <w:szCs w:val="24"/>
        </w:rPr>
        <w:t>” is well-known as a festival for celebration or ceremony carried out by the Malay community in various regions for various purposes such as expressions of gratitude, commemoration of significant holidays, or specific rituals. Several types of “</w:t>
      </w:r>
      <w:proofErr w:type="spellStart"/>
      <w:r w:rsidRPr="001B01FA">
        <w:rPr>
          <w:sz w:val="24"/>
          <w:szCs w:val="24"/>
        </w:rPr>
        <w:t>kenduri</w:t>
      </w:r>
      <w:proofErr w:type="spellEnd"/>
      <w:r w:rsidRPr="001B01FA">
        <w:rPr>
          <w:sz w:val="24"/>
          <w:szCs w:val="24"/>
        </w:rPr>
        <w:t>” are still practiced today by the Malay community, such as “</w:t>
      </w:r>
      <w:proofErr w:type="spellStart"/>
      <w:r w:rsidRPr="001B01FA">
        <w:rPr>
          <w:sz w:val="24"/>
          <w:szCs w:val="24"/>
        </w:rPr>
        <w:t>kenduri</w:t>
      </w:r>
      <w:proofErr w:type="spellEnd"/>
      <w:r w:rsidRPr="001B01FA">
        <w:rPr>
          <w:sz w:val="24"/>
          <w:szCs w:val="24"/>
        </w:rPr>
        <w:t xml:space="preserve"> </w:t>
      </w:r>
      <w:proofErr w:type="spellStart"/>
      <w:r w:rsidRPr="001B01FA">
        <w:rPr>
          <w:sz w:val="24"/>
          <w:szCs w:val="24"/>
        </w:rPr>
        <w:t>pompong</w:t>
      </w:r>
      <w:proofErr w:type="spellEnd"/>
      <w:r w:rsidRPr="001B01FA">
        <w:rPr>
          <w:sz w:val="24"/>
          <w:szCs w:val="24"/>
        </w:rPr>
        <w:t xml:space="preserve"> </w:t>
      </w:r>
      <w:proofErr w:type="spellStart"/>
      <w:r w:rsidRPr="001B01FA">
        <w:rPr>
          <w:sz w:val="24"/>
          <w:szCs w:val="24"/>
        </w:rPr>
        <w:t>baru</w:t>
      </w:r>
      <w:proofErr w:type="spellEnd"/>
      <w:r w:rsidRPr="001B01FA">
        <w:rPr>
          <w:sz w:val="24"/>
          <w:szCs w:val="24"/>
        </w:rPr>
        <w:t xml:space="preserve">” </w:t>
      </w:r>
      <w:r w:rsidRPr="001B01FA">
        <w:rPr>
          <w:sz w:val="24"/>
          <w:szCs w:val="24"/>
        </w:rPr>
        <w:fldChar w:fldCharType="begin" w:fldLock="1"/>
      </w:r>
      <w:r w:rsidR="00FA2B49">
        <w:rPr>
          <w:sz w:val="24"/>
          <w:szCs w:val="24"/>
        </w:rPr>
        <w:instrText>ADDIN CSL_CITATION {"citationItems":[{"id":"ITEM-1","itemData":{"DOI":"10.23960/sosiologi.v24i2.314","ISSN":"25497235","abstract":"This study aims to describe how beliefs and what things influence the community so that they still carry out and not carry out the new pompong kenduri tradition for fishermen in Air Glubi Village, Bintan Pesisir District. This research uses a qualitative research method with a descriptive approach. The results of this study showed that there were fishing communities in Air Glubi Village that still and did not practice the new pompong kenduri tradition. People who believe in and perform this new pompong kenduri tradition are influenced by a historical story or past tragedy and the advice of their parents. Moreover, things that affect the community so that they don't carry out traditions because they don't believe in ancestral traditions, developed ways of thinking and there are no legal sanctions. Thus, it is believed that if performing this tradition will have a good impact on their lives but on the contrary, if they don't perform it, it will have a bad impact on their lives.","author":[{"dropping-particle":"","family":"Mardiana","given":"Mardiana","non-dropping-particle":"","parse-names":false,"suffix":""},{"dropping-particle":"","family":"Wahyuni","given":"Sri","non-dropping-particle":"","parse-names":false,"suffix":""},{"dropping-particle":"","family":"Elsera","given":"Marisa","non-dropping-particle":"","parse-names":false,"suffix":""}],"container-title":"Sosiologi: Jurnal Ilmiah Kajian Ilmu Sosial dan Budaya","id":"ITEM-1","issue":"2","issued":{"date-parts":[["2022"]]},"page":"173-186","title":"Kepercayaan Masyarakat Terhadap Tradisi Kenduri Pompong Baru Di Desa Air Glubi Kecamatan Bintan Pesisir Kabupaten Bintan","type":"article-journal","volume":"24"},"uris":["http://www.mendeley.com/documents/?uuid=a4749495-e4b3-404b-ac11-5925cc7792a0"]}],"mendeley":{"formattedCitation":"(Mardiana, Wahyuni, &amp; Elsera, 2022)","plainTextFormattedCitation":"(Mardiana, Wahyuni, &amp; Elsera, 2022)","previouslyFormattedCitation":"(Mardiana, Wahyuni, &amp; Elsera, 2022)"},"properties":{"noteIndex":0},"schema":"https://github.com/citation-style-language/schema/raw/master/csl-citation.json"}</w:instrText>
      </w:r>
      <w:r w:rsidRPr="001B01FA">
        <w:rPr>
          <w:sz w:val="24"/>
          <w:szCs w:val="24"/>
        </w:rPr>
        <w:fldChar w:fldCharType="separate"/>
      </w:r>
      <w:r w:rsidRPr="001B01FA">
        <w:rPr>
          <w:noProof/>
          <w:sz w:val="24"/>
          <w:szCs w:val="24"/>
        </w:rPr>
        <w:t>(Mardiana, Wahyuni, &amp; Elsera, 2022)</w:t>
      </w:r>
      <w:r w:rsidRPr="001B01FA">
        <w:rPr>
          <w:sz w:val="24"/>
          <w:szCs w:val="24"/>
        </w:rPr>
        <w:fldChar w:fldCharType="end"/>
      </w:r>
      <w:r w:rsidRPr="001B01FA">
        <w:rPr>
          <w:sz w:val="24"/>
          <w:szCs w:val="24"/>
        </w:rPr>
        <w:t>, “</w:t>
      </w:r>
      <w:proofErr w:type="spellStart"/>
      <w:r w:rsidRPr="001B01FA">
        <w:rPr>
          <w:sz w:val="24"/>
          <w:szCs w:val="24"/>
        </w:rPr>
        <w:t>kenduri</w:t>
      </w:r>
      <w:proofErr w:type="spellEnd"/>
      <w:r w:rsidRPr="001B01FA">
        <w:rPr>
          <w:sz w:val="24"/>
          <w:szCs w:val="24"/>
        </w:rPr>
        <w:t xml:space="preserve"> </w:t>
      </w:r>
      <w:proofErr w:type="spellStart"/>
      <w:r w:rsidRPr="001B01FA">
        <w:rPr>
          <w:sz w:val="24"/>
          <w:szCs w:val="24"/>
        </w:rPr>
        <w:t>tolak</w:t>
      </w:r>
      <w:proofErr w:type="spellEnd"/>
      <w:r w:rsidRPr="001B01FA">
        <w:rPr>
          <w:sz w:val="24"/>
          <w:szCs w:val="24"/>
        </w:rPr>
        <w:t xml:space="preserve"> </w:t>
      </w:r>
      <w:proofErr w:type="spellStart"/>
      <w:r w:rsidRPr="001B01FA">
        <w:rPr>
          <w:sz w:val="24"/>
          <w:szCs w:val="24"/>
        </w:rPr>
        <w:t>bala</w:t>
      </w:r>
      <w:proofErr w:type="spellEnd"/>
      <w:r w:rsidRPr="001B01FA">
        <w:rPr>
          <w:sz w:val="24"/>
          <w:szCs w:val="24"/>
        </w:rPr>
        <w:t xml:space="preserve">” </w:t>
      </w:r>
      <w:r w:rsidRPr="001B01FA">
        <w:rPr>
          <w:sz w:val="24"/>
          <w:szCs w:val="24"/>
        </w:rPr>
        <w:fldChar w:fldCharType="begin" w:fldLock="1"/>
      </w:r>
      <w:r w:rsidRPr="001B01FA">
        <w:rPr>
          <w:sz w:val="24"/>
          <w:szCs w:val="24"/>
        </w:rPr>
        <w:instrText>ADDIN CSL_CITATION {"citationItems":[{"id":"ITEM-1","itemData":{"DOI":"10.24014/jush.v25i1.2742","ISSN":"1412-0909","abstract":"Kajian ini berpijak dari adanya fenomena masih dilaksanakannya ritual tolak bala oleh masyarakat Petalangan, padahal mereka semuanya sudah beragama Islam. Ritual tolak bala merupakan salah satu bentuk sinkretisme agama, di mana dalam ritual tersebut dapat ditemukan unsur-unsur Islam, Hindu dan Budha, serta animisme dan dinamisme. Kajian ini bertujuan untuk menjelaskan tujuan dari pelaksanaan tolak bala, perpaduan Islam dalam ritual tolak bala, serta mengapa ritual ini masih tetap dipertahankan oleh masyarakat. Adapun pendekatan yang digunakan adalah pendekatan kualitatif dengan teknik pengumpulan data observasi, wawancara, dan dokumentasi. Sedangkan teknik analisis data yang digunakan adalah deskriptif. Hasil kajian ini memperlihatkan bahwa ritual tolak bala dilakukan oleh masyarakat dengan tujuan agar terhindar dari bencana, baik secara individu, masyarakat, maupun kampung. Ritual ini disebut juga dengan mengobati kampung. Unsur Islan ditambahkan sedemikian rupa dalam ritual ini yang dibungkus dengan cara kenduri tolak bala. Bertahannya ritual ini dikarenakan kurangnya pemahaman masyarakat terhadap ajaran Islam serta rendahnya tingkat pendidikan masyarakat, serta masih kuatnya hubungan psikologis masyarakat dengan alam sekitar","author":[{"dropping-particle":"","family":"Hasbullah","given":"Hasbullah","non-dropping-particle":"","parse-names":false,"suffix":""},{"dropping-particle":"","family":"Toyo","given":"Toyo","non-dropping-particle":"","parse-names":false,"suffix":""},{"dropping-particle":"","family":"Awang Pawi","given":"Awang Azman","non-dropping-particle":"","parse-names":false,"suffix":""}],"container-title":"Jurnal Ushuluddin","id":"ITEM-1","issue":"1","issued":{"date-parts":[["2017"]]},"page":"83","title":"Ritual Tolak Bala Pada Masyarakat Melayu (Kajian Pada Masyarakat Petalangan Kecamatan Pangkalan Kuras Kabupaten Pelalawan)","type":"article-journal","volume":"25"},"uris":["http://www.mendeley.com/documents/?uuid=19d75617-a5f8-4574-a19a-293ce137e816"]}],"mendeley":{"formattedCitation":"(Hasbullah, Toyo, &amp; Awang Pawi, 2017)","plainTextFormattedCitation":"(Hasbullah, Toyo, &amp; Awang Pawi, 2017)","previouslyFormattedCitation":"(Hasbullah, Toyo, &amp; Awang Pawi, 2017)"},"properties":{"noteIndex":0},"schema":"https://github.com/citation-style-language/schema/raw/master/csl-citation.json"}</w:instrText>
      </w:r>
      <w:r w:rsidRPr="001B01FA">
        <w:rPr>
          <w:sz w:val="24"/>
          <w:szCs w:val="24"/>
        </w:rPr>
        <w:fldChar w:fldCharType="separate"/>
      </w:r>
      <w:r w:rsidRPr="001B01FA">
        <w:rPr>
          <w:noProof/>
          <w:sz w:val="24"/>
          <w:szCs w:val="24"/>
        </w:rPr>
        <w:t>(Hasbullah, Toyo, &amp; Awang Pawi, 2017)</w:t>
      </w:r>
      <w:r w:rsidRPr="001B01FA">
        <w:rPr>
          <w:sz w:val="24"/>
          <w:szCs w:val="24"/>
        </w:rPr>
        <w:fldChar w:fldCharType="end"/>
      </w:r>
      <w:r w:rsidRPr="001B01FA">
        <w:rPr>
          <w:sz w:val="24"/>
          <w:szCs w:val="24"/>
        </w:rPr>
        <w:t>, and “</w:t>
      </w:r>
      <w:proofErr w:type="spellStart"/>
      <w:r w:rsidRPr="001B01FA">
        <w:rPr>
          <w:sz w:val="24"/>
          <w:szCs w:val="24"/>
        </w:rPr>
        <w:t>kenduri</w:t>
      </w:r>
      <w:proofErr w:type="spellEnd"/>
      <w:r w:rsidRPr="001B01FA">
        <w:rPr>
          <w:sz w:val="24"/>
          <w:szCs w:val="24"/>
        </w:rPr>
        <w:t xml:space="preserve"> </w:t>
      </w:r>
      <w:proofErr w:type="spellStart"/>
      <w:r w:rsidRPr="001B01FA">
        <w:rPr>
          <w:sz w:val="24"/>
          <w:szCs w:val="24"/>
        </w:rPr>
        <w:t>sudah</w:t>
      </w:r>
      <w:proofErr w:type="spellEnd"/>
      <w:r w:rsidRPr="001B01FA">
        <w:rPr>
          <w:sz w:val="24"/>
          <w:szCs w:val="24"/>
        </w:rPr>
        <w:t xml:space="preserve"> </w:t>
      </w:r>
      <w:proofErr w:type="spellStart"/>
      <w:r w:rsidRPr="001B01FA">
        <w:rPr>
          <w:sz w:val="24"/>
          <w:szCs w:val="24"/>
        </w:rPr>
        <w:t>tuai</w:t>
      </w:r>
      <w:proofErr w:type="spellEnd"/>
      <w:r w:rsidRPr="001B01FA">
        <w:rPr>
          <w:sz w:val="24"/>
          <w:szCs w:val="24"/>
        </w:rPr>
        <w:t xml:space="preserve">” </w:t>
      </w:r>
      <w:r w:rsidRPr="001B01FA">
        <w:rPr>
          <w:sz w:val="24"/>
          <w:szCs w:val="24"/>
        </w:rPr>
        <w:fldChar w:fldCharType="begin" w:fldLock="1"/>
      </w:r>
      <w:r w:rsidRPr="001B01FA">
        <w:rPr>
          <w:sz w:val="24"/>
          <w:szCs w:val="24"/>
        </w:rPr>
        <w:instrText>ADDIN CSL_CITATION {"citationItems":[{"id":"ITEM-1","itemData":{"DOI":"10.24036/jce.v1i3.213","abstract":"Penelitian ini dilatar belakangi oleh kenduri Sudah Tuai sudah jarang dilakukan, dimana kenduri Sudah Tuai tidak lagi dilaksanakan rutin setiap tahunnya. Terkadang kenduri dilakukan 2 atau 21/2 tahun sekali. Tujuan penelitian ini Untuk mengetaahui Nilai Moral dan sosial dalam penyelenggaraan Kenduri Sudah Tuai Pada Masyarakat Desa Kumun Mudik, mengidentifikasi peran pemangku adat dalam penyelenggaraan Kenduri Sudah Tuai. Jenis penelitian ini adalah Kualitatif dengan metode Deskriptif. Penetapan informan dilakukan dengan purposive sampling. Jenis data terdiri dari data primer dan sekunder, dikumpulkan melalui observasi, wawancara, dan dokumentasi. Uji keabsahan data menggunakan perpanjangan keikutsertaan, ketekunan pengamatan dan tringulasi. Teknik analisis data melalui reduksi data, penyajian data dan mengambil kesimpulan. Hasil penelitian menunjukan bahwa upacara Kenduri Sudah Tuai yang di laksanakan oleh masyarakat Desa kumun dari dulu sampai sekarang ini bertujuan untuk bersyukur kepada alloh SWT yang telah melimpahkan rahmat dan karunianya kepada masyarakat, baik nikmat umur, dan rezeki. Peran pemangku adat sangat penting dalam acara Kenduri Tuai yang telah senantiasa mengajak anak laki-laki dan perempuan ikut serta berpartisipasi diacara kenduri tersebut. masyarakat kumun mudik sampai saat ini masih mempertahankan tradisi Kenduri Sudah Tuai, di dalam tradisi tersebut terkandung nilai sejarah masa lalu, nilai kebersamaan dan memupuk sikap hormat-menghormati antar warga. Kenduri Sudah Tuai Masyarakat dalam wilayah Depati IV (empat) Batu Gong Tanah Kurnia dapat dilaksanakan setiap tahunnya sebagai kearifan lokal. Selanjut nya tradisi kenduri tuai tetap terjaga dan di wariskan kepada generasi muda.","author":[{"dropping-particle":"","family":"Arifianto","given":"Deno","non-dropping-particle":"","parse-names":false,"suffix":""},{"dropping-particle":"","family":"Nurman","given":"Nurman","non-dropping-particle":"","parse-names":false,"suffix":""},{"dropping-particle":"","family":"Dewi","given":"Susi Fitria","non-dropping-particle":"","parse-names":false,"suffix":""}],"container-title":"Journal of Civic Education","id":"ITEM-1","issue":"3","issued":{"date-parts":[["2018"]]},"page":"272-279","title":"Nilai-Nilai Moral dan Sosial dalam Penyelenggaraan Kenduri Sudah Tuai di Desa Kumun Mudik Kota Sungai Penuh","type":"article-journal","volume":"1"},"uris":["http://www.mendeley.com/documents/?uuid=a7d7fbd4-7d4a-4a4b-8e5e-27d4e7a0d097"]}],"mendeley":{"formattedCitation":"(Arifianto, Nurman, &amp; Dewi, 2018)","plainTextFormattedCitation":"(Arifianto, Nurman, &amp; Dewi, 2018)","previouslyFormattedCitation":"(Arifianto, Nurman, &amp; Dewi, 2018)"},"properties":{"noteIndex":0},"schema":"https://github.com/citation-style-language/schema/raw/master/csl-citation.json"}</w:instrText>
      </w:r>
      <w:r w:rsidRPr="001B01FA">
        <w:rPr>
          <w:sz w:val="24"/>
          <w:szCs w:val="24"/>
        </w:rPr>
        <w:fldChar w:fldCharType="separate"/>
      </w:r>
      <w:r w:rsidRPr="001B01FA">
        <w:rPr>
          <w:noProof/>
          <w:sz w:val="24"/>
          <w:szCs w:val="24"/>
        </w:rPr>
        <w:t>(Arifianto, Nurman, &amp; Dewi, 2018)</w:t>
      </w:r>
      <w:r w:rsidRPr="001B01FA">
        <w:rPr>
          <w:sz w:val="24"/>
          <w:szCs w:val="24"/>
        </w:rPr>
        <w:fldChar w:fldCharType="end"/>
      </w:r>
      <w:r w:rsidRPr="001B01FA">
        <w:rPr>
          <w:sz w:val="24"/>
          <w:szCs w:val="24"/>
        </w:rPr>
        <w:t>.</w:t>
      </w:r>
    </w:p>
    <w:p w:rsidR="00967867" w:rsidRDefault="00967867" w:rsidP="00967867">
      <w:pPr>
        <w:shd w:val="clear" w:color="auto" w:fill="FFFFFF"/>
        <w:spacing w:line="360" w:lineRule="auto"/>
        <w:jc w:val="both"/>
        <w:rPr>
          <w:sz w:val="24"/>
          <w:szCs w:val="24"/>
        </w:rPr>
      </w:pPr>
      <w:r>
        <w:rPr>
          <w:noProof/>
        </w:rPr>
        <w:drawing>
          <wp:inline distT="0" distB="0" distL="0" distR="0" wp14:anchorId="26B89E3E" wp14:editId="139B72FD">
            <wp:extent cx="2700655" cy="1980633"/>
            <wp:effectExtent l="0" t="0" r="444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700655" cy="1980633"/>
                    </a:xfrm>
                    <a:prstGeom prst="rect">
                      <a:avLst/>
                    </a:prstGeom>
                  </pic:spPr>
                </pic:pic>
              </a:graphicData>
            </a:graphic>
          </wp:inline>
        </w:drawing>
      </w:r>
    </w:p>
    <w:p w:rsidR="00967867" w:rsidRDefault="00967867" w:rsidP="00967867">
      <w:pPr>
        <w:tabs>
          <w:tab w:val="left" w:pos="1587"/>
        </w:tabs>
        <w:jc w:val="both"/>
        <w:rPr>
          <w:b/>
          <w:bCs/>
        </w:rPr>
      </w:pPr>
      <w:r w:rsidRPr="00967867">
        <w:rPr>
          <w:b/>
          <w:bCs/>
        </w:rPr>
        <w:t>Figure 2 Depiction of the Malay cultural monument "</w:t>
      </w:r>
      <w:proofErr w:type="spellStart"/>
      <w:r w:rsidRPr="00967867">
        <w:rPr>
          <w:b/>
          <w:bCs/>
        </w:rPr>
        <w:t>Tugu</w:t>
      </w:r>
      <w:proofErr w:type="spellEnd"/>
      <w:r w:rsidRPr="00967867">
        <w:rPr>
          <w:b/>
          <w:bCs/>
        </w:rPr>
        <w:t xml:space="preserve"> </w:t>
      </w:r>
      <w:proofErr w:type="spellStart"/>
      <w:r w:rsidRPr="00967867">
        <w:rPr>
          <w:b/>
          <w:bCs/>
        </w:rPr>
        <w:t>Gasing</w:t>
      </w:r>
      <w:proofErr w:type="spellEnd"/>
      <w:r w:rsidRPr="00967867">
        <w:rPr>
          <w:b/>
          <w:bCs/>
        </w:rPr>
        <w:t xml:space="preserve">" located in the center of </w:t>
      </w:r>
      <w:proofErr w:type="spellStart"/>
      <w:r w:rsidRPr="00967867">
        <w:rPr>
          <w:b/>
          <w:bCs/>
        </w:rPr>
        <w:t>Batam</w:t>
      </w:r>
      <w:proofErr w:type="spellEnd"/>
      <w:r w:rsidRPr="00967867">
        <w:rPr>
          <w:b/>
          <w:bCs/>
        </w:rPr>
        <w:t xml:space="preserve"> city.</w:t>
      </w:r>
    </w:p>
    <w:p w:rsidR="00967867" w:rsidRPr="00967867" w:rsidRDefault="00967867" w:rsidP="00967867">
      <w:pPr>
        <w:tabs>
          <w:tab w:val="left" w:pos="1587"/>
        </w:tabs>
        <w:jc w:val="both"/>
        <w:rPr>
          <w:b/>
          <w:bCs/>
        </w:rPr>
      </w:pPr>
    </w:p>
    <w:p w:rsidR="001B01FA" w:rsidRPr="001B01FA" w:rsidRDefault="001B01FA" w:rsidP="000671DC">
      <w:pPr>
        <w:shd w:val="clear" w:color="auto" w:fill="FFFFFF"/>
        <w:spacing w:line="360" w:lineRule="auto"/>
        <w:ind w:firstLine="426"/>
        <w:jc w:val="both"/>
        <w:rPr>
          <w:sz w:val="24"/>
          <w:szCs w:val="24"/>
        </w:rPr>
      </w:pPr>
      <w:r w:rsidRPr="001B01FA">
        <w:rPr>
          <w:sz w:val="24"/>
          <w:szCs w:val="24"/>
        </w:rPr>
        <w:t xml:space="preserve">For the Malay community, mainly the </w:t>
      </w:r>
      <w:proofErr w:type="spellStart"/>
      <w:r w:rsidRPr="001B01FA">
        <w:rPr>
          <w:sz w:val="24"/>
          <w:szCs w:val="24"/>
        </w:rPr>
        <w:t>Bengkalis</w:t>
      </w:r>
      <w:proofErr w:type="spellEnd"/>
      <w:r w:rsidRPr="001B01FA">
        <w:rPr>
          <w:sz w:val="24"/>
          <w:szCs w:val="24"/>
        </w:rPr>
        <w:t xml:space="preserve"> Malay, the “</w:t>
      </w:r>
      <w:proofErr w:type="spellStart"/>
      <w:r w:rsidRPr="001B01FA">
        <w:rPr>
          <w:sz w:val="24"/>
          <w:szCs w:val="24"/>
        </w:rPr>
        <w:t>kenduri</w:t>
      </w:r>
      <w:proofErr w:type="spellEnd"/>
      <w:r w:rsidRPr="001B01FA">
        <w:rPr>
          <w:sz w:val="24"/>
          <w:szCs w:val="24"/>
        </w:rPr>
        <w:t xml:space="preserve">” tradition has a noble meaning or purpose covering two dimensions (Religion and Social). In the religious dimension, the tradition is seen as an opportunity to practice religious </w:t>
      </w:r>
      <w:r w:rsidRPr="001B01FA">
        <w:rPr>
          <w:sz w:val="24"/>
          <w:szCs w:val="24"/>
        </w:rPr>
        <w:t>teachings/rules when implementing Malay traditional rituals. In the social dimension, tradition is a momentum to strengthen social relations between members of</w:t>
      </w:r>
      <w:r w:rsidRPr="00E81DDF">
        <w:rPr>
          <w:rFonts w:ascii="Arial" w:hAnsi="Arial" w:cs="Arial"/>
          <w:sz w:val="22"/>
          <w:szCs w:val="22"/>
        </w:rPr>
        <w:t xml:space="preserve"> </w:t>
      </w:r>
      <w:r w:rsidRPr="001B01FA">
        <w:rPr>
          <w:sz w:val="24"/>
          <w:szCs w:val="24"/>
        </w:rPr>
        <w:t xml:space="preserve">society, strengthen family ties and brotherhood, and strengthen social values ​​such as cooperation and togetherness. </w:t>
      </w:r>
      <w:r w:rsidRPr="001B01FA">
        <w:rPr>
          <w:sz w:val="24"/>
          <w:szCs w:val="24"/>
        </w:rPr>
        <w:fldChar w:fldCharType="begin" w:fldLock="1"/>
      </w:r>
      <w:r w:rsidRPr="001B01FA">
        <w:rPr>
          <w:sz w:val="24"/>
          <w:szCs w:val="24"/>
        </w:rPr>
        <w:instrText>ADDIN CSL_CITATION {"citationItems":[{"id":"ITEM-1","itemData":{"DOI":"10.55883/jipkis.v3i1.51","ISSN":"2809-2732","abstract":"Local wisdom in the kenduri culture of Bengkalis Island is one of the rich and highly valuable cultural heritages. This research aims to identify the local wisdom values of the kenduri culture in Bengkalis Island from both religious and sociological aspects. This research uses a qualitative approach with observation, interview, and literature study methods. The results show that the kenduri culture in Bengkalis Island has high local wisdom values in the religious aspect through fulfilling the rules of religion in conducting traditional events. Meanwhile, in the sociological aspect, the kenduri culture in Bengkalis Island shows local wisdom in strengthening social relationships among community members, enhancing family and brotherhood bonds, and reinforcing social values such as mutual cooperation and togetherness in the community. However, the kenduri culture in Bengkalis Island also faces challenges in its development in modern times. To preserve and maintain the local wisdom values of the kenduri culture in Bengkalis Island, comprehensive preservation efforts involving all levels of society are necessary","author":[{"dropping-particle":"","family":"Mursela","given":"Mursela","non-dropping-particle":"","parse-names":false,"suffix":""},{"dropping-particle":"","family":"Kamila","given":"Yuyun","non-dropping-particle":"","parse-names":false,"suffix":""},{"dropping-particle":"","family":"Nurjihad","given":"Riko","non-dropping-particle":"","parse-names":false,"suffix":""}],"container-title":"Jurnal Ilmiah Pendidikan dan Keislaman","id":"ITEM-1","issue":"1","issued":{"date-parts":[["2023"]]},"page":"66-71","title":"Nilai Kearifan Lokal Budaya Kenduri Di Pulau Bengkalis Ditinjau Dari Aspek Agamis Dan Sosiologis","type":"article-journal","volume":"3"},"uris":["http://www.mendeley.com/documents/?uuid=e9bf4da8-4dff-4ec8-ab37-ad5a192eac95"]}],"mendeley":{"formattedCitation":"(Mursela, Kamila, &amp; Nurjihad, 2023)","plainTextFormattedCitation":"(Mursela, Kamila, &amp; Nurjihad, 2023)","previouslyFormattedCitation":"(Mursela, Kamila, &amp; Nurjihad, 2023)"},"properties":{"noteIndex":0},"schema":"https://github.com/citation-style-language/schema/raw/master/csl-citation.json"}</w:instrText>
      </w:r>
      <w:r w:rsidRPr="001B01FA">
        <w:rPr>
          <w:sz w:val="24"/>
          <w:szCs w:val="24"/>
        </w:rPr>
        <w:fldChar w:fldCharType="separate"/>
      </w:r>
      <w:r w:rsidRPr="001B01FA">
        <w:rPr>
          <w:noProof/>
          <w:sz w:val="24"/>
          <w:szCs w:val="24"/>
        </w:rPr>
        <w:t>(Mursela, Kamila, &amp; Nurjihad, 2023)</w:t>
      </w:r>
      <w:r w:rsidRPr="001B01FA">
        <w:rPr>
          <w:sz w:val="24"/>
          <w:szCs w:val="24"/>
        </w:rPr>
        <w:fldChar w:fldCharType="end"/>
      </w:r>
      <w:r w:rsidRPr="001B01FA">
        <w:rPr>
          <w:sz w:val="24"/>
          <w:szCs w:val="24"/>
        </w:rPr>
        <w:t xml:space="preserve">. </w:t>
      </w:r>
    </w:p>
    <w:p w:rsidR="001B01FA" w:rsidRDefault="001B01FA" w:rsidP="000671DC">
      <w:pPr>
        <w:shd w:val="clear" w:color="auto" w:fill="FFFFFF"/>
        <w:spacing w:line="360" w:lineRule="auto"/>
        <w:ind w:firstLine="426"/>
        <w:jc w:val="both"/>
        <w:rPr>
          <w:sz w:val="24"/>
          <w:szCs w:val="24"/>
        </w:rPr>
      </w:pPr>
      <w:r w:rsidRPr="001B01FA">
        <w:rPr>
          <w:sz w:val="24"/>
          <w:szCs w:val="24"/>
        </w:rPr>
        <w:t xml:space="preserve">In particular, the Malay community of </w:t>
      </w:r>
      <w:proofErr w:type="spellStart"/>
      <w:r w:rsidRPr="001B01FA">
        <w:rPr>
          <w:sz w:val="24"/>
          <w:szCs w:val="24"/>
        </w:rPr>
        <w:t>Batam</w:t>
      </w:r>
      <w:proofErr w:type="spellEnd"/>
      <w:r w:rsidRPr="001B01FA">
        <w:rPr>
          <w:sz w:val="24"/>
          <w:szCs w:val="24"/>
        </w:rPr>
        <w:t xml:space="preserve"> routinely arranges the festival of Malay art, where various types of Malay and Nusantara arts and culture from various regions in Indonesia and Malay countries are performed. On the other hand, the festival performance was exploited by the local DMO as one of the themes for producing promotional materials for </w:t>
      </w:r>
      <w:proofErr w:type="spellStart"/>
      <w:r w:rsidRPr="001B01FA">
        <w:rPr>
          <w:sz w:val="24"/>
          <w:szCs w:val="24"/>
        </w:rPr>
        <w:t>Batam</w:t>
      </w:r>
      <w:proofErr w:type="spellEnd"/>
      <w:r w:rsidRPr="001B01FA">
        <w:rPr>
          <w:sz w:val="24"/>
          <w:szCs w:val="24"/>
        </w:rPr>
        <w:t xml:space="preserve"> destinations.</w:t>
      </w:r>
    </w:p>
    <w:p w:rsidR="00967867" w:rsidRDefault="00967867" w:rsidP="00967867">
      <w:pPr>
        <w:shd w:val="clear" w:color="auto" w:fill="FFFFFF"/>
        <w:spacing w:line="360" w:lineRule="auto"/>
        <w:jc w:val="both"/>
        <w:rPr>
          <w:sz w:val="24"/>
          <w:szCs w:val="24"/>
        </w:rPr>
      </w:pPr>
      <w:r>
        <w:rPr>
          <w:noProof/>
        </w:rPr>
        <w:drawing>
          <wp:inline distT="0" distB="0" distL="0" distR="0" wp14:anchorId="49A46444" wp14:editId="42A76224">
            <wp:extent cx="2700655" cy="2318185"/>
            <wp:effectExtent l="0" t="0" r="444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2700655" cy="2318185"/>
                    </a:xfrm>
                    <a:prstGeom prst="rect">
                      <a:avLst/>
                    </a:prstGeom>
                  </pic:spPr>
                </pic:pic>
              </a:graphicData>
            </a:graphic>
          </wp:inline>
        </w:drawing>
      </w:r>
    </w:p>
    <w:p w:rsidR="00967867" w:rsidRPr="00967867" w:rsidRDefault="00967867" w:rsidP="00967867">
      <w:pPr>
        <w:shd w:val="clear" w:color="auto" w:fill="FFFFFF"/>
        <w:jc w:val="both"/>
        <w:rPr>
          <w:rFonts w:ascii="Arial" w:hAnsi="Arial" w:cs="Arial"/>
          <w:b/>
          <w:bCs/>
          <w:color w:val="000000"/>
          <w:sz w:val="22"/>
          <w:szCs w:val="22"/>
        </w:rPr>
      </w:pPr>
      <w:r w:rsidRPr="00967867">
        <w:rPr>
          <w:rFonts w:ascii="Arial" w:hAnsi="Arial" w:cs="Arial"/>
          <w:b/>
          <w:bCs/>
          <w:color w:val="000000"/>
          <w:sz w:val="22"/>
          <w:szCs w:val="22"/>
        </w:rPr>
        <w:t xml:space="preserve">Figure 3: Some examples of content highlighting the </w:t>
      </w:r>
      <w:proofErr w:type="spellStart"/>
      <w:r w:rsidRPr="00967867">
        <w:rPr>
          <w:rFonts w:ascii="Arial" w:hAnsi="Arial" w:cs="Arial"/>
          <w:b/>
          <w:bCs/>
          <w:color w:val="000000"/>
          <w:sz w:val="22"/>
          <w:szCs w:val="22"/>
        </w:rPr>
        <w:t>Kenduri</w:t>
      </w:r>
      <w:proofErr w:type="spellEnd"/>
      <w:r w:rsidRPr="00967867">
        <w:rPr>
          <w:rFonts w:ascii="Arial" w:hAnsi="Arial" w:cs="Arial"/>
          <w:b/>
          <w:bCs/>
          <w:color w:val="000000"/>
          <w:sz w:val="22"/>
          <w:szCs w:val="22"/>
        </w:rPr>
        <w:t xml:space="preserve"> </w:t>
      </w:r>
      <w:proofErr w:type="spellStart"/>
      <w:r w:rsidRPr="00967867">
        <w:rPr>
          <w:rFonts w:ascii="Arial" w:hAnsi="Arial" w:cs="Arial"/>
          <w:b/>
          <w:bCs/>
          <w:color w:val="000000"/>
          <w:sz w:val="22"/>
          <w:szCs w:val="22"/>
        </w:rPr>
        <w:t>Melayu</w:t>
      </w:r>
      <w:proofErr w:type="spellEnd"/>
      <w:r w:rsidRPr="00967867">
        <w:rPr>
          <w:rFonts w:ascii="Arial" w:hAnsi="Arial" w:cs="Arial"/>
          <w:b/>
          <w:bCs/>
          <w:color w:val="000000"/>
          <w:sz w:val="22"/>
          <w:szCs w:val="22"/>
        </w:rPr>
        <w:t xml:space="preserve"> theme, which performs various traditional arts of the Malay community</w:t>
      </w:r>
    </w:p>
    <w:p w:rsidR="00967867" w:rsidRPr="001B01FA" w:rsidRDefault="00967867" w:rsidP="00967867">
      <w:pPr>
        <w:shd w:val="clear" w:color="auto" w:fill="FFFFFF"/>
        <w:spacing w:line="360" w:lineRule="auto"/>
        <w:jc w:val="both"/>
        <w:rPr>
          <w:sz w:val="24"/>
          <w:szCs w:val="24"/>
        </w:rPr>
      </w:pPr>
    </w:p>
    <w:p w:rsidR="001B01FA" w:rsidRDefault="001B01FA" w:rsidP="000671DC">
      <w:pPr>
        <w:shd w:val="clear" w:color="auto" w:fill="FFFFFF"/>
        <w:spacing w:line="360" w:lineRule="auto"/>
        <w:ind w:firstLine="426"/>
        <w:jc w:val="both"/>
        <w:rPr>
          <w:sz w:val="24"/>
          <w:szCs w:val="24"/>
        </w:rPr>
      </w:pPr>
      <w:r w:rsidRPr="001B01FA">
        <w:rPr>
          <w:sz w:val="24"/>
          <w:szCs w:val="24"/>
        </w:rPr>
        <w:t xml:space="preserve">Viewed from a semiotic perspective, the emergence of the sub-theme of Malay </w:t>
      </w:r>
      <w:proofErr w:type="spellStart"/>
      <w:r w:rsidRPr="001B01FA">
        <w:rPr>
          <w:sz w:val="24"/>
          <w:szCs w:val="24"/>
        </w:rPr>
        <w:t>kenduri</w:t>
      </w:r>
      <w:proofErr w:type="spellEnd"/>
      <w:r w:rsidRPr="001B01FA">
        <w:rPr>
          <w:sz w:val="24"/>
          <w:szCs w:val="24"/>
        </w:rPr>
        <w:t xml:space="preserve"> in the data can be seen from an </w:t>
      </w:r>
      <w:r w:rsidRPr="001B01FA">
        <w:rPr>
          <w:sz w:val="24"/>
          <w:szCs w:val="24"/>
        </w:rPr>
        <w:lastRenderedPageBreak/>
        <w:t>indexical approach since it reveals an existential relationship between the Malay ethnic group. As discussed earlier, “</w:t>
      </w:r>
      <w:proofErr w:type="spellStart"/>
      <w:r w:rsidRPr="001B01FA">
        <w:rPr>
          <w:sz w:val="24"/>
          <w:szCs w:val="24"/>
        </w:rPr>
        <w:t>kenduri</w:t>
      </w:r>
      <w:proofErr w:type="spellEnd"/>
      <w:r w:rsidRPr="001B01FA">
        <w:rPr>
          <w:sz w:val="24"/>
          <w:szCs w:val="24"/>
        </w:rPr>
        <w:t xml:space="preserve">” is a part of the Malay ethnic group tradition, which is still preserved today. Hence, in this context, that sub-theme is used by the local tourism bureau to reveal the existence of the </w:t>
      </w:r>
      <w:proofErr w:type="spellStart"/>
      <w:r w:rsidRPr="001B01FA">
        <w:rPr>
          <w:sz w:val="24"/>
          <w:szCs w:val="24"/>
        </w:rPr>
        <w:t>Batam</w:t>
      </w:r>
      <w:proofErr w:type="spellEnd"/>
      <w:r w:rsidRPr="001B01FA">
        <w:rPr>
          <w:sz w:val="24"/>
          <w:szCs w:val="24"/>
        </w:rPr>
        <w:t xml:space="preserve"> Malay community through the formation of the city's destination brand.</w:t>
      </w:r>
    </w:p>
    <w:p w:rsidR="001B01FA" w:rsidRPr="001B01FA" w:rsidRDefault="001B01FA" w:rsidP="000671DC">
      <w:pPr>
        <w:shd w:val="clear" w:color="auto" w:fill="FFFFFF"/>
        <w:spacing w:line="360" w:lineRule="auto"/>
        <w:ind w:firstLine="426"/>
        <w:jc w:val="both"/>
        <w:rPr>
          <w:color w:val="000000"/>
          <w:sz w:val="24"/>
          <w:szCs w:val="24"/>
        </w:rPr>
      </w:pPr>
      <w:r w:rsidRPr="001B01FA">
        <w:rPr>
          <w:color w:val="000000"/>
          <w:sz w:val="24"/>
          <w:szCs w:val="24"/>
        </w:rPr>
        <w:t>In addition, the sub-theme of “</w:t>
      </w:r>
      <w:proofErr w:type="spellStart"/>
      <w:r w:rsidRPr="001B01FA">
        <w:rPr>
          <w:color w:val="000000"/>
          <w:sz w:val="24"/>
          <w:szCs w:val="24"/>
        </w:rPr>
        <w:t>kenduri</w:t>
      </w:r>
      <w:proofErr w:type="spellEnd"/>
      <w:r w:rsidRPr="001B01FA">
        <w:rPr>
          <w:color w:val="000000"/>
          <w:sz w:val="24"/>
          <w:szCs w:val="24"/>
        </w:rPr>
        <w:t xml:space="preserve">” appearing in the promotional materials of city destinations can be seen as an iconic sign. Through this sub-theme, several traditional characteristics of the Malay community, including elements of its culture, are visualized, for example, traditional Malay clothing, a group of people using </w:t>
      </w:r>
      <w:proofErr w:type="spellStart"/>
      <w:r w:rsidRPr="001B01FA">
        <w:rPr>
          <w:color w:val="000000"/>
          <w:sz w:val="24"/>
          <w:szCs w:val="24"/>
        </w:rPr>
        <w:t>tanjak</w:t>
      </w:r>
      <w:proofErr w:type="spellEnd"/>
      <w:r w:rsidRPr="001B01FA">
        <w:rPr>
          <w:color w:val="000000"/>
          <w:sz w:val="24"/>
          <w:szCs w:val="24"/>
        </w:rPr>
        <w:t>, traditional musical instruments, and so on.</w:t>
      </w:r>
    </w:p>
    <w:p w:rsidR="001B01FA" w:rsidRPr="001B01FA" w:rsidRDefault="001B01FA" w:rsidP="000671DC">
      <w:pPr>
        <w:shd w:val="clear" w:color="auto" w:fill="FFFFFF"/>
        <w:spacing w:line="360" w:lineRule="auto"/>
        <w:ind w:firstLine="426"/>
        <w:jc w:val="both"/>
        <w:rPr>
          <w:color w:val="000000" w:themeColor="text1"/>
          <w:sz w:val="24"/>
          <w:szCs w:val="24"/>
        </w:rPr>
      </w:pPr>
      <w:r w:rsidRPr="001B01FA">
        <w:rPr>
          <w:color w:val="000000"/>
          <w:sz w:val="24"/>
          <w:szCs w:val="24"/>
        </w:rPr>
        <w:t>The third sub-theme is “</w:t>
      </w:r>
      <w:proofErr w:type="spellStart"/>
      <w:r w:rsidRPr="001B01FA">
        <w:rPr>
          <w:color w:val="000000"/>
          <w:sz w:val="24"/>
          <w:szCs w:val="24"/>
        </w:rPr>
        <w:t>Tanjak</w:t>
      </w:r>
      <w:proofErr w:type="spellEnd"/>
      <w:r w:rsidRPr="001B01FA">
        <w:rPr>
          <w:color w:val="000000"/>
          <w:sz w:val="24"/>
          <w:szCs w:val="24"/>
        </w:rPr>
        <w:t xml:space="preserve">”. </w:t>
      </w:r>
      <w:proofErr w:type="spellStart"/>
      <w:r w:rsidRPr="001B01FA">
        <w:rPr>
          <w:color w:val="000000" w:themeColor="text1"/>
          <w:sz w:val="24"/>
          <w:szCs w:val="24"/>
        </w:rPr>
        <w:t>Tanjak</w:t>
      </w:r>
      <w:proofErr w:type="spellEnd"/>
      <w:r w:rsidRPr="001B01FA">
        <w:rPr>
          <w:color w:val="000000" w:themeColor="text1"/>
          <w:sz w:val="24"/>
          <w:szCs w:val="24"/>
        </w:rPr>
        <w:t xml:space="preserve"> is a hat that functions as a head covering for Malay men. That hat is made from long folded </w:t>
      </w:r>
      <w:proofErr w:type="spellStart"/>
      <w:r w:rsidRPr="001B01FA">
        <w:rPr>
          <w:color w:val="000000" w:themeColor="text1"/>
          <w:sz w:val="24"/>
          <w:szCs w:val="24"/>
        </w:rPr>
        <w:t>songket</w:t>
      </w:r>
      <w:proofErr w:type="spellEnd"/>
      <w:r w:rsidRPr="001B01FA">
        <w:rPr>
          <w:color w:val="000000" w:themeColor="text1"/>
          <w:sz w:val="24"/>
          <w:szCs w:val="24"/>
        </w:rPr>
        <w:t xml:space="preserve"> cloth. “</w:t>
      </w:r>
      <w:proofErr w:type="spellStart"/>
      <w:r w:rsidRPr="001B01FA">
        <w:rPr>
          <w:color w:val="000000" w:themeColor="text1"/>
          <w:sz w:val="24"/>
          <w:szCs w:val="24"/>
        </w:rPr>
        <w:t>Tanjak</w:t>
      </w:r>
      <w:proofErr w:type="spellEnd"/>
      <w:r w:rsidRPr="001B01FA">
        <w:rPr>
          <w:color w:val="000000" w:themeColor="text1"/>
          <w:sz w:val="24"/>
          <w:szCs w:val="24"/>
        </w:rPr>
        <w:t>” often takes the form of a headdress tied in a particular style. For the Malay people, “</w:t>
      </w:r>
      <w:proofErr w:type="spellStart"/>
      <w:r w:rsidRPr="001B01FA">
        <w:rPr>
          <w:color w:val="000000" w:themeColor="text1"/>
          <w:sz w:val="24"/>
          <w:szCs w:val="24"/>
        </w:rPr>
        <w:t>tanjak</w:t>
      </w:r>
      <w:proofErr w:type="spellEnd"/>
      <w:r w:rsidRPr="001B01FA">
        <w:rPr>
          <w:color w:val="000000" w:themeColor="text1"/>
          <w:sz w:val="24"/>
          <w:szCs w:val="24"/>
        </w:rPr>
        <w:t>” not only functions as a head covering because it contains various philosophical meanings,</w:t>
      </w:r>
    </w:p>
    <w:p w:rsidR="001B01FA" w:rsidRPr="001B01FA" w:rsidRDefault="001B01FA" w:rsidP="000671DC">
      <w:pPr>
        <w:shd w:val="clear" w:color="auto" w:fill="FFFFFF"/>
        <w:spacing w:line="360" w:lineRule="auto"/>
        <w:ind w:firstLine="426"/>
        <w:jc w:val="both"/>
        <w:rPr>
          <w:sz w:val="24"/>
          <w:szCs w:val="24"/>
        </w:rPr>
      </w:pPr>
      <w:r w:rsidRPr="001B01FA">
        <w:rPr>
          <w:sz w:val="24"/>
          <w:szCs w:val="24"/>
        </w:rPr>
        <w:t>First, “</w:t>
      </w:r>
      <w:proofErr w:type="spellStart"/>
      <w:r w:rsidRPr="001B01FA">
        <w:rPr>
          <w:sz w:val="24"/>
          <w:szCs w:val="24"/>
        </w:rPr>
        <w:t>tanjak</w:t>
      </w:r>
      <w:proofErr w:type="spellEnd"/>
      <w:r w:rsidRPr="001B01FA">
        <w:rPr>
          <w:sz w:val="24"/>
          <w:szCs w:val="24"/>
        </w:rPr>
        <w:t>” is worn over the head with its shape tapering upwards. It suggests that a Malay man must use reason and reason as the basis for acting, speak politely, make decisions reasonably, and build the country with virtue. Second, “</w:t>
      </w:r>
      <w:proofErr w:type="spellStart"/>
      <w:r w:rsidRPr="001B01FA">
        <w:rPr>
          <w:sz w:val="24"/>
          <w:szCs w:val="24"/>
        </w:rPr>
        <w:t>tanjak</w:t>
      </w:r>
      <w:proofErr w:type="spellEnd"/>
      <w:r w:rsidRPr="001B01FA">
        <w:rPr>
          <w:sz w:val="24"/>
          <w:szCs w:val="24"/>
        </w:rPr>
        <w:t xml:space="preserve">” reflects the </w:t>
      </w:r>
      <w:r w:rsidRPr="001B01FA">
        <w:rPr>
          <w:sz w:val="24"/>
          <w:szCs w:val="24"/>
        </w:rPr>
        <w:t>social function's structure and its users' identity. Third, “</w:t>
      </w:r>
      <w:proofErr w:type="spellStart"/>
      <w:r w:rsidRPr="001B01FA">
        <w:rPr>
          <w:sz w:val="24"/>
          <w:szCs w:val="24"/>
        </w:rPr>
        <w:t>tanjak</w:t>
      </w:r>
      <w:proofErr w:type="spellEnd"/>
      <w:r w:rsidRPr="001B01FA">
        <w:rPr>
          <w:sz w:val="24"/>
          <w:szCs w:val="24"/>
        </w:rPr>
        <w:t xml:space="preserve">” is made of cloth and is equipped with a knot. The knot on the "sanjak” symbolizes unity/bond, both at regional and national levels. Fourth, the </w:t>
      </w:r>
      <w:proofErr w:type="spellStart"/>
      <w:r w:rsidRPr="001B01FA">
        <w:rPr>
          <w:sz w:val="24"/>
          <w:szCs w:val="24"/>
        </w:rPr>
        <w:t>tanjak</w:t>
      </w:r>
      <w:proofErr w:type="spellEnd"/>
      <w:r w:rsidRPr="001B01FA">
        <w:rPr>
          <w:sz w:val="24"/>
          <w:szCs w:val="24"/>
        </w:rPr>
        <w:t xml:space="preserve"> is worn during traditional events and is worn by people who understand the customs </w:t>
      </w:r>
      <w:r w:rsidRPr="001B01FA">
        <w:rPr>
          <w:sz w:val="24"/>
          <w:szCs w:val="24"/>
        </w:rPr>
        <w:fldChar w:fldCharType="begin" w:fldLock="1"/>
      </w:r>
      <w:r w:rsidRPr="001B01FA">
        <w:rPr>
          <w:sz w:val="24"/>
          <w:szCs w:val="24"/>
        </w:rPr>
        <w:instrText>ADDIN CSL_CITATION {"citationItems":[{"id":"ITEM-1","itemData":{"abstract":"… Melestarikan Budaya Melayu a budaya yang telah ada tidak hilang dim Eksistensi adalah paham yang cemder yang memiliki taraf yang tinggi, dan dirinya sendiri bukan melalui rekan …","author":[{"dropping-particle":"","family":"Putriana","given":"A","non-dropping-particle":"","parse-names":false,"suffix":""}],"container-title":"Jurnal Ilmiah Pariwisata Imelda (JIPSI)","id":"ITEM-1","issue":"2","issued":{"date-parts":[["2023"]]},"page":"37-41","title":"Eksistensi Tanjak Melayu","type":"article-journal","volume":"1"},"uris":["http://www.mendeley.com/documents/?uuid=d65c632e-b0e5-444b-8e9d-e37a69a56203"]}],"mendeley":{"formattedCitation":"(Putriana, 2023)","plainTextFormattedCitation":"(Putriana, 2023)","previouslyFormattedCitation":"(Putriana, 2023)"},"properties":{"noteIndex":0},"schema":"https://github.com/citation-style-language/schema/raw/master/csl-citation.json"}</w:instrText>
      </w:r>
      <w:r w:rsidRPr="001B01FA">
        <w:rPr>
          <w:sz w:val="24"/>
          <w:szCs w:val="24"/>
        </w:rPr>
        <w:fldChar w:fldCharType="separate"/>
      </w:r>
      <w:r w:rsidRPr="001B01FA">
        <w:rPr>
          <w:noProof/>
          <w:sz w:val="24"/>
          <w:szCs w:val="24"/>
        </w:rPr>
        <w:t>(Putriana, 2023)</w:t>
      </w:r>
      <w:r w:rsidRPr="001B01FA">
        <w:rPr>
          <w:sz w:val="24"/>
          <w:szCs w:val="24"/>
        </w:rPr>
        <w:fldChar w:fldCharType="end"/>
      </w:r>
      <w:r w:rsidRPr="001B01FA">
        <w:rPr>
          <w:sz w:val="24"/>
          <w:szCs w:val="24"/>
        </w:rPr>
        <w:t>.</w:t>
      </w:r>
    </w:p>
    <w:p w:rsidR="001B01FA" w:rsidRPr="001B01FA" w:rsidRDefault="001B01FA" w:rsidP="000671DC">
      <w:pPr>
        <w:shd w:val="clear" w:color="auto" w:fill="FFFFFF"/>
        <w:spacing w:line="360" w:lineRule="auto"/>
        <w:ind w:firstLine="426"/>
        <w:jc w:val="both"/>
        <w:rPr>
          <w:sz w:val="24"/>
          <w:szCs w:val="24"/>
        </w:rPr>
      </w:pPr>
      <w:r w:rsidRPr="001B01FA">
        <w:rPr>
          <w:sz w:val="24"/>
          <w:szCs w:val="24"/>
        </w:rPr>
        <w:t>The emergence of “</w:t>
      </w:r>
      <w:proofErr w:type="spellStart"/>
      <w:r w:rsidRPr="001B01FA">
        <w:rPr>
          <w:sz w:val="24"/>
          <w:szCs w:val="24"/>
        </w:rPr>
        <w:t>tanjak</w:t>
      </w:r>
      <w:proofErr w:type="spellEnd"/>
      <w:r w:rsidRPr="001B01FA">
        <w:rPr>
          <w:sz w:val="24"/>
          <w:szCs w:val="24"/>
        </w:rPr>
        <w:t>” sub-theme in the data can be interpreted in two approaches. The first is the index approach. In this dimension, “</w:t>
      </w:r>
      <w:proofErr w:type="spellStart"/>
      <w:r w:rsidRPr="001B01FA">
        <w:rPr>
          <w:sz w:val="24"/>
          <w:szCs w:val="24"/>
        </w:rPr>
        <w:t>tanjak</w:t>
      </w:r>
      <w:proofErr w:type="spellEnd"/>
      <w:r w:rsidRPr="001B01FA">
        <w:rPr>
          <w:sz w:val="24"/>
          <w:szCs w:val="24"/>
        </w:rPr>
        <w:t>” reflects the existence of the Malay ethnic community. Therefore, the emergence of</w:t>
      </w:r>
      <w:r w:rsidRPr="00217BE4">
        <w:rPr>
          <w:rFonts w:ascii="Arial" w:hAnsi="Arial" w:cs="Arial"/>
          <w:sz w:val="22"/>
          <w:szCs w:val="22"/>
        </w:rPr>
        <w:t xml:space="preserve"> content with </w:t>
      </w:r>
      <w:r w:rsidRPr="001B01FA">
        <w:rPr>
          <w:sz w:val="24"/>
          <w:szCs w:val="24"/>
        </w:rPr>
        <w:t xml:space="preserve">the theme of </w:t>
      </w:r>
      <w:proofErr w:type="spellStart"/>
      <w:r w:rsidRPr="001B01FA">
        <w:rPr>
          <w:sz w:val="24"/>
          <w:szCs w:val="24"/>
        </w:rPr>
        <w:t>tanjak</w:t>
      </w:r>
      <w:proofErr w:type="spellEnd"/>
      <w:r w:rsidRPr="001B01FA">
        <w:rPr>
          <w:sz w:val="24"/>
          <w:szCs w:val="24"/>
        </w:rPr>
        <w:t xml:space="preserve"> indicates that </w:t>
      </w:r>
      <w:proofErr w:type="spellStart"/>
      <w:r w:rsidRPr="001B01FA">
        <w:rPr>
          <w:sz w:val="24"/>
          <w:szCs w:val="24"/>
        </w:rPr>
        <w:t>Batam's</w:t>
      </w:r>
      <w:proofErr w:type="spellEnd"/>
      <w:r w:rsidRPr="001B01FA">
        <w:rPr>
          <w:sz w:val="24"/>
          <w:szCs w:val="24"/>
        </w:rPr>
        <w:t xml:space="preserve"> tourist destination reflects the existence of the Malay community. In line with this, Through the visualization of this “sanjak” sub-theme, the local tourism bureau tries to emphasize </w:t>
      </w:r>
      <w:proofErr w:type="spellStart"/>
      <w:r w:rsidRPr="001B01FA">
        <w:rPr>
          <w:sz w:val="24"/>
          <w:szCs w:val="24"/>
        </w:rPr>
        <w:t>Batam</w:t>
      </w:r>
      <w:proofErr w:type="spellEnd"/>
      <w:r w:rsidRPr="001B01FA">
        <w:rPr>
          <w:sz w:val="24"/>
          <w:szCs w:val="24"/>
        </w:rPr>
        <w:t xml:space="preserve"> as a Malay destination.</w:t>
      </w:r>
    </w:p>
    <w:p w:rsidR="001B01FA" w:rsidRPr="001B01FA" w:rsidRDefault="001B01FA" w:rsidP="000671DC">
      <w:pPr>
        <w:shd w:val="clear" w:color="auto" w:fill="FFFFFF"/>
        <w:spacing w:after="150" w:line="360" w:lineRule="auto"/>
        <w:ind w:firstLine="426"/>
        <w:jc w:val="both"/>
        <w:rPr>
          <w:color w:val="000000"/>
          <w:sz w:val="24"/>
          <w:szCs w:val="24"/>
        </w:rPr>
      </w:pPr>
      <w:r w:rsidRPr="001B01FA">
        <w:rPr>
          <w:color w:val="000000"/>
          <w:sz w:val="24"/>
          <w:szCs w:val="24"/>
        </w:rPr>
        <w:t>Second, figure 4 also visualizes a mosque with a design of the top that takes the shape of a “</w:t>
      </w:r>
      <w:proofErr w:type="spellStart"/>
      <w:r w:rsidRPr="001B01FA">
        <w:rPr>
          <w:color w:val="000000"/>
          <w:sz w:val="24"/>
          <w:szCs w:val="24"/>
        </w:rPr>
        <w:t>tanjak</w:t>
      </w:r>
      <w:proofErr w:type="spellEnd"/>
      <w:r w:rsidRPr="001B01FA">
        <w:rPr>
          <w:color w:val="000000"/>
          <w:sz w:val="24"/>
          <w:szCs w:val="24"/>
        </w:rPr>
        <w:t xml:space="preserve">”. This suggests an iconic sign. The main sign resembling a </w:t>
      </w:r>
      <w:proofErr w:type="spellStart"/>
      <w:r w:rsidRPr="001B01FA">
        <w:rPr>
          <w:color w:val="000000"/>
          <w:sz w:val="24"/>
          <w:szCs w:val="24"/>
        </w:rPr>
        <w:t>tanjak</w:t>
      </w:r>
      <w:proofErr w:type="spellEnd"/>
      <w:r w:rsidRPr="001B01FA">
        <w:rPr>
          <w:color w:val="000000"/>
          <w:sz w:val="24"/>
          <w:szCs w:val="24"/>
        </w:rPr>
        <w:t xml:space="preserve"> in the image clearly reflects the character of Malay culture in this city destination. Since “</w:t>
      </w:r>
      <w:proofErr w:type="spellStart"/>
      <w:r w:rsidRPr="001B01FA">
        <w:rPr>
          <w:color w:val="000000"/>
          <w:sz w:val="24"/>
          <w:szCs w:val="24"/>
        </w:rPr>
        <w:t>tanjak</w:t>
      </w:r>
      <w:proofErr w:type="spellEnd"/>
      <w:r w:rsidRPr="001B01FA">
        <w:rPr>
          <w:color w:val="000000"/>
          <w:sz w:val="24"/>
          <w:szCs w:val="24"/>
        </w:rPr>
        <w:t>” is one of the elements of Malay cultural heritage</w:t>
      </w:r>
    </w:p>
    <w:p w:rsidR="001B01FA" w:rsidRDefault="001B01FA" w:rsidP="000671DC">
      <w:pPr>
        <w:shd w:val="clear" w:color="auto" w:fill="FFFFFF"/>
        <w:spacing w:line="360" w:lineRule="auto"/>
        <w:ind w:firstLine="426"/>
        <w:jc w:val="both"/>
        <w:rPr>
          <w:b/>
          <w:bCs/>
          <w:sz w:val="24"/>
          <w:szCs w:val="24"/>
        </w:rPr>
      </w:pPr>
      <w:r w:rsidRPr="001B01FA">
        <w:rPr>
          <w:sz w:val="24"/>
          <w:szCs w:val="24"/>
        </w:rPr>
        <w:t>The fourth is “</w:t>
      </w:r>
      <w:proofErr w:type="spellStart"/>
      <w:r w:rsidRPr="001B01FA">
        <w:rPr>
          <w:sz w:val="24"/>
          <w:szCs w:val="24"/>
        </w:rPr>
        <w:t>kompang</w:t>
      </w:r>
      <w:proofErr w:type="spellEnd"/>
      <w:r w:rsidRPr="001B01FA">
        <w:rPr>
          <w:sz w:val="24"/>
          <w:szCs w:val="24"/>
        </w:rPr>
        <w:t>”. “</w:t>
      </w:r>
      <w:proofErr w:type="spellStart"/>
      <w:r w:rsidRPr="001B01FA">
        <w:rPr>
          <w:sz w:val="24"/>
          <w:szCs w:val="24"/>
        </w:rPr>
        <w:t>Kompang</w:t>
      </w:r>
      <w:proofErr w:type="spellEnd"/>
      <w:r w:rsidRPr="001B01FA">
        <w:rPr>
          <w:sz w:val="24"/>
          <w:szCs w:val="24"/>
        </w:rPr>
        <w:t xml:space="preserve">” is a type of traditional musical instrument played by Malay people at various events, such as weddings and circumcisions, including celebrations of religious days. In </w:t>
      </w:r>
      <w:r w:rsidRPr="001B01FA">
        <w:rPr>
          <w:sz w:val="24"/>
          <w:szCs w:val="24"/>
        </w:rPr>
        <w:lastRenderedPageBreak/>
        <w:t>reality, the Malay community itself is spread across several regions in Indonesia. Several studies show that they still play this traditional musical instrument, including the Malay community living in Jambi</w:t>
      </w:r>
      <w:r w:rsidRPr="001B01FA">
        <w:rPr>
          <w:b/>
          <w:bCs/>
          <w:sz w:val="24"/>
          <w:szCs w:val="24"/>
        </w:rPr>
        <w:fldChar w:fldCharType="begin" w:fldLock="1"/>
      </w:r>
      <w:r w:rsidRPr="001B01FA">
        <w:rPr>
          <w:b/>
          <w:bCs/>
          <w:sz w:val="24"/>
          <w:szCs w:val="24"/>
        </w:rPr>
        <w:instrText>ADDIN CSL_CITATION {"citationItems":[{"id":"ITEM-1","itemData":{"DOI":"10.22437/krinok.v1i3.22669","abstract":"Kesenian Kompangan merupakan kesenian yang terpengaruh dari kebudayaan Islam Melayu di Provinsi Jambi. Kesenian hadrah yang di akulturasi oleh masyarakat Melayu Jambi. Sehingga menciptakan kesenian Kompangan di Provinsi Jambi. Persebaran kesenian kompangan di Provinsi Jambi tersebar luas. Kesenian Kompangan ini masih di gunakan hingga sekarang pada acara keagamaan serta penyambutan tamu. Tujuan penulisan ini adalah mengungkapkan salah satu kebudayaan Islam Melayu di Provinsi Jambi yaitu Kesenian Kompangan. Metode yang digunakan yaitu penelitian sejarah dengan pendekatan studi pustaka dengan menggunakan metode (1) heuristik, (2) kritik sumber, (3) analisis dan interpretasi, (4) historiografi. Hasil dari penelitian meliputi hakikat kesenian Kompangan, ciri khas kesenian Kompangan Melayu Jambi, serta kesenian Kompangan sebagai kebudayaan islam Melayu di Provinsi Jambi","author":[{"dropping-particle":"","family":"Anugrahi","given":"Sania Riza","non-dropping-particle":"","parse-names":false,"suffix":""}],"container-title":"Krinok: Jurnal Pendidikan Sejarah dan Sejarah","id":"ITEM-1","issue":"3","issued":{"date-parts":[["2022"]]},"page":"191-201","title":"Kesenian Kompangan Sebagai Kebudayaan Islam Melayu Di Provinsi Jambi","type":"article-journal","volume":"1"},"uris":["http://www.mendeley.com/documents/?uuid=b3b20e61-9927-49cb-b94c-17738c5007f1"]}],"mendeley":{"formattedCitation":"(Anugrahi, 2022)","plainTextFormattedCitation":"(Anugrahi, 2022)","previouslyFormattedCitation":"(Anugrahi, 2022)"},"properties":{"noteIndex":0},"schema":"https://github.com/citation-style-language/schema/raw/master/csl-citation.json"}</w:instrText>
      </w:r>
      <w:r w:rsidRPr="001B01FA">
        <w:rPr>
          <w:b/>
          <w:bCs/>
          <w:sz w:val="24"/>
          <w:szCs w:val="24"/>
        </w:rPr>
        <w:fldChar w:fldCharType="separate"/>
      </w:r>
      <w:r w:rsidRPr="001B01FA">
        <w:rPr>
          <w:bCs/>
          <w:noProof/>
          <w:sz w:val="24"/>
          <w:szCs w:val="24"/>
        </w:rPr>
        <w:t>(</w:t>
      </w:r>
      <w:proofErr w:type="spellStart"/>
      <w:r w:rsidRPr="001B01FA">
        <w:rPr>
          <w:bCs/>
          <w:noProof/>
          <w:sz w:val="24"/>
          <w:szCs w:val="24"/>
        </w:rPr>
        <w:t>Anugrahi</w:t>
      </w:r>
      <w:proofErr w:type="spellEnd"/>
      <w:r w:rsidRPr="001B01FA">
        <w:rPr>
          <w:bCs/>
          <w:noProof/>
          <w:sz w:val="24"/>
          <w:szCs w:val="24"/>
        </w:rPr>
        <w:t>, 2022)</w:t>
      </w:r>
      <w:r w:rsidRPr="001B01FA">
        <w:rPr>
          <w:b/>
          <w:bCs/>
          <w:sz w:val="24"/>
          <w:szCs w:val="24"/>
        </w:rPr>
        <w:fldChar w:fldCharType="end"/>
      </w:r>
      <w:r w:rsidRPr="001B01FA">
        <w:rPr>
          <w:b/>
          <w:bCs/>
          <w:sz w:val="24"/>
          <w:szCs w:val="24"/>
        </w:rPr>
        <w:t xml:space="preserve"> </w:t>
      </w:r>
      <w:proofErr w:type="spellStart"/>
      <w:r w:rsidRPr="001B01FA">
        <w:rPr>
          <w:sz w:val="24"/>
          <w:szCs w:val="24"/>
        </w:rPr>
        <w:t>Bengklais</w:t>
      </w:r>
      <w:proofErr w:type="spellEnd"/>
      <w:r w:rsidRPr="001B01FA">
        <w:rPr>
          <w:sz w:val="24"/>
          <w:szCs w:val="24"/>
        </w:rPr>
        <w:t xml:space="preserve"> Riau</w:t>
      </w:r>
      <w:r w:rsidRPr="001B01FA">
        <w:rPr>
          <w:b/>
          <w:bCs/>
          <w:sz w:val="24"/>
          <w:szCs w:val="24"/>
        </w:rPr>
        <w:t xml:space="preserve"> </w:t>
      </w:r>
      <w:r w:rsidRPr="001B01FA">
        <w:rPr>
          <w:b/>
          <w:bCs/>
          <w:sz w:val="24"/>
          <w:szCs w:val="24"/>
        </w:rPr>
        <w:fldChar w:fldCharType="begin" w:fldLock="1"/>
      </w:r>
      <w:r w:rsidRPr="001B01FA">
        <w:rPr>
          <w:b/>
          <w:bCs/>
          <w:sz w:val="24"/>
          <w:szCs w:val="24"/>
        </w:rPr>
        <w:instrText>ADDIN CSL_CITATION {"citationItems":[{"id":"ITEM-1","itemData":{"abstract":"Tulisan  ini  adalah  hasil  penelitian  yang  bertujuan  untuk  menjelaskanbentuk  pertunjukan  Kompang  yang  berbeda  dari  Kompang  yang  umumdikenal  di  tengah  masyarakat  Bengkalis,  pertunjukan  Kompang  tersebutdikenal    dengan    sebutan    Kompang    Atraksi.    Di    daerah    Meskom Kecamatan  Bengkalis  Kompang  telah  menjadi  bagian  tak  terpisahkandalam setiap perhelatan perkawinan, perayaan keagamaan, sunatan, serta perhelatan  lainnya.  Kompang  tradisi  lazim  dikenal  sebagai  permainanalat musik Kompang yang dipukul dengan ritme tertentu, diiringi dengannyanyian  dari  kitabberzanjiyaitu    puji-pujian  terhadap  Allah  SWT  danRasulullah    SAW.    Dengan    menggunakan    metode    kualitatif    yangdipadukan dengan teori  bentuk seni pertunjukan  serta teori  fungsi, dapat disimpulkan  bahwa  pertunjukan  Kompang  Atraksi  memadukan  atraksigerak  dengan  pertunjukan  Kompang  tradisional.  Bentuk  baru  ini  dapatditerima  oleh  masyarakat  karena  tetap  mempertahankan  hakikat  daripertunjukan Kompang tradisi baik dari aspek bentuk maupun esensi daripertunjukan,  yaitu  sebagai  bagian  dari  syiar  agama  Islam  dalam  sajianestetis.","author":[{"dropping-particle":"","family":"Ramadona","given":"Yosi","non-dropping-particle":"","parse-names":false,"suffix":""},{"dropping-particle":"","family":"Minawati","given":"Rosta","non-dropping-particle":"","parse-names":false,"suffix":""},{"dropping-particle":"","family":"Nursyirwan","given":"Nursyirwan","non-dropping-particle":"","parse-names":false,"suffix":""}],"container-title":"Bercadik: Jurnal Pengkajian dan Penciptaan Seni","id":"ITEM-1","issue":"2","issued":{"date-parts":[["2014"]]},"page":"1-14","title":"Kompang Atraksi Pada Masyarakat Bengkalis Riau","type":"article-journal","volume":"2"},"uris":["http://www.mendeley.com/documents/?uuid=7848bd2d-f0da-4953-b489-495630f483b0"]}],"mendeley":{"formattedCitation":"(Ramadona, Minawati, &amp; Nursyirwan, 2014)","plainTextFormattedCitation":"(Ramadona, Minawati, &amp; Nursyirwan, 2014)","previouslyFormattedCitation":"(Ramadona, Minawati, &amp; Nursyirwan, 2014)"},"properties":{"noteIndex":0},"schema":"https://github.com/citation-style-language/schema/raw/master/csl-citation.json"}</w:instrText>
      </w:r>
      <w:r w:rsidRPr="001B01FA">
        <w:rPr>
          <w:b/>
          <w:bCs/>
          <w:sz w:val="24"/>
          <w:szCs w:val="24"/>
        </w:rPr>
        <w:fldChar w:fldCharType="separate"/>
      </w:r>
      <w:r w:rsidRPr="001B01FA">
        <w:rPr>
          <w:bCs/>
          <w:noProof/>
          <w:sz w:val="24"/>
          <w:szCs w:val="24"/>
        </w:rPr>
        <w:t>(Ramadona, Minawati, &amp; Nursyirwan, 2014)</w:t>
      </w:r>
      <w:r w:rsidRPr="001B01FA">
        <w:rPr>
          <w:b/>
          <w:bCs/>
          <w:sz w:val="24"/>
          <w:szCs w:val="24"/>
        </w:rPr>
        <w:fldChar w:fldCharType="end"/>
      </w:r>
      <w:r w:rsidRPr="001B01FA">
        <w:rPr>
          <w:b/>
          <w:bCs/>
          <w:sz w:val="24"/>
          <w:szCs w:val="24"/>
        </w:rPr>
        <w:t xml:space="preserve">, </w:t>
      </w:r>
      <w:proofErr w:type="spellStart"/>
      <w:r w:rsidRPr="001B01FA">
        <w:rPr>
          <w:sz w:val="24"/>
          <w:szCs w:val="24"/>
        </w:rPr>
        <w:t>Tanjunguban</w:t>
      </w:r>
      <w:proofErr w:type="spellEnd"/>
      <w:r w:rsidRPr="001B01FA">
        <w:rPr>
          <w:sz w:val="24"/>
          <w:szCs w:val="24"/>
        </w:rPr>
        <w:t xml:space="preserve"> </w:t>
      </w:r>
      <w:proofErr w:type="spellStart"/>
      <w:r w:rsidRPr="001B01FA">
        <w:rPr>
          <w:sz w:val="24"/>
          <w:szCs w:val="24"/>
        </w:rPr>
        <w:t>Bintan</w:t>
      </w:r>
      <w:proofErr w:type="spellEnd"/>
      <w:r w:rsidRPr="001B01FA">
        <w:rPr>
          <w:b/>
          <w:bCs/>
          <w:sz w:val="24"/>
          <w:szCs w:val="24"/>
        </w:rPr>
        <w:t xml:space="preserve"> </w:t>
      </w:r>
      <w:r w:rsidRPr="001B01FA">
        <w:rPr>
          <w:b/>
          <w:bCs/>
          <w:sz w:val="24"/>
          <w:szCs w:val="24"/>
        </w:rPr>
        <w:fldChar w:fldCharType="begin" w:fldLock="1"/>
      </w:r>
      <w:r w:rsidRPr="001B01FA">
        <w:rPr>
          <w:b/>
          <w:bCs/>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kasiwi","given":"Galih","non-dropping-particle":"","parse-names":false,"suffix":""},{"dropping-particle":"","family":"Syeilendra","given":"","non-dropping-particle":"","parse-names":false,"suffix":""},{"dropping-particle":"","family":"Darma, Epria","given":"Irdhan","non-dropping-particle":"","parse-names":false,"suffix":""}],"container-title":"E-jurnal sendratasik","id":"ITEM-1","issue":"2","issued":{"date-parts":[["2018"]]},"page":"62-73","title":"Pelestarian Kesenian Kompang Di Sanggar Seni Tapak Budaya Tanjung Uban Kabupaten Bintan Provinsi Kepulauan Riau","type":"article-journal","volume":"6"},"uris":["http://www.mendeley.com/documents/?uuid=43bed6ba-82f3-49e2-b546-436471e520c7"]}],"mendeley":{"formattedCitation":"(Rakasiwi, Syeilendra, &amp; Darma, Epria, 2018)","plainTextFormattedCitation":"(Rakasiwi, Syeilendra, &amp; Darma, Epria, 2018)","previouslyFormattedCitation":"(Rakasiwi, Syeilendra, &amp; Darma, Epria, 2018)"},"properties":{"noteIndex":0},"schema":"https://github.com/citation-style-language/schema/raw/master/csl-citation.json"}</w:instrText>
      </w:r>
      <w:r w:rsidRPr="001B01FA">
        <w:rPr>
          <w:b/>
          <w:bCs/>
          <w:sz w:val="24"/>
          <w:szCs w:val="24"/>
        </w:rPr>
        <w:fldChar w:fldCharType="separate"/>
      </w:r>
      <w:r w:rsidRPr="001B01FA">
        <w:rPr>
          <w:bCs/>
          <w:noProof/>
          <w:sz w:val="24"/>
          <w:szCs w:val="24"/>
        </w:rPr>
        <w:t>(Rakasiwi, Syeilendra, &amp; Darma, Epria, 2018)</w:t>
      </w:r>
      <w:r w:rsidRPr="001B01FA">
        <w:rPr>
          <w:b/>
          <w:bCs/>
          <w:sz w:val="24"/>
          <w:szCs w:val="24"/>
        </w:rPr>
        <w:fldChar w:fldCharType="end"/>
      </w:r>
      <w:r w:rsidRPr="001B01FA">
        <w:rPr>
          <w:b/>
          <w:bCs/>
          <w:sz w:val="24"/>
          <w:szCs w:val="24"/>
        </w:rPr>
        <w:t xml:space="preserve">. </w:t>
      </w:r>
    </w:p>
    <w:p w:rsidR="00967867" w:rsidRPr="001B01FA" w:rsidRDefault="00967867" w:rsidP="00967867">
      <w:pPr>
        <w:shd w:val="clear" w:color="auto" w:fill="FFFFFF"/>
        <w:spacing w:line="360" w:lineRule="auto"/>
        <w:jc w:val="both"/>
        <w:rPr>
          <w:sz w:val="24"/>
          <w:szCs w:val="24"/>
        </w:rPr>
      </w:pPr>
      <w:r>
        <w:rPr>
          <w:rFonts w:ascii="Source Sans Pro" w:hAnsi="Source Sans Pro"/>
          <w:noProof/>
          <w:color w:val="000000"/>
          <w:sz w:val="22"/>
          <w:szCs w:val="22"/>
        </w:rPr>
        <w:drawing>
          <wp:inline distT="0" distB="0" distL="0" distR="0" wp14:anchorId="182A653A" wp14:editId="2D7A30D2">
            <wp:extent cx="2700655" cy="2245976"/>
            <wp:effectExtent l="0" t="0" r="444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2700655" cy="2245976"/>
                    </a:xfrm>
                    <a:prstGeom prst="rect">
                      <a:avLst/>
                    </a:prstGeom>
                  </pic:spPr>
                </pic:pic>
              </a:graphicData>
            </a:graphic>
          </wp:inline>
        </w:drawing>
      </w:r>
    </w:p>
    <w:p w:rsidR="00967867" w:rsidRPr="00967867" w:rsidRDefault="00967867" w:rsidP="00967867">
      <w:pPr>
        <w:tabs>
          <w:tab w:val="left" w:pos="1587"/>
        </w:tabs>
        <w:jc w:val="both"/>
        <w:rPr>
          <w:b/>
          <w:bCs/>
        </w:rPr>
      </w:pPr>
      <w:r w:rsidRPr="00967867">
        <w:rPr>
          <w:b/>
          <w:bCs/>
        </w:rPr>
        <w:t xml:space="preserve">Figure 4 Several examples of content that highlight the </w:t>
      </w:r>
      <w:proofErr w:type="spellStart"/>
      <w:r w:rsidRPr="00967867">
        <w:rPr>
          <w:b/>
          <w:bCs/>
        </w:rPr>
        <w:t>Tanjak</w:t>
      </w:r>
      <w:proofErr w:type="spellEnd"/>
      <w:r w:rsidRPr="00967867">
        <w:rPr>
          <w:b/>
          <w:bCs/>
        </w:rPr>
        <w:t xml:space="preserve"> theme as a Malay cultural heritage</w:t>
      </w:r>
    </w:p>
    <w:p w:rsidR="00967867" w:rsidRDefault="00967867" w:rsidP="00967867">
      <w:pPr>
        <w:shd w:val="clear" w:color="auto" w:fill="FFFFFF"/>
        <w:spacing w:line="360" w:lineRule="auto"/>
        <w:jc w:val="both"/>
        <w:rPr>
          <w:sz w:val="24"/>
          <w:szCs w:val="24"/>
        </w:rPr>
      </w:pPr>
    </w:p>
    <w:p w:rsidR="001B01FA" w:rsidRPr="001B01FA" w:rsidRDefault="001B01FA" w:rsidP="000671DC">
      <w:pPr>
        <w:shd w:val="clear" w:color="auto" w:fill="FFFFFF"/>
        <w:spacing w:line="360" w:lineRule="auto"/>
        <w:ind w:firstLine="426"/>
        <w:jc w:val="both"/>
        <w:rPr>
          <w:b/>
          <w:bCs/>
          <w:sz w:val="24"/>
          <w:szCs w:val="24"/>
        </w:rPr>
      </w:pPr>
      <w:r w:rsidRPr="001B01FA">
        <w:rPr>
          <w:sz w:val="24"/>
          <w:szCs w:val="24"/>
        </w:rPr>
        <w:t>This traditional musical instrument is made from wood and goat skin and is played by various artists in various positions, such as sitting, standing, and walking</w:t>
      </w:r>
      <w:r w:rsidRPr="001B01FA">
        <w:rPr>
          <w:b/>
          <w:bCs/>
          <w:sz w:val="24"/>
          <w:szCs w:val="24"/>
        </w:rPr>
        <w:t xml:space="preserve"> </w:t>
      </w:r>
      <w:r w:rsidRPr="001B01FA">
        <w:rPr>
          <w:b/>
          <w:bCs/>
          <w:sz w:val="24"/>
          <w:szCs w:val="24"/>
        </w:rPr>
        <w:fldChar w:fldCharType="begin" w:fldLock="1"/>
      </w:r>
      <w:r w:rsidRPr="001B01FA">
        <w:rPr>
          <w:b/>
          <w:bCs/>
          <w:sz w:val="24"/>
          <w:szCs w:val="24"/>
        </w:rPr>
        <w:instrText>ADDIN CSL_CITATION {"citationItems":[{"id":"ITEM-1","itemData":{"DOI":"10.35143/jiterpm.v1i1.5860","abstract":"Kompang merupakan jenis alat musik tradisional yang sangat dikenal di kalangan masyarakat Melayu pada umumnya. Hampir mirip dengan alat music rebana, Kompang merupakan alat musik tradisional dari Provinsi Riau yang dibuat dari kayu dan kulit kambing. Di beberapa daerah di Riau, alat music Kompang juga disebut dengan kendang. Keberadaan alat musik ini dikaitkan dengan penyebaran agama Islam di Indonesia. Salah satu UMKM yang memproduksi alat musik melayu adalah BMR Musik Riau. BMR Musik Riau memproduksi alat-alat musik khas melayu diantaranya Kompang, Gambus, Bebano, Marwas dan Tambur. Salah satu tujuan BMR Musik Riau berdiri adalah untuk mempertahankan dan melestarikan budaya melayu. Hal ini selaras dengan visi misi dinas kebudayaan provinsi Riau. Salah satu pointnya berisi menjadikan riau sebagai pusat Bahasa dan seni budaya melayu di asia Tenggara. Produksi alat musik kompang masih dilakukan dirumah dan jumlah produksi sangat terbatas sekali. Ditahun 2015 permintaan pasar akan kompang cukup meningkat drastis. Permintaan ini tidak dapat dipenuhi secara cepat dikarena banyaknya proses yang dilalui masih dilakukan secara konvensional. Paparan permasalahan di atas menjadi acuan bagi tim PKM untuk memberikan solusi bagi perkembangan usaha ini. Tim PKM akan memberikan mesin berdasarkan hasil penelitian yang akan dilakukan. Setelah mesin diberikan maka untuk memudahkan UMKM BMR Riau dalam penggunakan mesin maka diperlukan pelatihan penggunaan mesin untuk meningkatkan teknologi dan ketrampilan dalam penggunaan alat bantu pemasang kulit kompang. Sehingga diharapkan dengan adanya solusi dari permasalahn tersebut dapat mewujudkan misi dan visi awal terbentuknya BMR Riau Musik","author":[{"dropping-particle":"","family":"Novison","given":"Roni","non-dropping-particle":"","parse-names":false,"suffix":""},{"dropping-particle":"","family":"Akhyan","given":"Amnur","non-dropping-particle":"","parse-names":false,"suffix":""},{"dropping-particle":"","family":"Wijianto","given":"Agus","non-dropping-particle":"","parse-names":false,"suffix":""},{"dropping-particle":"","family":"Surya Dharma","given":"Dwi","non-dropping-particle":"","parse-names":false,"suffix":""}],"container-title":"JITER-PM (Jurnal Inovasi Terapan - Pengabdian Masyarakat)","id":"ITEM-1","issue":"1","issued":{"date-parts":[["2023"]]},"page":"10-19","title":"Pelatihan Penggunaan Mesin Pengepres Kulit Untuk Alat Musik Kompang","type":"article-journal","volume":"1"},"uris":["http://www.mendeley.com/documents/?uuid=ca619438-eff0-4c9e-a822-06ae5c954a26"]}],"mendeley":{"formattedCitation":"(Novison, Akhyan, Wijianto, &amp; Surya Dharma, 2023)","plainTextFormattedCitation":"(Novison, Akhyan, Wijianto, &amp; Surya Dharma, 2023)","previouslyFormattedCitation":"(Novison, Akhyan, Wijianto, &amp; Surya Dharma, 2023)"},"properties":{"noteIndex":0},"schema":"https://github.com/citation-style-language/schema/raw/master/csl-citation.json"}</w:instrText>
      </w:r>
      <w:r w:rsidRPr="001B01FA">
        <w:rPr>
          <w:b/>
          <w:bCs/>
          <w:sz w:val="24"/>
          <w:szCs w:val="24"/>
        </w:rPr>
        <w:fldChar w:fldCharType="separate"/>
      </w:r>
      <w:r w:rsidRPr="001B01FA">
        <w:rPr>
          <w:bCs/>
          <w:noProof/>
          <w:sz w:val="24"/>
          <w:szCs w:val="24"/>
        </w:rPr>
        <w:t>(Novison, Akhyan, Wijianto, &amp; Surya Dharma, 2023)</w:t>
      </w:r>
      <w:r w:rsidRPr="001B01FA">
        <w:rPr>
          <w:b/>
          <w:bCs/>
          <w:sz w:val="24"/>
          <w:szCs w:val="24"/>
        </w:rPr>
        <w:fldChar w:fldCharType="end"/>
      </w:r>
      <w:r w:rsidRPr="001B01FA">
        <w:rPr>
          <w:b/>
          <w:bCs/>
          <w:sz w:val="24"/>
          <w:szCs w:val="24"/>
        </w:rPr>
        <w:t xml:space="preserve">. </w:t>
      </w:r>
      <w:r w:rsidRPr="001B01FA">
        <w:rPr>
          <w:sz w:val="24"/>
          <w:szCs w:val="24"/>
        </w:rPr>
        <w:t xml:space="preserve">However, in certain areas, such as in </w:t>
      </w:r>
      <w:proofErr w:type="spellStart"/>
      <w:r w:rsidRPr="001B01FA">
        <w:rPr>
          <w:sz w:val="24"/>
          <w:szCs w:val="24"/>
        </w:rPr>
        <w:t>Bengkalis</w:t>
      </w:r>
      <w:proofErr w:type="spellEnd"/>
      <w:r w:rsidRPr="001B01FA">
        <w:rPr>
          <w:sz w:val="24"/>
          <w:szCs w:val="24"/>
        </w:rPr>
        <w:t>, the "</w:t>
      </w:r>
      <w:proofErr w:type="spellStart"/>
      <w:r w:rsidRPr="001B01FA">
        <w:rPr>
          <w:sz w:val="24"/>
          <w:szCs w:val="24"/>
        </w:rPr>
        <w:t>kompang</w:t>
      </w:r>
      <w:proofErr w:type="spellEnd"/>
      <w:r w:rsidRPr="001B01FA">
        <w:rPr>
          <w:sz w:val="24"/>
          <w:szCs w:val="24"/>
        </w:rPr>
        <w:t xml:space="preserve">" game can also be played with attractive movements while reciting the </w:t>
      </w:r>
      <w:proofErr w:type="spellStart"/>
      <w:r w:rsidRPr="001B01FA">
        <w:rPr>
          <w:sz w:val="24"/>
          <w:szCs w:val="24"/>
        </w:rPr>
        <w:t>Barzanji</w:t>
      </w:r>
      <w:proofErr w:type="spellEnd"/>
      <w:r w:rsidRPr="001B01FA">
        <w:rPr>
          <w:sz w:val="24"/>
          <w:szCs w:val="24"/>
        </w:rPr>
        <w:t xml:space="preserve"> book to entertain the audience.</w:t>
      </w:r>
    </w:p>
    <w:p w:rsidR="00967867" w:rsidRDefault="001B01FA" w:rsidP="000671DC">
      <w:pPr>
        <w:shd w:val="clear" w:color="auto" w:fill="FFFFFF"/>
        <w:spacing w:line="360" w:lineRule="auto"/>
        <w:ind w:firstLine="426"/>
        <w:jc w:val="both"/>
        <w:rPr>
          <w:sz w:val="24"/>
          <w:szCs w:val="24"/>
        </w:rPr>
      </w:pPr>
      <w:r w:rsidRPr="001B01FA">
        <w:rPr>
          <w:sz w:val="24"/>
          <w:szCs w:val="24"/>
        </w:rPr>
        <w:t>From a historical perspective, “</w:t>
      </w:r>
      <w:proofErr w:type="spellStart"/>
      <w:r w:rsidRPr="001B01FA">
        <w:rPr>
          <w:sz w:val="24"/>
          <w:szCs w:val="24"/>
        </w:rPr>
        <w:t>kompang</w:t>
      </w:r>
      <w:proofErr w:type="spellEnd"/>
      <w:r w:rsidRPr="001B01FA">
        <w:rPr>
          <w:sz w:val="24"/>
          <w:szCs w:val="24"/>
        </w:rPr>
        <w:t xml:space="preserve">” has a close relationship with Malay and Islamic art. This is because the </w:t>
      </w:r>
      <w:r w:rsidRPr="001B01FA">
        <w:rPr>
          <w:sz w:val="24"/>
          <w:szCs w:val="24"/>
        </w:rPr>
        <w:t>"</w:t>
      </w:r>
      <w:proofErr w:type="spellStart"/>
      <w:r w:rsidRPr="001B01FA">
        <w:rPr>
          <w:sz w:val="24"/>
          <w:szCs w:val="24"/>
        </w:rPr>
        <w:t>kompang</w:t>
      </w:r>
      <w:proofErr w:type="spellEnd"/>
      <w:r w:rsidRPr="001B01FA">
        <w:rPr>
          <w:sz w:val="24"/>
          <w:szCs w:val="24"/>
        </w:rPr>
        <w:t xml:space="preserve">" itself is part of the </w:t>
      </w:r>
      <w:proofErr w:type="spellStart"/>
      <w:r w:rsidRPr="001B01FA">
        <w:rPr>
          <w:sz w:val="24"/>
          <w:szCs w:val="24"/>
        </w:rPr>
        <w:t>hadrah</w:t>
      </w:r>
      <w:proofErr w:type="spellEnd"/>
      <w:r w:rsidRPr="001B01FA">
        <w:rPr>
          <w:sz w:val="24"/>
          <w:szCs w:val="24"/>
        </w:rPr>
        <w:t xml:space="preserve"> art acculturated by the Malay Islamic community</w:t>
      </w:r>
      <w:r w:rsidRPr="001B01FA">
        <w:rPr>
          <w:b/>
          <w:bCs/>
          <w:sz w:val="24"/>
          <w:szCs w:val="24"/>
        </w:rPr>
        <w:t xml:space="preserve"> </w:t>
      </w:r>
      <w:r w:rsidRPr="001B01FA">
        <w:rPr>
          <w:b/>
          <w:bCs/>
          <w:sz w:val="24"/>
          <w:szCs w:val="24"/>
        </w:rPr>
        <w:fldChar w:fldCharType="begin" w:fldLock="1"/>
      </w:r>
      <w:r w:rsidRPr="001B01FA">
        <w:rPr>
          <w:b/>
          <w:bCs/>
          <w:sz w:val="24"/>
          <w:szCs w:val="24"/>
        </w:rPr>
        <w:instrText>ADDIN CSL_CITATION {"citationItems":[{"id":"ITEM-1","itemData":{"DOI":"10.22437/krinok.v1i3.22669","abstract":"Kesenian Kompangan merupakan kesenian yang terpengaruh dari kebudayaan Islam Melayu di Provinsi Jambi. Kesenian hadrah yang di akulturasi oleh masyarakat Melayu Jambi. Sehingga menciptakan kesenian Kompangan di Provinsi Jambi. Persebaran kesenian kompangan di Provinsi Jambi tersebar luas. Kesenian Kompangan ini masih di gunakan hingga sekarang pada acara keagamaan serta penyambutan tamu. Tujuan penulisan ini adalah mengungkapkan salah satu kebudayaan Islam Melayu di Provinsi Jambi yaitu Kesenian Kompangan. Metode yang digunakan yaitu penelitian sejarah dengan pendekatan studi pustaka dengan menggunakan metode (1) heuristik, (2) kritik sumber, (3) analisis dan interpretasi, (4) historiografi. Hasil dari penelitian meliputi hakikat kesenian Kompangan, ciri khas kesenian Kompangan Melayu Jambi, serta kesenian Kompangan sebagai kebudayaan islam Melayu di Provinsi Jambi","author":[{"dropping-particle":"","family":"Anugrahi","given":"Sania Riza","non-dropping-particle":"","parse-names":false,"suffix":""}],"container-title":"Krinok: Jurnal Pendidikan Sejarah dan Sejarah","id":"ITEM-1","issue":"3","issued":{"date-parts":[["2022"]]},"page":"191-201","title":"Kesenian Kompangan Sebagai Kebudayaan Islam Melayu Di Provinsi Jambi","type":"article-journal","volume":"1"},"uris":["http://www.mendeley.com/documents/?uuid=b3b20e61-9927-49cb-b94c-17738c5007f1"]}],"mendeley":{"formattedCitation":"(Anugrahi, 2022)","plainTextFormattedCitation":"(Anugrahi, 2022)","previouslyFormattedCitation":"(Anugrahi, 2022)"},"properties":{"noteIndex":0},"schema":"https://github.com/citation-style-language/schema/raw/master/csl-citation.json"}</w:instrText>
      </w:r>
      <w:r w:rsidRPr="001B01FA">
        <w:rPr>
          <w:b/>
          <w:bCs/>
          <w:sz w:val="24"/>
          <w:szCs w:val="24"/>
        </w:rPr>
        <w:fldChar w:fldCharType="separate"/>
      </w:r>
      <w:r w:rsidRPr="001B01FA">
        <w:rPr>
          <w:bCs/>
          <w:noProof/>
          <w:sz w:val="24"/>
          <w:szCs w:val="24"/>
        </w:rPr>
        <w:t>(Anugrahi, 2022)</w:t>
      </w:r>
      <w:r w:rsidRPr="001B01FA">
        <w:rPr>
          <w:b/>
          <w:bCs/>
          <w:sz w:val="24"/>
          <w:szCs w:val="24"/>
        </w:rPr>
        <w:fldChar w:fldCharType="end"/>
      </w:r>
      <w:r w:rsidRPr="001B01FA">
        <w:rPr>
          <w:b/>
          <w:bCs/>
          <w:sz w:val="24"/>
          <w:szCs w:val="24"/>
        </w:rPr>
        <w:t xml:space="preserve">. </w:t>
      </w:r>
      <w:r w:rsidRPr="001B01FA">
        <w:rPr>
          <w:sz w:val="24"/>
          <w:szCs w:val="24"/>
        </w:rPr>
        <w:t>He further said that the relationship between Malay and Islam in "</w:t>
      </w:r>
      <w:proofErr w:type="spellStart"/>
      <w:r w:rsidRPr="001B01FA">
        <w:rPr>
          <w:sz w:val="24"/>
          <w:szCs w:val="24"/>
        </w:rPr>
        <w:t>kompang</w:t>
      </w:r>
      <w:proofErr w:type="spellEnd"/>
      <w:r w:rsidRPr="001B01FA">
        <w:rPr>
          <w:sz w:val="24"/>
          <w:szCs w:val="24"/>
        </w:rPr>
        <w:t xml:space="preserve">" art can be seen from the use of several elements of Malay culture in playing this musical instrument, such as </w:t>
      </w:r>
      <w:proofErr w:type="spellStart"/>
      <w:r w:rsidRPr="001B01FA">
        <w:rPr>
          <w:sz w:val="24"/>
          <w:szCs w:val="24"/>
        </w:rPr>
        <w:t>Teluk</w:t>
      </w:r>
      <w:proofErr w:type="spellEnd"/>
      <w:r w:rsidRPr="001B01FA">
        <w:rPr>
          <w:sz w:val="24"/>
          <w:szCs w:val="24"/>
        </w:rPr>
        <w:t xml:space="preserve"> </w:t>
      </w:r>
      <w:proofErr w:type="spellStart"/>
      <w:r w:rsidRPr="001B01FA">
        <w:rPr>
          <w:sz w:val="24"/>
          <w:szCs w:val="24"/>
        </w:rPr>
        <w:t>Belango</w:t>
      </w:r>
      <w:proofErr w:type="spellEnd"/>
      <w:r w:rsidRPr="001B01FA">
        <w:rPr>
          <w:sz w:val="24"/>
          <w:szCs w:val="24"/>
        </w:rPr>
        <w:t xml:space="preserve"> clothes, "</w:t>
      </w:r>
      <w:proofErr w:type="spellStart"/>
      <w:r w:rsidRPr="001B01FA">
        <w:rPr>
          <w:sz w:val="24"/>
          <w:szCs w:val="24"/>
        </w:rPr>
        <w:t>songket</w:t>
      </w:r>
      <w:proofErr w:type="spellEnd"/>
      <w:r w:rsidRPr="001B01FA">
        <w:rPr>
          <w:sz w:val="24"/>
          <w:szCs w:val="24"/>
        </w:rPr>
        <w:t>" cloth or sarongs and chanting "</w:t>
      </w:r>
      <w:proofErr w:type="spellStart"/>
      <w:r w:rsidRPr="001B01FA">
        <w:rPr>
          <w:sz w:val="24"/>
          <w:szCs w:val="24"/>
        </w:rPr>
        <w:t>sholawat</w:t>
      </w:r>
      <w:proofErr w:type="spellEnd"/>
      <w:r w:rsidRPr="001B01FA">
        <w:rPr>
          <w:sz w:val="24"/>
          <w:szCs w:val="24"/>
        </w:rPr>
        <w:t xml:space="preserve">" </w:t>
      </w:r>
      <w:r w:rsidRPr="001B01FA">
        <w:rPr>
          <w:sz w:val="24"/>
          <w:szCs w:val="24"/>
        </w:rPr>
        <w:fldChar w:fldCharType="begin" w:fldLock="1"/>
      </w:r>
      <w:r w:rsidRPr="001B01FA">
        <w:rPr>
          <w:sz w:val="24"/>
          <w:szCs w:val="24"/>
        </w:rPr>
        <w:instrText>ADDIN CSL_CITATION {"citationItems":[{"id":"ITEM-1","itemData":{"abstract":"Tulisan  ini  adalah  hasil  penelitian  yang  bertujuan  untuk  menjelaskanbentuk  pertunjukan  Kompang  yang  berbeda  dari  Kompang  yang  umumdikenal  di  tengah  masyarakat  Bengkalis,  pertunjukan  Kompang  tersebutdikenal    dengan    sebutan    Kompang    Atraksi.    Di    daerah    Meskom Kecamatan  Bengkalis  Kompang  telah  menjadi  bagian  tak  terpisahkandalam setiap perhelatan perkawinan, perayaan keagamaan, sunatan, serta perhelatan  lainnya.  Kompang  tradisi  lazim  dikenal  sebagai  permainanalat musik Kompang yang dipukul dengan ritme tertentu, diiringi dengannyanyian  dari  kitabberzanjiyaitu    puji-pujian  terhadap  Allah  SWT  danRasulullah    SAW.    Dengan    menggunakan    metode    kualitatif    yangdipadukan dengan teori  bentuk seni pertunjukan  serta teori  fungsi, dapat disimpulkan  bahwa  pertunjukan  Kompang  Atraksi  memadukan  atraksigerak  dengan  pertunjukan  Kompang  tradisional.  Bentuk  baru  ini  dapatditerima  oleh  masyarakat  karena  tetap  mempertahankan  hakikat  daripertunjukan Kompang tradisi baik dari aspek bentuk maupun esensi daripertunjukan,  yaitu  sebagai  bagian  dari  syiar  agama  Islam  dalam  sajianestetis.","author":[{"dropping-particle":"","family":"Ramadona","given":"Yosi","non-dropping-particle":"","parse-names":false,"suffix":""},{"dropping-particle":"","family":"Minawati","given":"Rosta","non-dropping-particle":"","parse-names":false,"suffix":""},{"dropping-particle":"","family":"Nursyirwan","given":"Nursyirwan","non-dropping-particle":"","parse-names":false,"suffix":""}],"container-title":"Bercadik: Jurnal Pengkajian dan Penciptaan Seni","id":"ITEM-1","issue":"2","issued":{"date-parts":[["2014"]]},"page":"1-14","title":"Kompang Atraksi Pada Masyarakat Bengkalis Riau","type":"article-journal","volume":"2"},"uris":["http://www.mendeley.com/documents/?uuid=7848bd2d-f0da-4953-b489-495630f483b0"]}],"mendeley":{"formattedCitation":"(Ramadona et al., 2014)","plainTextFormattedCitation":"(Ramadona et al., 2014)","previouslyFormattedCitation":"(Ramadona et al., 2014)"},"properties":{"noteIndex":0},"schema":"https://github.com/citation-style-language/schema/raw/master/csl-citation.json"}</w:instrText>
      </w:r>
      <w:r w:rsidRPr="001B01FA">
        <w:rPr>
          <w:sz w:val="24"/>
          <w:szCs w:val="24"/>
        </w:rPr>
        <w:fldChar w:fldCharType="separate"/>
      </w:r>
      <w:r w:rsidRPr="001B01FA">
        <w:rPr>
          <w:noProof/>
          <w:sz w:val="24"/>
          <w:szCs w:val="24"/>
        </w:rPr>
        <w:t>(Ramadona et al., 2014)</w:t>
      </w:r>
      <w:r w:rsidRPr="001B01FA">
        <w:rPr>
          <w:sz w:val="24"/>
          <w:szCs w:val="24"/>
        </w:rPr>
        <w:fldChar w:fldCharType="end"/>
      </w:r>
      <w:r w:rsidRPr="001B01FA">
        <w:rPr>
          <w:sz w:val="24"/>
          <w:szCs w:val="24"/>
        </w:rPr>
        <w:t xml:space="preserve">, such as the </w:t>
      </w:r>
      <w:proofErr w:type="spellStart"/>
      <w:r w:rsidRPr="001B01FA">
        <w:rPr>
          <w:sz w:val="24"/>
          <w:szCs w:val="24"/>
        </w:rPr>
        <w:t>Badar</w:t>
      </w:r>
      <w:proofErr w:type="spellEnd"/>
      <w:r w:rsidRPr="001B01FA">
        <w:rPr>
          <w:sz w:val="24"/>
          <w:szCs w:val="24"/>
        </w:rPr>
        <w:t xml:space="preserve">, the recitation of the pillars of Islam, including other songs with an Islamic feel </w:t>
      </w:r>
      <w:r w:rsidRPr="001B01FA">
        <w:rPr>
          <w:sz w:val="24"/>
          <w:szCs w:val="24"/>
        </w:rPr>
        <w:fldChar w:fldCharType="begin" w:fldLock="1"/>
      </w:r>
      <w:r w:rsidRPr="001B01FA">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kasiwi","given":"Galih","non-dropping-particle":"","parse-names":false,"suffix":""},{"dropping-particle":"","family":"Syeilendra","given":"","non-dropping-particle":"","parse-names":false,"suffix":""},{"dropping-particle":"","family":"Darma, Epria","given":"Irdhan","non-dropping-particle":"","parse-names":false,"suffix":""}],"container-title":"E-jurnal sendratasik","id":"ITEM-1","issue":"2","issued":{"date-parts":[["2018"]]},"page":"62-73","title":"Pelestarian Kesenian Kompang Di Sanggar Seni Tapak Budaya Tanjung Uban Kabupaten Bintan Provinsi Kepulauan Riau","type":"article-journal","volume":"6"},"uris":["http://www.mendeley.com/documents/?uuid=43bed6ba-82f3-49e2-b546-436471e520c7"]}],"mendeley":{"formattedCitation":"(Rakasiwi et al., 2018)","plainTextFormattedCitation":"(Rakasiwi et al., 2018)","previouslyFormattedCitation":"(Rakasiwi et al., 2018)"},"properties":{"noteIndex":0},"schema":"https://github.com/citation-style-language/schema/raw/master/csl-citation.json"}</w:instrText>
      </w:r>
      <w:r w:rsidRPr="001B01FA">
        <w:rPr>
          <w:sz w:val="24"/>
          <w:szCs w:val="24"/>
        </w:rPr>
        <w:fldChar w:fldCharType="separate"/>
      </w:r>
      <w:r w:rsidRPr="001B01FA">
        <w:rPr>
          <w:noProof/>
          <w:sz w:val="24"/>
          <w:szCs w:val="24"/>
        </w:rPr>
        <w:t>(Rakasiwi et al., 2018)</w:t>
      </w:r>
      <w:r w:rsidRPr="001B01FA">
        <w:rPr>
          <w:sz w:val="24"/>
          <w:szCs w:val="24"/>
        </w:rPr>
        <w:fldChar w:fldCharType="end"/>
      </w:r>
      <w:r w:rsidRPr="001B01FA">
        <w:rPr>
          <w:sz w:val="24"/>
          <w:szCs w:val="24"/>
        </w:rPr>
        <w:t>.</w:t>
      </w:r>
    </w:p>
    <w:p w:rsidR="00967867" w:rsidRDefault="00967867" w:rsidP="00967867">
      <w:pPr>
        <w:shd w:val="clear" w:color="auto" w:fill="FFFFFF"/>
        <w:spacing w:line="360" w:lineRule="auto"/>
        <w:jc w:val="both"/>
        <w:rPr>
          <w:sz w:val="24"/>
          <w:szCs w:val="24"/>
        </w:rPr>
      </w:pPr>
      <w:r>
        <w:rPr>
          <w:noProof/>
        </w:rPr>
        <w:drawing>
          <wp:inline distT="0" distB="0" distL="0" distR="0" wp14:anchorId="11CF43C9" wp14:editId="5768321D">
            <wp:extent cx="2700655" cy="1595992"/>
            <wp:effectExtent l="0" t="0" r="444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655" cy="1595992"/>
                    </a:xfrm>
                    <a:prstGeom prst="rect">
                      <a:avLst/>
                    </a:prstGeom>
                  </pic:spPr>
                </pic:pic>
              </a:graphicData>
            </a:graphic>
          </wp:inline>
        </w:drawing>
      </w:r>
    </w:p>
    <w:p w:rsidR="00967867" w:rsidRPr="00967867" w:rsidRDefault="00967867" w:rsidP="00967867">
      <w:pPr>
        <w:tabs>
          <w:tab w:val="left" w:pos="1067"/>
        </w:tabs>
        <w:jc w:val="both"/>
        <w:rPr>
          <w:rFonts w:ascii="Arial" w:hAnsi="Arial" w:cs="Arial"/>
          <w:b/>
          <w:bCs/>
          <w:color w:val="000000" w:themeColor="text1"/>
          <w:sz w:val="22"/>
          <w:szCs w:val="22"/>
          <w:shd w:val="clear" w:color="auto" w:fill="FFFFFF"/>
        </w:rPr>
      </w:pPr>
      <w:r w:rsidRPr="00967867">
        <w:rPr>
          <w:rFonts w:ascii="Arial" w:hAnsi="Arial" w:cs="Arial"/>
          <w:b/>
          <w:bCs/>
          <w:color w:val="000000" w:themeColor="text1"/>
          <w:sz w:val="22"/>
          <w:szCs w:val="22"/>
          <w:shd w:val="clear" w:color="auto" w:fill="FFFFFF"/>
        </w:rPr>
        <w:t>Figure 5 Traditional music performance playing a Malay traditional musical instrument called “</w:t>
      </w:r>
      <w:proofErr w:type="spellStart"/>
      <w:r w:rsidRPr="00967867">
        <w:rPr>
          <w:rFonts w:ascii="Arial" w:hAnsi="Arial" w:cs="Arial"/>
          <w:b/>
          <w:bCs/>
          <w:color w:val="000000" w:themeColor="text1"/>
          <w:sz w:val="22"/>
          <w:szCs w:val="22"/>
          <w:shd w:val="clear" w:color="auto" w:fill="FFFFFF"/>
        </w:rPr>
        <w:t>kompang</w:t>
      </w:r>
      <w:proofErr w:type="spellEnd"/>
      <w:r w:rsidRPr="00967867">
        <w:rPr>
          <w:rFonts w:ascii="Arial" w:hAnsi="Arial" w:cs="Arial"/>
          <w:b/>
          <w:bCs/>
          <w:color w:val="000000" w:themeColor="text1"/>
          <w:sz w:val="22"/>
          <w:szCs w:val="22"/>
          <w:shd w:val="clear" w:color="auto" w:fill="FFFFFF"/>
        </w:rPr>
        <w:t>”</w:t>
      </w:r>
    </w:p>
    <w:p w:rsidR="00967867" w:rsidRPr="001B01FA" w:rsidRDefault="00967867" w:rsidP="00967867">
      <w:pPr>
        <w:shd w:val="clear" w:color="auto" w:fill="FFFFFF"/>
        <w:spacing w:line="360" w:lineRule="auto"/>
        <w:jc w:val="both"/>
        <w:rPr>
          <w:sz w:val="24"/>
          <w:szCs w:val="24"/>
        </w:rPr>
      </w:pP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 xml:space="preserve">Viewed from a semiotic point of view, the appearance of signs depicting “company" and a group of people playing these musical instruments (see Figure 4) can be understood in several approaches. </w:t>
      </w:r>
      <w:r w:rsidRPr="001B01FA">
        <w:rPr>
          <w:i/>
          <w:iCs/>
          <w:color w:val="000000" w:themeColor="text1"/>
          <w:sz w:val="24"/>
          <w:szCs w:val="24"/>
          <w:shd w:val="clear" w:color="auto" w:fill="FFFFFF"/>
        </w:rPr>
        <w:t>First</w:t>
      </w:r>
      <w:r w:rsidRPr="001B01FA">
        <w:rPr>
          <w:color w:val="000000" w:themeColor="text1"/>
          <w:sz w:val="24"/>
          <w:szCs w:val="24"/>
          <w:shd w:val="clear" w:color="auto" w:fill="FFFFFF"/>
        </w:rPr>
        <w:t>, it is an indexical sign. As explained in the previous section, the “company" is not a musical instrument originating from Malay culture, as it comes from the traditions of Arab society.</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 xml:space="preserve">However, nowadays, this musical instrument is very close to the life of </w:t>
      </w:r>
      <w:r w:rsidRPr="001B01FA">
        <w:rPr>
          <w:color w:val="000000" w:themeColor="text1"/>
          <w:sz w:val="24"/>
          <w:szCs w:val="24"/>
          <w:shd w:val="clear" w:color="auto" w:fill="FFFFFF"/>
        </w:rPr>
        <w:lastRenderedPageBreak/>
        <w:t>traditional Malay society. It has been</w:t>
      </w:r>
      <w:r w:rsidRPr="00E67780">
        <w:rPr>
          <w:rFonts w:ascii="Arial" w:hAnsi="Arial" w:cs="Arial"/>
          <w:color w:val="000000" w:themeColor="text1"/>
          <w:sz w:val="22"/>
          <w:szCs w:val="22"/>
          <w:shd w:val="clear" w:color="auto" w:fill="FFFFFF"/>
        </w:rPr>
        <w:t xml:space="preserve"> </w:t>
      </w:r>
      <w:r w:rsidRPr="001B01FA">
        <w:rPr>
          <w:color w:val="000000" w:themeColor="text1"/>
          <w:sz w:val="24"/>
          <w:szCs w:val="24"/>
          <w:shd w:val="clear" w:color="auto" w:fill="FFFFFF"/>
        </w:rPr>
        <w:t>adopted to implement various Malay rituals or traditional events. Even many Malay poems are read accompanied by playing this musical instrument at official local government events, including Malay events or rituals. As a result, many people believe that the musical instrument is part of Malay culture.</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 xml:space="preserve">So, in this context, the sign depicting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xml:space="preserve"> is indexical because it suggests an existential relationship between the signs and the Malay ethnic community. When the sign is distributed on promotional materials for the </w:t>
      </w:r>
      <w:proofErr w:type="spellStart"/>
      <w:r w:rsidRPr="001B01FA">
        <w:rPr>
          <w:color w:val="000000" w:themeColor="text1"/>
          <w:sz w:val="24"/>
          <w:szCs w:val="24"/>
          <w:shd w:val="clear" w:color="auto" w:fill="FFFFFF"/>
        </w:rPr>
        <w:t>Batam</w:t>
      </w:r>
      <w:proofErr w:type="spellEnd"/>
      <w:r w:rsidRPr="001B01FA">
        <w:rPr>
          <w:color w:val="000000" w:themeColor="text1"/>
          <w:sz w:val="24"/>
          <w:szCs w:val="24"/>
          <w:shd w:val="clear" w:color="auto" w:fill="FFFFFF"/>
        </w:rPr>
        <w:t xml:space="preserve"> destination, it is understood as an effort to shape the destination brand as a Malay destination. </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Second, the distribution of these signs can also be seen as symbolic signs. This is by considering several aspects. First,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xml:space="preserve">” is a traditional musical instrument played by the Malay community and other communities, who often use the instrument to accompany religious songs usually performed at various religious events. </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Hence, there is no direct relationship between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xml:space="preserve">” and the </w:t>
      </w:r>
      <w:proofErr w:type="spellStart"/>
      <w:r w:rsidRPr="001B01FA">
        <w:rPr>
          <w:color w:val="000000" w:themeColor="text1"/>
          <w:sz w:val="24"/>
          <w:szCs w:val="24"/>
          <w:shd w:val="clear" w:color="auto" w:fill="FFFFFF"/>
        </w:rPr>
        <w:t>Batam'malay</w:t>
      </w:r>
      <w:proofErr w:type="spellEnd"/>
      <w:r w:rsidRPr="001B01FA">
        <w:rPr>
          <w:color w:val="000000" w:themeColor="text1"/>
          <w:sz w:val="24"/>
          <w:szCs w:val="24"/>
          <w:shd w:val="clear" w:color="auto" w:fill="FFFFFF"/>
        </w:rPr>
        <w:t xml:space="preserve"> community. However, as stated in the previous section,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xml:space="preserve">", historically from the Arab community tradition, has been adopted by the Malay community. At the same time, the Malay ethnic group is one of </w:t>
      </w:r>
      <w:r w:rsidRPr="001B01FA">
        <w:rPr>
          <w:color w:val="000000" w:themeColor="text1"/>
          <w:sz w:val="24"/>
          <w:szCs w:val="24"/>
          <w:shd w:val="clear" w:color="auto" w:fill="FFFFFF"/>
        </w:rPr>
        <w:t xml:space="preserve">the dominant ethnic groups in </w:t>
      </w:r>
      <w:proofErr w:type="spellStart"/>
      <w:r w:rsidRPr="001B01FA">
        <w:rPr>
          <w:color w:val="000000" w:themeColor="text1"/>
          <w:sz w:val="24"/>
          <w:szCs w:val="24"/>
          <w:shd w:val="clear" w:color="auto" w:fill="FFFFFF"/>
        </w:rPr>
        <w:t>Batam</w:t>
      </w:r>
      <w:proofErr w:type="spellEnd"/>
      <w:r w:rsidRPr="001B01FA">
        <w:rPr>
          <w:color w:val="000000" w:themeColor="text1"/>
          <w:sz w:val="24"/>
          <w:szCs w:val="24"/>
          <w:shd w:val="clear" w:color="auto" w:fill="FFFFFF"/>
        </w:rPr>
        <w:t xml:space="preserve"> society. Therefore,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xml:space="preserve">" itself is symbolically interpreted as representing the Malay community of </w:t>
      </w:r>
      <w:proofErr w:type="spellStart"/>
      <w:r w:rsidRPr="001B01FA">
        <w:rPr>
          <w:color w:val="000000" w:themeColor="text1"/>
          <w:sz w:val="24"/>
          <w:szCs w:val="24"/>
          <w:shd w:val="clear" w:color="auto" w:fill="FFFFFF"/>
        </w:rPr>
        <w:t>Batam</w:t>
      </w:r>
      <w:proofErr w:type="spellEnd"/>
      <w:r w:rsidRPr="001B01FA">
        <w:rPr>
          <w:color w:val="000000" w:themeColor="text1"/>
          <w:sz w:val="24"/>
          <w:szCs w:val="24"/>
          <w:shd w:val="clear" w:color="auto" w:fill="FFFFFF"/>
        </w:rPr>
        <w:t>. On the other hand, the local government makes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 one of the markers of its city. This is based on constructing monuments of several traditional Malay musical instruments, including “</w:t>
      </w:r>
      <w:proofErr w:type="spellStart"/>
      <w:r w:rsidRPr="001B01FA">
        <w:rPr>
          <w:color w:val="000000" w:themeColor="text1"/>
          <w:sz w:val="24"/>
          <w:szCs w:val="24"/>
          <w:shd w:val="clear" w:color="auto" w:fill="FFFFFF"/>
        </w:rPr>
        <w:t>kompang</w:t>
      </w:r>
      <w:proofErr w:type="spellEnd"/>
      <w:r w:rsidRPr="001B01FA">
        <w:rPr>
          <w:color w:val="000000" w:themeColor="text1"/>
          <w:sz w:val="24"/>
          <w:szCs w:val="24"/>
          <w:shd w:val="clear" w:color="auto" w:fill="FFFFFF"/>
        </w:rPr>
        <w:t>”.</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 xml:space="preserve">Finally, After being analyzed by applying </w:t>
      </w:r>
      <w:proofErr w:type="spellStart"/>
      <w:r w:rsidRPr="001B01FA">
        <w:rPr>
          <w:color w:val="000000" w:themeColor="text1"/>
          <w:sz w:val="24"/>
          <w:szCs w:val="24"/>
          <w:shd w:val="clear" w:color="auto" w:fill="FFFFFF"/>
        </w:rPr>
        <w:t>Pairce's</w:t>
      </w:r>
      <w:proofErr w:type="spellEnd"/>
      <w:r w:rsidRPr="001B01FA">
        <w:rPr>
          <w:color w:val="000000" w:themeColor="text1"/>
          <w:sz w:val="24"/>
          <w:szCs w:val="24"/>
          <w:shd w:val="clear" w:color="auto" w:fill="FFFFFF"/>
        </w:rPr>
        <w:t xml:space="preserve"> semiotic triangle, all the signs that appear in the research data are interpreted using the authenticity theory framework developed by Cohen (2007). According to him, the concept of authenticity has been matched to several other concepts by experts, including origins, creativity, and genuineness.</w:t>
      </w:r>
    </w:p>
    <w:p w:rsidR="001B01FA" w:rsidRPr="001B01FA" w:rsidRDefault="001B01FA" w:rsidP="000671DC">
      <w:pPr>
        <w:spacing w:line="360" w:lineRule="auto"/>
        <w:ind w:firstLine="426"/>
        <w:jc w:val="both"/>
        <w:rPr>
          <w:color w:val="000000" w:themeColor="text1"/>
          <w:sz w:val="24"/>
          <w:szCs w:val="24"/>
          <w:shd w:val="clear" w:color="auto" w:fill="FFFFFF"/>
        </w:rPr>
      </w:pPr>
      <w:r w:rsidRPr="001B01FA">
        <w:rPr>
          <w:color w:val="000000" w:themeColor="text1"/>
          <w:sz w:val="24"/>
          <w:szCs w:val="24"/>
          <w:shd w:val="clear" w:color="auto" w:fill="FFFFFF"/>
        </w:rPr>
        <w:t>Practices, ancient or traditional ways of local communities, including customs, are part of the concept of authenticity in the dimension of origins (Cohen, 2007). Referring to this theory, figure 3, especially the part that highlights the practice of "</w:t>
      </w:r>
      <w:proofErr w:type="spellStart"/>
      <w:r w:rsidRPr="001B01FA">
        <w:rPr>
          <w:color w:val="000000" w:themeColor="text1"/>
          <w:sz w:val="24"/>
          <w:szCs w:val="24"/>
          <w:shd w:val="clear" w:color="auto" w:fill="FFFFFF"/>
        </w:rPr>
        <w:t>kenduri</w:t>
      </w:r>
      <w:proofErr w:type="spellEnd"/>
      <w:r w:rsidRPr="001B01FA">
        <w:rPr>
          <w:color w:val="000000" w:themeColor="text1"/>
          <w:sz w:val="24"/>
          <w:szCs w:val="24"/>
          <w:shd w:val="clear" w:color="auto" w:fill="FFFFFF"/>
        </w:rPr>
        <w:t>" by a group of people, suggests the authenticity in the dimension of "origins". This is because "</w:t>
      </w:r>
      <w:proofErr w:type="spellStart"/>
      <w:r w:rsidRPr="001B01FA">
        <w:rPr>
          <w:color w:val="000000" w:themeColor="text1"/>
          <w:sz w:val="24"/>
          <w:szCs w:val="24"/>
          <w:shd w:val="clear" w:color="auto" w:fill="FFFFFF"/>
        </w:rPr>
        <w:t>kenduri</w:t>
      </w:r>
      <w:proofErr w:type="spellEnd"/>
      <w:r w:rsidRPr="001B01FA">
        <w:rPr>
          <w:color w:val="000000" w:themeColor="text1"/>
          <w:sz w:val="24"/>
          <w:szCs w:val="24"/>
          <w:shd w:val="clear" w:color="auto" w:fill="FFFFFF"/>
        </w:rPr>
        <w:t>" is a traditional Malay practice for certain celebrations or rituals. The impression of authenticity is further strengthened by the depiction of Malay</w:t>
      </w:r>
      <w:r w:rsidRPr="002D73AE">
        <w:rPr>
          <w:rFonts w:ascii="Arial" w:hAnsi="Arial" w:cs="Arial"/>
          <w:color w:val="000000" w:themeColor="text1"/>
          <w:sz w:val="22"/>
          <w:szCs w:val="22"/>
          <w:shd w:val="clear" w:color="auto" w:fill="FFFFFF"/>
        </w:rPr>
        <w:t xml:space="preserve"> </w:t>
      </w:r>
      <w:r w:rsidRPr="001B01FA">
        <w:rPr>
          <w:color w:val="000000" w:themeColor="text1"/>
          <w:sz w:val="24"/>
          <w:szCs w:val="24"/>
          <w:shd w:val="clear" w:color="auto" w:fill="FFFFFF"/>
        </w:rPr>
        <w:t>costumes and various traditional Malay musical instruments played by the artists (see Figure 3).</w:t>
      </w:r>
    </w:p>
    <w:p w:rsidR="001B01FA" w:rsidRPr="001B01FA" w:rsidRDefault="001B01FA" w:rsidP="000671DC">
      <w:pPr>
        <w:spacing w:line="360" w:lineRule="auto"/>
        <w:ind w:firstLine="426"/>
        <w:jc w:val="both"/>
        <w:rPr>
          <w:sz w:val="24"/>
          <w:szCs w:val="24"/>
        </w:rPr>
      </w:pPr>
      <w:r w:rsidRPr="001B01FA">
        <w:rPr>
          <w:sz w:val="24"/>
          <w:szCs w:val="24"/>
        </w:rPr>
        <w:lastRenderedPageBreak/>
        <w:t>Then, the depiction of the “</w:t>
      </w:r>
      <w:proofErr w:type="spellStart"/>
      <w:r w:rsidRPr="001B01FA">
        <w:rPr>
          <w:sz w:val="24"/>
          <w:szCs w:val="24"/>
        </w:rPr>
        <w:t>gasing</w:t>
      </w:r>
      <w:proofErr w:type="spellEnd"/>
      <w:r w:rsidRPr="001B01FA">
        <w:rPr>
          <w:sz w:val="24"/>
          <w:szCs w:val="24"/>
        </w:rPr>
        <w:t>” game (picture 1), the performances of Malay dances at the event of “</w:t>
      </w:r>
      <w:proofErr w:type="spellStart"/>
      <w:r w:rsidRPr="001B01FA">
        <w:rPr>
          <w:sz w:val="24"/>
          <w:szCs w:val="24"/>
        </w:rPr>
        <w:t>kenduri</w:t>
      </w:r>
      <w:proofErr w:type="spellEnd"/>
      <w:r w:rsidRPr="001B01FA">
        <w:rPr>
          <w:sz w:val="24"/>
          <w:szCs w:val="24"/>
        </w:rPr>
        <w:t>” (picture 3) and the “</w:t>
      </w:r>
      <w:proofErr w:type="spellStart"/>
      <w:r w:rsidRPr="001B01FA">
        <w:rPr>
          <w:sz w:val="24"/>
          <w:szCs w:val="24"/>
        </w:rPr>
        <w:t>kompang</w:t>
      </w:r>
      <w:proofErr w:type="spellEnd"/>
      <w:r w:rsidRPr="001B01FA">
        <w:rPr>
          <w:sz w:val="24"/>
          <w:szCs w:val="24"/>
        </w:rPr>
        <w:t xml:space="preserve">” dance (picture 5) are local DMO strategies to create </w:t>
      </w:r>
      <w:proofErr w:type="spellStart"/>
      <w:r w:rsidRPr="001B01FA">
        <w:rPr>
          <w:sz w:val="24"/>
          <w:szCs w:val="24"/>
        </w:rPr>
        <w:t>Batam</w:t>
      </w:r>
      <w:proofErr w:type="spellEnd"/>
      <w:r w:rsidRPr="001B01FA">
        <w:rPr>
          <w:sz w:val="24"/>
          <w:szCs w:val="24"/>
        </w:rPr>
        <w:t xml:space="preserve"> city as an authentic Malay destination in the dimension of creativity. Since those three data highlight local artists who are displaying their Malay artworks. In the context of tourism, authenticity is created through the creativity of artists in producing culture, and this creativity is displayed in various forms, such as dance performances, music, and other works of art </w:t>
      </w:r>
      <w:r w:rsidRPr="001B01FA">
        <w:rPr>
          <w:sz w:val="24"/>
          <w:szCs w:val="24"/>
        </w:rPr>
        <w:fldChar w:fldCharType="begin" w:fldLock="1"/>
      </w:r>
      <w:r w:rsidRPr="001B01FA">
        <w:rPr>
          <w:sz w:val="24"/>
          <w:szCs w:val="24"/>
        </w:rPr>
        <w:instrText>ADDIN CSL_CITATION {"citationItems":[{"id":"ITEM-1","itemData":{"DOI":"10.1016/0160-7383(96)00020-5","ISSN":"01607383","abstract":"Despite shifts in scale and context, dance performance in tourism settings, unlike some other artistic expressions, remains \"authentic\" and creative. Possible explanations for this include the manner in which \"authentic\" and \"creative\" are defined, the unique properties of dance as expressive behavior, and the particular politico-economic situation of different settings. The data used for this study are cross-cultural, assessing Native American, Oceanic, Caribbean, and African studies of dance performance, primarily those collected during fieldwork in Haiti and Cuba. The analysis is interpretive, based on cultural framing and examination of dance behavior and its affect. Copyright © 1996 Elsevier Science Ltd.","author":[{"dropping-particle":"","family":"Daniel","given":"Yvonne Payne","non-dropping-particle":"","parse-names":false,"suffix":""}],"container-title":"Annals of Tourism Research","id":"ITEM-1","issue":"4","issued":{"date-parts":[["1996"]]},"page":"780-797","title":"Tourism Dance Performances Authenticity and Creativity","type":"article-journal","volume":"23"},"uris":["http://www.mendeley.com/documents/?uuid=b1540d07-5899-465e-8f4b-cf7c32ecf583"]}],"mendeley":{"formattedCitation":"(Daniel, 1996)","plainTextFormattedCitation":"(Daniel, 1996)","previouslyFormattedCitation":"(Daniel, 1996)"},"properties":{"noteIndex":0},"schema":"https://github.com/citation-style-language/schema/raw/master/csl-citation.json"}</w:instrText>
      </w:r>
      <w:r w:rsidRPr="001B01FA">
        <w:rPr>
          <w:sz w:val="24"/>
          <w:szCs w:val="24"/>
        </w:rPr>
        <w:fldChar w:fldCharType="separate"/>
      </w:r>
      <w:r w:rsidRPr="001B01FA">
        <w:rPr>
          <w:noProof/>
          <w:sz w:val="24"/>
          <w:szCs w:val="24"/>
        </w:rPr>
        <w:t>(Daniel, 1996)</w:t>
      </w:r>
      <w:r w:rsidRPr="001B01FA">
        <w:rPr>
          <w:sz w:val="24"/>
          <w:szCs w:val="24"/>
        </w:rPr>
        <w:fldChar w:fldCharType="end"/>
      </w:r>
      <w:r w:rsidRPr="001B01FA">
        <w:rPr>
          <w:sz w:val="24"/>
          <w:szCs w:val="24"/>
        </w:rPr>
        <w:t>.</w:t>
      </w:r>
    </w:p>
    <w:p w:rsidR="001B01FA" w:rsidRDefault="001B01FA" w:rsidP="000671DC">
      <w:pPr>
        <w:spacing w:line="360" w:lineRule="auto"/>
        <w:ind w:firstLine="426"/>
        <w:jc w:val="both"/>
        <w:rPr>
          <w:sz w:val="24"/>
          <w:szCs w:val="24"/>
        </w:rPr>
      </w:pPr>
      <w:r w:rsidRPr="001B01FA">
        <w:rPr>
          <w:sz w:val="24"/>
          <w:szCs w:val="24"/>
        </w:rPr>
        <w:t xml:space="preserve">Lastly, genuineness is another dimension of authenticity in tourism. According to Theobald (1998), authenticity in this dimension is constructed by associating an object with a projected destination </w:t>
      </w:r>
      <w:r w:rsidRPr="001B01FA">
        <w:rPr>
          <w:sz w:val="24"/>
          <w:szCs w:val="24"/>
        </w:rPr>
        <w:fldChar w:fldCharType="begin" w:fldLock="1"/>
      </w:r>
      <w:r w:rsidRPr="001B01FA">
        <w:rPr>
          <w:sz w:val="24"/>
          <w:szCs w:val="24"/>
        </w:rPr>
        <w:instrText>ADDIN CSL_CITATION {"citationItems":[{"id":"ITEM-1","itemData":{"DOI":"10.1016/j.annals.2005.04.003","ISSN":"01607383","abstract":"The study of tourism has made authenticity a scholarly issue but without even a hint of consensus about what the concept represents. Is it a property of toured objects and events, or a state of mind, or a mode of being toward tourism? Is it objective or experiential, universal or personal, in the eye of the beholder or defined by hosts or marketers? This paper explores all these questions by surveying tourism literature. It focuses on object authenticity, a term used for the genuineness of artifacts and events. It concludes that scholars should abandon the concept and the term because there is no common ground as to their existence, meaning, or importance. © 2005 Elsevier Ltd. All rights reserved.","author":[{"dropping-particle":"","family":"Reisinger","given":"Yvette","non-dropping-particle":"","parse-names":false,"suffix":""},{"dropping-particle":"","family":"Steiner","given":"Carol J.","non-dropping-particle":"","parse-names":false,"suffix":""}],"container-title":"Annals of Tourism Research","id":"ITEM-1","issue":"1","issued":{"date-parts":[["2006"]]},"page":"65-86","title":"Reconceptualizing object authenticity","type":"article-journal","volume":"33"},"uris":["http://www.mendeley.com/documents/?uuid=5aae4749-349e-4015-af29-4ac7ef69f6c8"]}],"mendeley":{"formattedCitation":"(Reisinger &amp; Steiner, 2006)","plainTextFormattedCitation":"(Reisinger &amp; Steiner, 2006)","previouslyFormattedCitation":"(Reisinger &amp; Steiner, 2006)"},"properties":{"noteIndex":0},"schema":"https://github.com/citation-style-language/schema/raw/master/csl-citation.json"}</w:instrText>
      </w:r>
      <w:r w:rsidRPr="001B01FA">
        <w:rPr>
          <w:sz w:val="24"/>
          <w:szCs w:val="24"/>
        </w:rPr>
        <w:fldChar w:fldCharType="separate"/>
      </w:r>
      <w:r w:rsidRPr="001B01FA">
        <w:rPr>
          <w:noProof/>
          <w:sz w:val="24"/>
          <w:szCs w:val="24"/>
        </w:rPr>
        <w:t>(Reisinger &amp; Steiner, 2006)</w:t>
      </w:r>
      <w:r w:rsidRPr="001B01FA">
        <w:rPr>
          <w:sz w:val="24"/>
          <w:szCs w:val="24"/>
        </w:rPr>
        <w:fldChar w:fldCharType="end"/>
      </w:r>
      <w:r w:rsidRPr="001B01FA">
        <w:rPr>
          <w:sz w:val="24"/>
          <w:szCs w:val="24"/>
        </w:rPr>
        <w:t>. Referring to this theoretical framework, the depiction of a monument that resembles “</w:t>
      </w:r>
      <w:proofErr w:type="spellStart"/>
      <w:r w:rsidRPr="001B01FA">
        <w:rPr>
          <w:sz w:val="24"/>
          <w:szCs w:val="24"/>
        </w:rPr>
        <w:t>gasing</w:t>
      </w:r>
      <w:proofErr w:type="spellEnd"/>
      <w:r w:rsidRPr="001B01FA">
        <w:rPr>
          <w:sz w:val="24"/>
          <w:szCs w:val="24"/>
        </w:rPr>
        <w:t xml:space="preserve">” (figure 2), a sign that resembles “a </w:t>
      </w:r>
      <w:proofErr w:type="spellStart"/>
      <w:r w:rsidRPr="001B01FA">
        <w:rPr>
          <w:sz w:val="24"/>
          <w:szCs w:val="24"/>
        </w:rPr>
        <w:t>tanjak</w:t>
      </w:r>
      <w:proofErr w:type="spellEnd"/>
      <w:r w:rsidRPr="001B01FA">
        <w:rPr>
          <w:sz w:val="24"/>
          <w:szCs w:val="24"/>
        </w:rPr>
        <w:t xml:space="preserve">” (figure 4), and another sign (figure 5) that resembles “a </w:t>
      </w:r>
      <w:proofErr w:type="spellStart"/>
      <w:r w:rsidRPr="001B01FA">
        <w:rPr>
          <w:sz w:val="24"/>
          <w:szCs w:val="24"/>
        </w:rPr>
        <w:t>kompang</w:t>
      </w:r>
      <w:proofErr w:type="spellEnd"/>
      <w:r w:rsidRPr="001B01FA">
        <w:rPr>
          <w:sz w:val="24"/>
          <w:szCs w:val="24"/>
        </w:rPr>
        <w:t xml:space="preserve">” creates an impression that confirms the concept of genuine Malay culture for </w:t>
      </w:r>
      <w:proofErr w:type="spellStart"/>
      <w:r w:rsidRPr="001B01FA">
        <w:rPr>
          <w:sz w:val="24"/>
          <w:szCs w:val="24"/>
        </w:rPr>
        <w:t>Batam</w:t>
      </w:r>
      <w:proofErr w:type="spellEnd"/>
      <w:r w:rsidRPr="001B01FA">
        <w:rPr>
          <w:sz w:val="24"/>
          <w:szCs w:val="24"/>
        </w:rPr>
        <w:t xml:space="preserve"> city destination.</w:t>
      </w:r>
    </w:p>
    <w:p w:rsidR="00967867" w:rsidRPr="001B01FA" w:rsidRDefault="00967867" w:rsidP="00967867">
      <w:pPr>
        <w:spacing w:line="360" w:lineRule="auto"/>
        <w:jc w:val="both"/>
        <w:rPr>
          <w:sz w:val="24"/>
          <w:szCs w:val="24"/>
        </w:rPr>
      </w:pPr>
    </w:p>
    <w:p w:rsidR="001B01FA" w:rsidRPr="001B01FA" w:rsidRDefault="001B01FA" w:rsidP="001B01FA">
      <w:pPr>
        <w:pStyle w:val="NormalWeb"/>
        <w:shd w:val="clear" w:color="auto" w:fill="FFFFFF"/>
        <w:spacing w:before="0" w:beforeAutospacing="0" w:after="150" w:afterAutospacing="0" w:line="360" w:lineRule="auto"/>
        <w:jc w:val="both"/>
        <w:rPr>
          <w:b/>
          <w:bCs/>
          <w:color w:val="000000" w:themeColor="text1"/>
        </w:rPr>
      </w:pPr>
      <w:r w:rsidRPr="001B01FA">
        <w:rPr>
          <w:b/>
          <w:bCs/>
          <w:color w:val="000000" w:themeColor="text1"/>
        </w:rPr>
        <w:t>Discussions</w:t>
      </w:r>
    </w:p>
    <w:p w:rsidR="001B01FA" w:rsidRPr="001B01FA" w:rsidRDefault="001B01FA" w:rsidP="000671DC">
      <w:pPr>
        <w:pStyle w:val="NormalWeb"/>
        <w:shd w:val="clear" w:color="auto" w:fill="FFFFFF"/>
        <w:spacing w:before="0" w:beforeAutospacing="0" w:after="150" w:afterAutospacing="0" w:line="360" w:lineRule="auto"/>
        <w:ind w:firstLine="426"/>
        <w:jc w:val="both"/>
        <w:rPr>
          <w:color w:val="000000" w:themeColor="text1"/>
        </w:rPr>
      </w:pPr>
      <w:r w:rsidRPr="001B01FA">
        <w:rPr>
          <w:color w:val="000000" w:themeColor="text1"/>
        </w:rPr>
        <w:t xml:space="preserve">This study's main findings align with previous studies suggesting that geographical entities, including tourist </w:t>
      </w:r>
      <w:r w:rsidRPr="001B01FA">
        <w:rPr>
          <w:color w:val="000000" w:themeColor="text1"/>
        </w:rPr>
        <w:t xml:space="preserve">destinations, are created through a social process. The products of this creation are indicated by the various cultural meanings attached to the destination </w:t>
      </w:r>
      <w:r w:rsidRPr="001B01FA">
        <w:rPr>
          <w:color w:val="000000" w:themeColor="text1"/>
        </w:rPr>
        <w:fldChar w:fldCharType="begin" w:fldLock="1"/>
      </w:r>
      <w:r w:rsidRPr="001B01FA">
        <w:rPr>
          <w:color w:val="000000" w:themeColor="text1"/>
        </w:rPr>
        <w:instrText>ADDIN CSL_CITATION {"citationItems":[{"id":"ITEM-1","itemData":{"DOI":"10.1080/14616688.2010.494688","author":[{"dropping-particle":"","family":"Su","given":"Xiaobo","non-dropping-particle":"","parse-names":false,"suffix":""}],"id":"ITEM-1","issue":"917396443","issued":{"date-parts":[["2010"]]},"title":"The Imagination of Place and Tourism Consumption : A Case Study of The Imagination of Place and Tourism Consumption : A Case Study of Lijiang Ancient Town , China","type":"article-journal"},"uris":["http://www.mendeley.com/documents/?uuid=2a43ecc6-aed1-4a80-9d57-357583729d8a"]}],"mendeley":{"formattedCitation":"(Su, 2010)","plainTextFormattedCitation":"(Su, 2010)","previouslyFormattedCitation":"(Su, 2010)"},"properties":{"noteIndex":0},"schema":"https://github.com/citation-style-language/schema/raw/master/csl-citation.json"}</w:instrText>
      </w:r>
      <w:r w:rsidRPr="001B01FA">
        <w:rPr>
          <w:color w:val="000000" w:themeColor="text1"/>
        </w:rPr>
        <w:fldChar w:fldCharType="separate"/>
      </w:r>
      <w:r w:rsidRPr="001B01FA">
        <w:rPr>
          <w:noProof/>
          <w:color w:val="000000" w:themeColor="text1"/>
        </w:rPr>
        <w:t>(Su, 2010)</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approach.","author":[{"dropping-particle":"","family":"Shields","given":"R","non-dropping-particle":"","parse-names":false,"suffix":""}],"container-title":"Journal of Chemical Information and Modeling","id":"ITEM-1","issue":"9","issued":{"date-parts":[["1991"]]},"publisher":"Routledge","publisher-place":"London","title":"Places on the Margin. Alternative geographies of Modernity","type":"book","volume":"53"},"uris":["http://www.mendeley.com/documents/?uuid=e35014b9-d30e-4c54-84e3-e7131d21d227"]}],"mendeley":{"formattedCitation":"(Shields, 1991)","plainTextFormattedCitation":"(Shields, 1991)","previouslyFormattedCitation":"(Shields, 1991)"},"properties":{"noteIndex":0},"schema":"https://github.com/citation-style-language/schema/raw/master/csl-citation.json"}</w:instrText>
      </w:r>
      <w:r w:rsidRPr="001B01FA">
        <w:rPr>
          <w:color w:val="000000" w:themeColor="text1"/>
        </w:rPr>
        <w:fldChar w:fldCharType="separate"/>
      </w:r>
      <w:r w:rsidRPr="001B01FA">
        <w:rPr>
          <w:noProof/>
          <w:color w:val="000000" w:themeColor="text1"/>
        </w:rPr>
        <w:t>(Shields, 1991)</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{"citationItems":[{"id":"ITEM-1","itemData":{"abstract":"Few writers have commented on how seaside leisure spaces are socially con- structed, who competes for their use, and how they may change. This paper discusses how these spaces have been identified and partitioned at Durban, South Africa, as new tourist populations discover them. Given the history of ethnic separation and contemporary social and political change in this country, attention is focussed on the extent to which groups retain and express a sense of identity in the construction of leisure spaces. Selected spaces are discussed to illustrate how they may be constructed around notions of cultural identity, the possession of particular skills, or access to scarce spatial and material resources.","author":[{"dropping-particle":"","family":"Preston-whyte","given":"Robert","non-dropping-particle":"","parse-names":false,"suffix":""}],"container-title":"Annals of Tourism Research","id":"ITEM-1","issue":"3","issued":{"date-parts":[["2001"]]},"page":"581-596","title":"Constructed Leisure Space. The Seaside at Durban","type":"article-journal","volume":"28"},"uris":["http://www.mendeley.com/documents/?uuid=a8b43461-8327-4e9b-939c-5894381249f2"]}],"mendeley":{"formattedCitation":"(Preston-whyte, 2001)","plainTextFormattedCitation":"(Preston-whyte, 2001)","previouslyFormattedCitation":"(Preston-whyte, 2001)"},"properties":{"noteIndex":0},"schema":"https://github.com/citation-style-language/schema/raw/master/csl-citation.json"}</w:instrText>
      </w:r>
      <w:r w:rsidRPr="001B01FA">
        <w:rPr>
          <w:color w:val="000000" w:themeColor="text1"/>
        </w:rPr>
        <w:fldChar w:fldCharType="separate"/>
      </w:r>
      <w:r w:rsidRPr="001B01FA">
        <w:rPr>
          <w:noProof/>
          <w:color w:val="000000" w:themeColor="text1"/>
        </w:rPr>
        <w:t>(Preston-whyte, 2001)</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{"citationItems":[{"id":"ITEM-1","itemData":{"author":[{"dropping-particle":"","family":"Ellison","given":"Elizabeth","non-dropping-particle":"","parse-names":false,"suffix":""}],"id":"ITEM-1","issued":{"date-parts":[["2013"]]},"publisher":"Queensland University of Technology","title":"The Australian Beachspace: Flagging The Spaces of Australian Beach Texts","type":"thesis"},"uris":["http://www.mendeley.com/documents/?uuid=0e0bcab9-7634-40ee-8c35-3dec0bf6cb6e"]}],"mendeley":{"formattedCitation":"(Ellison, 2013)","plainTextFormattedCitation":"(Ellison, 2013)","previouslyFormattedCitation":"(Ellison, 2013)"},"properties":{"noteIndex":0},"schema":"https://github.com/citation-style-language/schema/raw/master/csl-citation.json"}</w:instrText>
      </w:r>
      <w:r w:rsidRPr="001B01FA">
        <w:rPr>
          <w:color w:val="000000" w:themeColor="text1"/>
        </w:rPr>
        <w:fldChar w:fldCharType="separate"/>
      </w:r>
      <w:r w:rsidRPr="001B01FA">
        <w:rPr>
          <w:noProof/>
          <w:color w:val="000000" w:themeColor="text1"/>
        </w:rPr>
        <w:t>(Ellison, 2013)</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{"citationItems":[{"id":"ITEM-1","itemData":{"author":[{"dropping-particle":"","family":"Erb","given":"Maribeth","non-dropping-particle":"","parse-names":false,"suffix":""}],"container-title":"Singapore Journal of Tropical Geography","id":"ITEM-1","issue":"2","issued":{"date-parts":[["1998"]]},"page":"177-192","title":"Tourism Space in Manggarai, Western Flores, Indonesia: The House as A Contested Place","type":"article-journal","volume":"19"},"uris":["http://www.mendeley.com/documents/?uuid=be04a6ee-4f25-4fb7-a6f6-7398d04ed0b2"]}],"mendeley":{"formattedCitation":"(Erb, 1998)","plainTextFormattedCitation":"(Erb, 1998)","previouslyFormattedCitation":"(Erb, 1998)"},"properties":{"noteIndex":0},"schema":"https://github.com/citation-style-language/schema/raw/master/csl-citation.json"}</w:instrText>
      </w:r>
      <w:r w:rsidRPr="001B01FA">
        <w:rPr>
          <w:color w:val="000000" w:themeColor="text1"/>
        </w:rPr>
        <w:fldChar w:fldCharType="separate"/>
      </w:r>
      <w:r w:rsidRPr="001B01FA">
        <w:rPr>
          <w:noProof/>
          <w:color w:val="000000" w:themeColor="text1"/>
        </w:rPr>
        <w:t>(Erb, 1998)</w:t>
      </w:r>
      <w:r w:rsidRPr="001B01FA">
        <w:rPr>
          <w:color w:val="000000" w:themeColor="text1"/>
        </w:rPr>
        <w:fldChar w:fldCharType="end"/>
      </w:r>
      <w:r w:rsidRPr="001B01FA">
        <w:rPr>
          <w:color w:val="000000" w:themeColor="text1"/>
        </w:rPr>
        <w:t>.</w:t>
      </w:r>
    </w:p>
    <w:p w:rsidR="001B01FA" w:rsidRPr="001B01FA" w:rsidRDefault="001B01FA" w:rsidP="000671DC">
      <w:pPr>
        <w:pStyle w:val="NormalWeb"/>
        <w:shd w:val="clear" w:color="auto" w:fill="FFFFFF"/>
        <w:spacing w:before="0" w:beforeAutospacing="0" w:after="150" w:afterAutospacing="0" w:line="360" w:lineRule="auto"/>
        <w:ind w:firstLine="426"/>
        <w:jc w:val="both"/>
        <w:rPr>
          <w:color w:val="000000" w:themeColor="text1"/>
        </w:rPr>
      </w:pPr>
      <w:r w:rsidRPr="001B01FA">
        <w:rPr>
          <w:color w:val="000000" w:themeColor="text1"/>
        </w:rPr>
        <w:t xml:space="preserve">In addition, the findings of this study also present scientific evidence showing that the symbolic economy, as conceptualized by </w:t>
      </w:r>
      <w:proofErr w:type="spellStart"/>
      <w:r w:rsidRPr="001B01FA">
        <w:rPr>
          <w:color w:val="000000" w:themeColor="text1"/>
        </w:rPr>
        <w:t>Zukin</w:t>
      </w:r>
      <w:proofErr w:type="spellEnd"/>
      <w:r w:rsidRPr="001B01FA">
        <w:rPr>
          <w:color w:val="000000" w:themeColor="text1"/>
        </w:rPr>
        <w:t xml:space="preserve"> (1995), actually appears in the process of forming the </w:t>
      </w:r>
      <w:proofErr w:type="spellStart"/>
      <w:r w:rsidRPr="001B01FA">
        <w:rPr>
          <w:color w:val="000000" w:themeColor="text1"/>
        </w:rPr>
        <w:t>Batam</w:t>
      </w:r>
      <w:proofErr w:type="spellEnd"/>
      <w:r w:rsidRPr="001B01FA">
        <w:rPr>
          <w:color w:val="000000" w:themeColor="text1"/>
        </w:rPr>
        <w:t xml:space="preserve"> city destination brand. Therefore, the findings of this study also generally support the findings of previous studies </w:t>
      </w:r>
      <w:r w:rsidRPr="001B01FA">
        <w:rPr>
          <w:color w:val="000000" w:themeColor="text1"/>
        </w:rPr>
        <w:fldChar w:fldCharType="begin" w:fldLock="1"/>
      </w:r>
      <w:r w:rsidRPr="001B01FA">
        <w:rPr>
          <w:color w:val="000000" w:themeColor="text1"/>
        </w:rPr>
        <w:instrText>ADDIN CSL_CITATION {"citationItems":[{"id":"ITEM-1","itemData":{"DOI":"10.1016/j.cities.2014.07.001","ISSN":"02642751","abstract":"This article discusses a form of urban tourism branding based on the archetypical form of consumerism: leisure shopping. Commodity fetishism is instrumental not only to increasing mainstream fashion sales but also to rejuvenating and multiplying city images on the global competitive market. Drawing from fieldwork performed in Paris, the article analyses and discusses the strategies developed by key players to promote leisure shopping for urban tourists. It specifically focuses on the actions of public-led tourism marketing organisations. Paris is historically renowned as a capital of style and a commercial metropolis, which can easily be used as a basis to develop urban branding strategies for promoting tourism. However, urban branding based on leisure shopping per se was rarely fostered until recently. Previous theoretic reflections on urban development and consumption - leading to debates on the \"fantasy city\", the \"cultural-creative city\" and \"local shopping streets\" - provide the analytical basis for understanding the promotion of leisure shopping as an urban tourism branding strategy in Paris and the changing relations between urban political economy and consumer capitalism.","author":[{"dropping-particle":"","family":"Rabbiosi","given":"Chiara","non-dropping-particle":"","parse-names":false,"suffix":""}],"container-title":"Cities","id":"ITEM-1","issue":"PB","issued":{"date-parts":[["2015"]]},"page":"195-203","publisher":"Elsevier Ltd","title":"Renewing a historical legacy: Tourism, leisure shopping and urban branding in Paris","type":"article-journal","volume":"42"},"uris":["http://www.mendeley.com/documents/?uuid=14709f68-2c10-40bf-bc1d-7743b1f3b7c5"]}],"mendeley":{"formattedCitation":"(Rabbiosi, 2015)","plainTextFormattedCitation":"(Rabbiosi, 2015)","previouslyFormattedCitation":"(Rabbiosi, 2015)"},"properties":{"noteIndex":0},"schema":"https://github.com/citation-style-language/schema/raw/master/csl-citation.json"}</w:instrText>
      </w:r>
      <w:r w:rsidRPr="001B01FA">
        <w:rPr>
          <w:color w:val="000000" w:themeColor="text1"/>
        </w:rPr>
        <w:fldChar w:fldCharType="separate"/>
      </w:r>
      <w:r w:rsidRPr="001B01FA">
        <w:rPr>
          <w:noProof/>
          <w:color w:val="000000" w:themeColor="text1"/>
        </w:rPr>
        <w:t>(Rabbiosi, 2015)</w:t>
      </w:r>
      <w:r w:rsidRPr="001B01FA">
        <w:rPr>
          <w:color w:val="000000" w:themeColor="text1"/>
        </w:rPr>
        <w:fldChar w:fldCharType="end"/>
      </w:r>
      <w:r w:rsidRPr="001B01FA">
        <w:rPr>
          <w:color w:val="000000" w:themeColor="text1"/>
        </w:rPr>
        <w:t xml:space="preserve"> and </w:t>
      </w:r>
      <w:r w:rsidRPr="001B01FA">
        <w:rPr>
          <w:color w:val="000000" w:themeColor="text1"/>
        </w:rPr>
        <w:fldChar w:fldCharType="begin" w:fldLock="1"/>
      </w:r>
      <w:r w:rsidRPr="001B01FA">
        <w:rPr>
          <w:color w:val="000000" w:themeColor="text1"/>
        </w:rPr>
        <w:instrText>ADDIN CSL_CITATION {"citationItems":[{"id":"ITEM-1","itemData":{"DOI":"10.1080/10350330.2020.1870405","ISSN":"14701219","abstract":"In the digital age, cities around the world are mobilizing various symbolic resources to rebrand their images through social media. Against this background, this study investigates how Xi’an, a second-tier developing city in China, constructs its digitalized urban imaginary using the popular social media platform of TikTok. A semiotic framework is developed to model Xi’an’s urban imaginary as evaluative attributes and to elucidate how they are constructed through linguistic and visual resources in short videos on TikTok. The analysis of 294 videos shows that Xi’an highlights its dual identity as a modern metropolis and a historical city. The modern metropolis image is characterized by the personification of Xi’an as a stylish, young, popular, and international microcelebrity; the historical city image is constructed through recreating the Great Tang dynasty and revitalizing local folk art. The characteristics of city branding discourse reflect China’s wanghong economy, urban policies and the affordances of social media.","author":[{"dropping-particle":"","family":"Wang","given":"Yilei","non-dropping-particle":"","parse-names":false,"suffix":""},{"dropping-particle":"","family":"Feng","given":"Dezheng","non-dropping-particle":"","parse-names":false,"suffix":""}],"container-title":"Social Semiotics","id":"ITEM-1","issue":"0","issued":{"date-parts":[["2021"]]},"page":"1-24","publisher":"Taylor &amp; Francis","title":"History, modernity, and city branding in China: a multimodal critical discourse analysis of Xi’an’s promotional videos on social media","type":"article-journal","volume":"0"},"uris":["http://www.mendeley.com/documents/?uuid=30cf2a09-5bc0-49fb-9183-e69c52ac4f64"]}],"mendeley":{"formattedCitation":"(Wang &amp; Feng, 2021)","plainTextFormattedCitation":"(Wang &amp; Feng, 2021)","previouslyFormattedCitation":"(Wang &amp; Feng, 2021)"},"properties":{"noteIndex":0},"schema":"https://github.com/citation-style-language/schema/raw/master/csl-citation.json"}</w:instrText>
      </w:r>
      <w:r w:rsidRPr="001B01FA">
        <w:rPr>
          <w:color w:val="000000" w:themeColor="text1"/>
        </w:rPr>
        <w:fldChar w:fldCharType="separate"/>
      </w:r>
      <w:r w:rsidRPr="001B01FA">
        <w:rPr>
          <w:noProof/>
          <w:color w:val="000000" w:themeColor="text1"/>
        </w:rPr>
        <w:t>(Wang &amp; Feng, 2021)</w:t>
      </w:r>
      <w:r w:rsidRPr="001B01FA">
        <w:rPr>
          <w:color w:val="000000" w:themeColor="text1"/>
        </w:rPr>
        <w:fldChar w:fldCharType="end"/>
      </w:r>
      <w:r w:rsidRPr="001B01FA">
        <w:rPr>
          <w:color w:val="000000" w:themeColor="text1"/>
        </w:rPr>
        <w:t>.</w:t>
      </w:r>
    </w:p>
    <w:p w:rsidR="001B01FA" w:rsidRPr="001B01FA" w:rsidRDefault="001B01FA" w:rsidP="000671DC">
      <w:pPr>
        <w:pStyle w:val="NormalWeb"/>
        <w:shd w:val="clear" w:color="auto" w:fill="FFFFFF"/>
        <w:spacing w:before="0" w:beforeAutospacing="0" w:after="150" w:afterAutospacing="0" w:line="360" w:lineRule="auto"/>
        <w:ind w:firstLine="426"/>
        <w:jc w:val="both"/>
        <w:rPr>
          <w:color w:val="000000" w:themeColor="text1"/>
        </w:rPr>
      </w:pPr>
      <w:r w:rsidRPr="001B01FA">
        <w:rPr>
          <w:color w:val="000000" w:themeColor="text1"/>
        </w:rPr>
        <w:t xml:space="preserve">However, there are some differences between these studies. In the symbolic economy framework, this study shows that </w:t>
      </w:r>
      <w:proofErr w:type="spellStart"/>
      <w:r w:rsidRPr="001B01FA">
        <w:rPr>
          <w:color w:val="000000" w:themeColor="text1"/>
        </w:rPr>
        <w:t>Batam</w:t>
      </w:r>
      <w:proofErr w:type="spellEnd"/>
      <w:r w:rsidRPr="001B01FA">
        <w:rPr>
          <w:color w:val="000000" w:themeColor="text1"/>
        </w:rPr>
        <w:t xml:space="preserve"> was created as an authentic Malay tourist destination by the local DMO. Meanwhile, </w:t>
      </w:r>
      <w:proofErr w:type="spellStart"/>
      <w:r w:rsidRPr="001B01FA">
        <w:rPr>
          <w:color w:val="000000" w:themeColor="text1"/>
        </w:rPr>
        <w:t>Rabbiosi's</w:t>
      </w:r>
      <w:proofErr w:type="spellEnd"/>
      <w:r w:rsidRPr="001B01FA">
        <w:rPr>
          <w:color w:val="000000" w:themeColor="text1"/>
        </w:rPr>
        <w:t xml:space="preserve"> study (2015) stated that Paris was formed as an international-class shopping recreation center through an urban branding strategy to promote the city's tourism. Meanwhile, two dual identities are attached to the city of Xian, China, for the sake of marketing its tourism, namely the historic city and the metropolis, through video content uploaded to </w:t>
      </w:r>
      <w:proofErr w:type="spellStart"/>
      <w:r w:rsidRPr="001B01FA">
        <w:rPr>
          <w:color w:val="000000" w:themeColor="text1"/>
        </w:rPr>
        <w:t>Tiktok</w:t>
      </w:r>
      <w:proofErr w:type="spellEnd"/>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{"citationItems":[{"id":"ITEM-1","itemData":{"DOI":"10.1080/10350330.2020.1870405","ISSN":"14701219","abstract":"In the digital age, cities around the world are mobilizing various symbolic resources to rebrand their images through social media. Against this background, this study investigates how Xi’an, a second-tier developing city in China, constructs its digitalized urban imaginary using the popular social media platform of TikTok. A semiotic framework is developed to model Xi’an’s urban imaginary as evaluative attributes and to elucidate how they are constructed through linguistic and visual resources in short videos on TikTok. The analysis of 294 videos shows that Xi’an highlights its dual identity as a modern metropolis and a historical city. The modern metropolis image is characterized by the personification of Xi’an as a stylish, young, popular, and international microcelebrity; the historical city image is constructed through recreating the Great Tang dynasty and revitalizing local folk art. The characteristics of city branding discourse reflect China’s wanghong economy, urban policies and the affordances of social media.","author":[{"dropping-particle":"","family":"Wang","given":"Yilei","non-dropping-particle":"","parse-names":false,"suffix":""},{"dropping-particle":"","family":"Feng","given":"Dezheng","non-dropping-particle":"","parse-names":false,"suffix":""}],"container-title":"Social Semiotics","id":"ITEM-1","issue":"0","issued":{"date-parts":[["2021"]]},"page":"1-24","publisher":"Taylor &amp; Francis","title":"History, modernity, and city branding in China: a multimodal critical discourse analysis of Xi’an’s promotional videos on social media","type":"article-journal","volume":"0"},"uris":["http://www.mendeley.com/documents/?uuid=30cf2a09-5bc0-49fb-9183-e69c52ac4f64"]}],"mendeley":{"formattedCitation":"(Wang &amp; Feng, 2021)","plainTextFormattedCitation":"(Wang &amp; Feng, 2021)","previouslyFormattedCitation":"(Wang &amp; Feng, 2021)"},"properties":{"noteIndex":0},"schema":"https://github.com/citation-style-language/schema/raw/master/csl-citation.json"}</w:instrText>
      </w:r>
      <w:r w:rsidRPr="001B01FA">
        <w:rPr>
          <w:color w:val="000000" w:themeColor="text1"/>
        </w:rPr>
        <w:fldChar w:fldCharType="separate"/>
      </w:r>
      <w:r w:rsidRPr="001B01FA">
        <w:rPr>
          <w:noProof/>
          <w:color w:val="000000" w:themeColor="text1"/>
        </w:rPr>
        <w:t>(Wang &amp; Feng, 2021)</w:t>
      </w:r>
      <w:r w:rsidRPr="001B01FA">
        <w:rPr>
          <w:color w:val="000000" w:themeColor="text1"/>
        </w:rPr>
        <w:fldChar w:fldCharType="end"/>
      </w:r>
      <w:r w:rsidRPr="001B01FA">
        <w:rPr>
          <w:color w:val="000000" w:themeColor="text1"/>
        </w:rPr>
        <w:t>.</w:t>
      </w:r>
    </w:p>
    <w:p w:rsidR="001B01FA" w:rsidRPr="001B01FA" w:rsidRDefault="001B01FA" w:rsidP="000671DC">
      <w:pPr>
        <w:pStyle w:val="NormalWeb"/>
        <w:shd w:val="clear" w:color="auto" w:fill="FFFFFF"/>
        <w:spacing w:before="0" w:beforeAutospacing="0" w:after="150" w:afterAutospacing="0" w:line="360" w:lineRule="auto"/>
        <w:ind w:firstLine="426"/>
        <w:jc w:val="both"/>
        <w:rPr>
          <w:color w:val="000000" w:themeColor="text1"/>
        </w:rPr>
      </w:pPr>
      <w:r w:rsidRPr="001B01FA">
        <w:rPr>
          <w:color w:val="000000" w:themeColor="text1"/>
        </w:rPr>
        <w:t xml:space="preserve">Furthermore, scientifically this research proves that to develop the city of </w:t>
      </w:r>
      <w:proofErr w:type="spellStart"/>
      <w:r w:rsidRPr="001B01FA">
        <w:rPr>
          <w:color w:val="000000" w:themeColor="text1"/>
        </w:rPr>
        <w:t>Batam</w:t>
      </w:r>
      <w:proofErr w:type="spellEnd"/>
      <w:r w:rsidRPr="001B01FA">
        <w:rPr>
          <w:color w:val="000000" w:themeColor="text1"/>
        </w:rPr>
        <w:t xml:space="preserve"> as </w:t>
      </w:r>
      <w:r w:rsidRPr="001B01FA">
        <w:rPr>
          <w:color w:val="000000" w:themeColor="text1"/>
        </w:rPr>
        <w:lastRenderedPageBreak/>
        <w:t>an authentic Malay tourist destination, several elements of local Malay culture are exploited to enrich promotional materials for destinations in the city, such as “</w:t>
      </w:r>
      <w:proofErr w:type="spellStart"/>
      <w:r w:rsidRPr="001B01FA">
        <w:rPr>
          <w:color w:val="000000" w:themeColor="text1"/>
        </w:rPr>
        <w:t>gasing</w:t>
      </w:r>
      <w:proofErr w:type="spellEnd"/>
      <w:r w:rsidRPr="001B01FA">
        <w:rPr>
          <w:color w:val="000000" w:themeColor="text1"/>
        </w:rPr>
        <w:t>” and “</w:t>
      </w:r>
      <w:proofErr w:type="spellStart"/>
      <w:r w:rsidRPr="001B01FA">
        <w:rPr>
          <w:color w:val="000000" w:themeColor="text1"/>
        </w:rPr>
        <w:t>gasing</w:t>
      </w:r>
      <w:proofErr w:type="spellEnd"/>
      <w:r w:rsidRPr="001B01FA">
        <w:rPr>
          <w:color w:val="000000" w:themeColor="text1"/>
        </w:rPr>
        <w:t xml:space="preserve">” game performances, “Malay </w:t>
      </w:r>
      <w:proofErr w:type="spellStart"/>
      <w:r w:rsidRPr="001B01FA">
        <w:rPr>
          <w:color w:val="000000" w:themeColor="text1"/>
        </w:rPr>
        <w:t>kenduri</w:t>
      </w:r>
      <w:proofErr w:type="spellEnd"/>
      <w:r w:rsidRPr="001B01FA">
        <w:rPr>
          <w:color w:val="000000" w:themeColor="text1"/>
        </w:rPr>
        <w:t>”, “</w:t>
      </w:r>
      <w:proofErr w:type="spellStart"/>
      <w:r w:rsidRPr="001B01FA">
        <w:rPr>
          <w:color w:val="000000" w:themeColor="text1"/>
        </w:rPr>
        <w:t>tanjak</w:t>
      </w:r>
      <w:proofErr w:type="spellEnd"/>
      <w:r w:rsidRPr="001B01FA">
        <w:rPr>
          <w:color w:val="000000" w:themeColor="text1"/>
        </w:rPr>
        <w:t>”, and “</w:t>
      </w:r>
      <w:proofErr w:type="spellStart"/>
      <w:r w:rsidRPr="001B01FA">
        <w:rPr>
          <w:color w:val="000000" w:themeColor="text1"/>
        </w:rPr>
        <w:t>kompang</w:t>
      </w:r>
      <w:proofErr w:type="spellEnd"/>
      <w:r w:rsidRPr="001B01FA">
        <w:rPr>
          <w:color w:val="000000" w:themeColor="text1"/>
        </w:rPr>
        <w:t>”.</w:t>
      </w:r>
    </w:p>
    <w:p w:rsidR="001B01FA" w:rsidRPr="001B01FA" w:rsidRDefault="001B01FA" w:rsidP="000671DC">
      <w:pPr>
        <w:pStyle w:val="NormalWeb"/>
        <w:shd w:val="clear" w:color="auto" w:fill="FFFFFF"/>
        <w:spacing w:before="0" w:beforeAutospacing="0" w:after="150" w:afterAutospacing="0" w:line="360" w:lineRule="auto"/>
        <w:ind w:firstLine="426"/>
        <w:jc w:val="both"/>
        <w:rPr>
          <w:color w:val="000000" w:themeColor="text1"/>
        </w:rPr>
      </w:pPr>
      <w:r w:rsidRPr="001B01FA">
        <w:rPr>
          <w:color w:val="000000" w:themeColor="text1"/>
        </w:rPr>
        <w:t xml:space="preserve">Viewed through the lens of symbolic economic theory, the existence of Malay cultural elements in the destination's promotional materials is part of this city's commodification. Therefore, various cultural elements are considered only tools for the developers of this city to sell the available destinations to tourists because culture is one of the components in forming the image of a tourist destination </w:t>
      </w:r>
      <w:r w:rsidRPr="001B01FA">
        <w:rPr>
          <w:color w:val="000000" w:themeColor="text1"/>
        </w:rPr>
        <w:fldChar w:fldCharType="begin" w:fldLock="1"/>
      </w:r>
      <w:r w:rsidRPr="001B01FA">
        <w:rPr>
          <w:color w:val="000000" w:themeColor="text1"/>
        </w:rPr>
        <w:instrText>ADDIN CSL_CITATION {"citationItems":[{"id":"ITEM-1","itemData":{"DOI":"10.1002/jtr.2251","ISSN":"15221970","abstract":"Despite the relevance of news articles as autonomous image formation agents, we still have limited understanding of their influence on destination image and the conditions under which such influence occurs. This paper analyses the role of news articles and two moderating conditions—prior destination experience and news involvement—in destination image formation. It shows that the number of news articles individuals read is positively associated with their image of the destination, that news involvement enhances the influence of the news articles on destination image formation, and that this influence holds even after controlling for prior destination experience.","author":[{"dropping-particle":"","family":"Gabbioneta","given":"Claudia","non-dropping-particle":"","parse-names":false,"suffix":""},{"dropping-particle":"","family":"Carlo","given":"Manuela","non-dropping-particle":"De","parse-names":false,"suffix":""}],"container-title":"International Journal of Tourism Research","id":"ITEM-1","issue":"3","issued":{"date-parts":[["2019"]]},"page":"291-301","title":"The role of news articles, prior destination experience, and news involvement in destination image formation","type":"article-journal","volume":"21"},"uris":["http://www.mendeley.com/documents/?uuid=aecf5943-116b-4d03-9f38-7584063dc95b"]}],"mendeley":{"formattedCitation":"(Gabbioneta &amp; De Carlo, 2019)","plainTextFormattedCitation":"(Gabbioneta &amp; De Carlo, 2019)","previouslyFormattedCitation":"(Gabbioneta &amp; De Carlo, 2019)"},"properties":{"noteIndex":0},"schema":"https://github.com/citation-style-language/schema/raw/master/csl-citation.json"}</w:instrText>
      </w:r>
      <w:r w:rsidRPr="001B01FA">
        <w:rPr>
          <w:color w:val="000000" w:themeColor="text1"/>
        </w:rPr>
        <w:fldChar w:fldCharType="separate"/>
      </w:r>
      <w:r w:rsidRPr="001B01FA">
        <w:rPr>
          <w:noProof/>
          <w:color w:val="000000" w:themeColor="text1"/>
        </w:rPr>
        <w:t>(Gabbioneta &amp; De Carlo, 2019)</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{"citationItems":[{"id":"ITEM-1","itemData":{"DOI":"10.3390/su12104092","ISSN":"20711050","abstract":"This research aimed to provide a more informed and systematic basis on which to develop the positioning strategy in social media due to the interactive capacity and influence that social media has in the success of tourist destinations. In particular, we investigated the role of stakeholders. We carried out an exploratory study using a mixed method which included interviews and an analysis of the activity conducted on the official social media accounts (Facebook, Twitter, and Instagram) of the Spanish regions of Andalusia, Catalonia, and Valencia. The findings provide insight into how tourist destinations promote their image through the use of social media. Social media was found to be a strategic platform for enhancing brand image and achieving tourist engagement. Additionally, the role of stakeholders in supporting and facilitating the image destination strategy is worth highlighting. This study shows that the results achieved by social media can be improved by identifying all stakeholders and defining a content generation strategy by integrating and adding value.","author":[{"dropping-particle":"","family":"las Heras-Pedrosa","given":"Carlos","non-dropping-particle":"De","parse-names":false,"suffix":""},{"dropping-particle":"","family":"Millan-Celis","given":"Elena","non-dropping-particle":"","parse-names":false,"suffix":""},{"dropping-particle":"","family":"Iglesias-Sánchez","given":"Patricia P.","non-dropping-particle":"","parse-names":false,"suffix":""},{"dropping-particle":"","family":"Jambrino-Maldonado","given":"Carmen","non-dropping-particle":"","parse-names":false,"suffix":""}],"container-title":"Sustainability (Switzerland)","id":"ITEM-1","issue":"10","issued":{"date-parts":[["2020"]]},"page":"1-27","title":"Importance of social media in the image formation of tourist destinations fromthe stakeholders' perspective","type":"article-journal","volume":"12"},"uris":["http://www.mendeley.com/documents/?uuid=a411b15c-72ea-4869-8ca2-898593af30c5"]}],"mendeley":{"formattedCitation":"(De las Heras-Pedrosa, Millan-Celis, Iglesias-Sánchez, &amp; Jambrino-Maldonado, 2020)","plainTextFormattedCitation":"(De las Heras-Pedrosa, Millan-Celis, Iglesias-Sánchez, &amp; Jambrino-Maldonado, 2020)","previouslyFormattedCitation":"(De las Heras-Pedrosa, Millan-Celis, Iglesias-Sánchez, &amp; Jambrino-Maldonado, 2020)"},"properties":{"noteIndex":0},"schema":"https://github.com/citation-style-language/schema/raw/master/csl-citation.json"}</w:instrText>
      </w:r>
      <w:r w:rsidRPr="001B01FA">
        <w:rPr>
          <w:color w:val="000000" w:themeColor="text1"/>
        </w:rPr>
        <w:fldChar w:fldCharType="separate"/>
      </w:r>
      <w:r w:rsidRPr="001B01FA">
        <w:rPr>
          <w:noProof/>
          <w:color w:val="000000" w:themeColor="text1"/>
        </w:rPr>
        <w:t>(De las Heras-Pedrosa, Millan-Celis, Iglesias-Sánchez, &amp; Jambrino-Maldonado, 2020)</w:t>
      </w:r>
      <w:r w:rsidRPr="001B01FA">
        <w:rPr>
          <w:color w:val="000000" w:themeColor="text1"/>
        </w:rPr>
        <w:fldChar w:fldCharType="end"/>
      </w:r>
      <w:r w:rsidRPr="001B01FA">
        <w:rPr>
          <w:color w:val="000000" w:themeColor="text1"/>
        </w:rPr>
        <w:t>.</w:t>
      </w:r>
    </w:p>
    <w:p w:rsidR="001B01FA" w:rsidRPr="001B01FA" w:rsidRDefault="001B01FA" w:rsidP="000671DC">
      <w:pPr>
        <w:pStyle w:val="NormalWeb"/>
        <w:shd w:val="clear" w:color="auto" w:fill="FFFFFF"/>
        <w:spacing w:before="0" w:beforeAutospacing="0" w:after="150" w:afterAutospacing="0" w:line="360" w:lineRule="auto"/>
        <w:ind w:firstLine="284"/>
        <w:jc w:val="both"/>
        <w:rPr>
          <w:color w:val="000000" w:themeColor="text1"/>
        </w:rPr>
      </w:pPr>
      <w:r w:rsidRPr="001B01FA">
        <w:rPr>
          <w:color w:val="000000" w:themeColor="text1"/>
        </w:rPr>
        <w:t xml:space="preserve">Therefore, several DMOs highlight cultural themes when producing their destination promotional content. </w:t>
      </w:r>
      <w:r w:rsidRPr="001B01FA">
        <w:rPr>
          <w:color w:val="000000" w:themeColor="text1"/>
        </w:rPr>
        <w:fldChar w:fldCharType="begin" w:fldLock="1"/>
      </w:r>
      <w:r w:rsidRPr="001B01FA">
        <w:rPr>
          <w:color w:val="000000" w:themeColor="text1"/>
        </w:rPr>
        <w:instrText>ADDIN CSL_CITATION {"citationItems":[{"id":"ITEM-1","itemData":{"DOI":"10.4236/ojbm.2020.82040","ISSN":"2329-3284","author":[{"dropping-particle":"","family":"Taufiqqurrachman","given":"","non-dropping-particle":"","parse-names":false,"suffix":""}],"container-title":"Open Journal of Business and Management","id":"ITEM-1","issue":"02","issued":{"date-parts":[["2020"]]},"page":"660-682","title":"Formatting Online Image of “Halal” Destination through Photography","type":"article-journal","volume":"08"},"uris":["http://www.mendeley.com/documents/?uuid=b0ae5899-20b4-39ad-ad6f-903e4d28b58b"]}],"mendeley":{"formattedCitation":"(Taufiqqurrachman, 2020)","plainTextFormattedCitation":"(Taufiqqurrachman, 2020)","previouslyFormattedCitation":"(Taufiqqurrachman, 2020)"},"properties":{"noteIndex":0},"schema":"https://github.com/citation-style-language/schema/raw/master/csl-citation.json"}</w:instrText>
      </w:r>
      <w:r w:rsidRPr="001B01FA">
        <w:rPr>
          <w:color w:val="000000" w:themeColor="text1"/>
        </w:rPr>
        <w:fldChar w:fldCharType="separate"/>
      </w:r>
      <w:r w:rsidRPr="001B01FA">
        <w:rPr>
          <w:noProof/>
          <w:color w:val="000000" w:themeColor="text1"/>
        </w:rPr>
        <w:t>(Taufiqqurrachman, 2020)</w:t>
      </w:r>
      <w:r w:rsidRPr="001B01FA">
        <w:rPr>
          <w:color w:val="000000" w:themeColor="text1"/>
        </w:rPr>
        <w:fldChar w:fldCharType="end"/>
      </w:r>
      <w:r w:rsidRPr="001B01FA">
        <w:rPr>
          <w:color w:val="000000" w:themeColor="text1"/>
        </w:rPr>
        <w:t xml:space="preserve"> </w:t>
      </w:r>
      <w:r w:rsidRPr="001B01FA">
        <w:rPr>
          <w:color w:val="000000" w:themeColor="text1"/>
        </w:rPr>
        <w:fldChar w:fldCharType="begin" w:fldLock="1"/>
      </w:r>
      <w:r w:rsidRPr="001B01FA">
        <w:rPr>
          <w:color w:val="000000" w:themeColor="text1"/>
        </w:rPr>
        <w:instrText>ADDIN CSL_CITATION {"citationItems":[{"id":"ITEM-1","itemData":{"DOI":"10.1108/IMDS-12-2019-0667","ISBN":"1220190667","ISSN":"02635577","abstract":"Purpose: This study assessed the effect of photo themes to facilitate social media user engagement in Facebook brand pages and emphasized the important role of designing images for developing destination marketing strategies. Design/methodology/approach: This study analyzed 8,900 posts that were published by official tourism destination marketers for each destination (Hong Kong, Japan, South Korea). Text mining analysis, image thematic coding analysis and two-way ANOVA were applied to examine the significant differences across proposed determinants for the following engagements: the numbers of likes, comments and shares. Findings: The results indicated that photographs on social media of three tourism destinations can be explored based on 11 categories of image themes. The themes' significant and distinct effects on three indicators of social media engagement were verified. Originality/value: This research presented methodological insights by integrating thematic and statistical analyses with social media analytics. The findings of this study provided theoretical evidence of the importance of image themes in the context of social media engagement marketing. Based on the implications of this study, practitioners would enhance the effectiveness of social media marketing.","author":[{"dropping-particle":"","family":"Song","given":"Seobgyu","non-dropping-particle":"","parse-names":false,"suffix":""},{"dropping-particle":"","family":"Park","given":"Seunghyun “Brian”","non-dropping-particle":"","parse-names":false,"suffix":""},{"dropping-particle":"","family":"Park","given":"Kwangsoo","non-dropping-particle":"","parse-names":false,"suffix":""}],"container-title":"Industrial Management and Data Systems","id":"ITEM-1","issue":"6","issued":{"date-parts":[["2020"]]},"page":"1375-1397","title":"Thematic analysis of destination images for social media engagement marketing","type":"article-journal","volume":"121"},"uris":["http://www.mendeley.com/documents/?uuid=1bfd4ea6-de31-41c6-9f60-2555d41e5195"]}],"mendeley":{"formattedCitation":"(Song, Park, &amp; Park, 2020)","plainTextFormattedCitation":"(Song, Park, &amp; Park, 2020)","previouslyFormattedCitation":"(Song, Park, &amp; Park, 2020)"},"properties":{"noteIndex":0},"schema":"https://github.com/citation-style-language/schema/raw/master/csl-citation.json"}</w:instrText>
      </w:r>
      <w:r w:rsidRPr="001B01FA">
        <w:rPr>
          <w:color w:val="000000" w:themeColor="text1"/>
        </w:rPr>
        <w:fldChar w:fldCharType="separate"/>
      </w:r>
      <w:r w:rsidRPr="001B01FA">
        <w:rPr>
          <w:noProof/>
          <w:color w:val="000000" w:themeColor="text1"/>
        </w:rPr>
        <w:t>(Song, Park, &amp; Park, 2020)</w:t>
      </w:r>
      <w:r w:rsidRPr="001B01FA">
        <w:rPr>
          <w:color w:val="000000" w:themeColor="text1"/>
        </w:rPr>
        <w:fldChar w:fldCharType="end"/>
      </w:r>
      <w:r w:rsidRPr="001B01FA">
        <w:rPr>
          <w:color w:val="000000" w:themeColor="text1"/>
        </w:rPr>
        <w:fldChar w:fldCharType="begin" w:fldLock="1"/>
      </w:r>
      <w:r w:rsidRPr="001B01FA">
        <w:rPr>
          <w:color w:val="000000" w:themeColor="text1"/>
        </w:rPr>
        <w:instrText>ADDIN CSL_CITATION {"citationItems":[{"id":"ITEM-1","itemData":{"DOI":"10.3390/su13063354","ISSN":"20711050","abstract":"Destination image has been extensively studied in tourism and marketing, but the questions surrounding the discrepancy between the projected (perceptions from the National Tourism Organi-zations) and perceived destination image (perceptions from tourists) as well as how the discrepancy may influence sustainable experience remain unclear. Poor understanding of the discrepancy may cause tourist confusion and misuse of resources. The aim of this study is to empirically investigate if the perceived (by tourists) and projected (by NTOs) destination image are significantly different in both cognitive and affective aspects. Through a comprehensive social media content analysis of the NTO-generated and tourist-generated-contents (TGC), the current study identifies numerous gaps between the projected and perceived destination image, which offers some important theoretical and practical implications on destination management and marketing.","author":[{"dropping-particle":"","family":"Sun","given":"Wei","non-dropping-particle":"","parse-names":false,"suffix":""},{"dropping-particle":"","family":"Tang","given":"Shoulian","non-dropping-particle":"","parse-names":false,"suffix":""},{"dropping-particle":"","family":"Liu","given":"Fang","non-dropping-particle":"","parse-names":false,"suffix":""}],"container-title":"Sustainability (Switzerland)","id":"ITEM-1","issue":"6","issued":{"date-parts":[["2021"]]},"title":"Examining perceived and projected destination image: A social media content analysis","type":"article-journal","volume":"13"},"uris":["http://www.mendeley.com/documents/?uuid=91d69187-96f8-49de-82ce-91dc19e501ca"]}],"mendeley":{"formattedCitation":"(Sun, Tang, &amp; Liu, 2021)","plainTextFormattedCitation":"(Sun, Tang, &amp; Liu, 2021)","previouslyFormattedCitation":"(Sun, Tang, &amp; Liu, 2021)"},"properties":{"noteIndex":0},"schema":"https://github.com/citation-style-language/schema/raw/master/csl-citation.json"}</w:instrText>
      </w:r>
      <w:r w:rsidRPr="001B01FA">
        <w:rPr>
          <w:color w:val="000000" w:themeColor="text1"/>
        </w:rPr>
        <w:fldChar w:fldCharType="separate"/>
      </w:r>
      <w:r w:rsidRPr="001B01FA">
        <w:rPr>
          <w:noProof/>
          <w:color w:val="000000" w:themeColor="text1"/>
        </w:rPr>
        <w:t>(Sun, Tang, &amp; Liu, 2021)</w:t>
      </w:r>
      <w:r w:rsidRPr="001B01FA">
        <w:rPr>
          <w:color w:val="000000" w:themeColor="text1"/>
        </w:rPr>
        <w:fldChar w:fldCharType="end"/>
      </w:r>
      <w:r w:rsidRPr="001B01FA">
        <w:rPr>
          <w:color w:val="000000" w:themeColor="text1"/>
        </w:rPr>
        <w:t>. Thus, the existence of cultural themes in this context is not intended to maintain the culture itself but rather to strengthen the attractiveness of the tourist destination in the eyes of tourists. Especially from a symbolic economic point of view, these</w:t>
      </w:r>
      <w:r w:rsidRPr="00CA645A">
        <w:rPr>
          <w:rFonts w:ascii="Arial" w:hAnsi="Arial" w:cs="Arial"/>
          <w:color w:val="000000" w:themeColor="text1"/>
          <w:sz w:val="22"/>
          <w:szCs w:val="22"/>
        </w:rPr>
        <w:t xml:space="preserve"> </w:t>
      </w:r>
      <w:r w:rsidRPr="001B01FA">
        <w:rPr>
          <w:color w:val="000000" w:themeColor="text1"/>
        </w:rPr>
        <w:t xml:space="preserve">authentic Malay cultural themes emerge as part of an </w:t>
      </w:r>
      <w:r w:rsidRPr="001B01FA">
        <w:rPr>
          <w:color w:val="000000" w:themeColor="text1"/>
        </w:rPr>
        <w:t>effort to sell the city to the global tourist market.</w:t>
      </w:r>
    </w:p>
    <w:p w:rsidR="006B146E" w:rsidRPr="001B01FA" w:rsidRDefault="001B01FA" w:rsidP="000671DC">
      <w:pPr>
        <w:pStyle w:val="NormalWeb"/>
        <w:shd w:val="clear" w:color="auto" w:fill="FFFFFF"/>
        <w:spacing w:before="0" w:beforeAutospacing="0" w:after="150" w:afterAutospacing="0" w:line="360" w:lineRule="auto"/>
        <w:ind w:firstLine="284"/>
        <w:jc w:val="both"/>
        <w:rPr>
          <w:color w:val="000000" w:themeColor="text1"/>
        </w:rPr>
      </w:pPr>
      <w:r w:rsidRPr="001B01FA">
        <w:rPr>
          <w:color w:val="000000" w:themeColor="text1"/>
        </w:rPr>
        <w:t xml:space="preserve">Finally, this study has successfully scientifically documented the symbolic economy in forming the </w:t>
      </w:r>
      <w:proofErr w:type="spellStart"/>
      <w:r w:rsidRPr="001B01FA">
        <w:rPr>
          <w:color w:val="000000" w:themeColor="text1"/>
        </w:rPr>
        <w:t>Batam</w:t>
      </w:r>
      <w:proofErr w:type="spellEnd"/>
      <w:r w:rsidRPr="001B01FA">
        <w:rPr>
          <w:color w:val="000000" w:themeColor="text1"/>
        </w:rPr>
        <w:t xml:space="preserve"> city brand as a tourist destination carried out by public DMOs. However, theoretically, various elements, including the private sector and tourists, play a role in forming a city brand through social media. Therefore, for future research, a study needs to consider the role of actors in forming a city brand when investigating the symbolic economy or, specifically, the formation of cultural authenticity in the context of tourism. Thus, the study will provide comprehensive knowledge of the issues it highlights.</w:t>
      </w:r>
    </w:p>
    <w:p w:rsidR="00212B30" w:rsidRDefault="00212B30" w:rsidP="00212B30">
      <w:pPr>
        <w:spacing w:line="360" w:lineRule="auto"/>
        <w:contextualSpacing/>
        <w:jc w:val="both"/>
        <w:rPr>
          <w:b/>
          <w:bCs/>
          <w:color w:val="000000"/>
          <w:sz w:val="24"/>
          <w:szCs w:val="24"/>
        </w:rPr>
      </w:pPr>
      <w:r>
        <w:rPr>
          <w:b/>
          <w:bCs/>
          <w:color w:val="000000"/>
          <w:sz w:val="24"/>
          <w:szCs w:val="24"/>
        </w:rPr>
        <w:t>CONCLUSION</w:t>
      </w:r>
    </w:p>
    <w:p w:rsidR="00212B30" w:rsidRPr="00212B30" w:rsidRDefault="00212B30" w:rsidP="000671DC">
      <w:pPr>
        <w:spacing w:line="360" w:lineRule="auto"/>
        <w:ind w:firstLine="426"/>
        <w:contextualSpacing/>
        <w:jc w:val="both"/>
        <w:rPr>
          <w:b/>
          <w:bCs/>
          <w:color w:val="000000"/>
          <w:sz w:val="24"/>
          <w:szCs w:val="24"/>
        </w:rPr>
      </w:pPr>
      <w:r w:rsidRPr="00212B30">
        <w:rPr>
          <w:color w:val="000000" w:themeColor="text1"/>
          <w:sz w:val="24"/>
          <w:szCs w:val="24"/>
        </w:rPr>
        <w:t xml:space="preserve">This study presents scientific evidence regarding the commodification of the city through branding strategies of </w:t>
      </w:r>
      <w:proofErr w:type="spellStart"/>
      <w:r w:rsidRPr="00212B30">
        <w:rPr>
          <w:color w:val="000000" w:themeColor="text1"/>
          <w:sz w:val="24"/>
          <w:szCs w:val="24"/>
        </w:rPr>
        <w:t>Batam’s</w:t>
      </w:r>
      <w:proofErr w:type="spellEnd"/>
      <w:r w:rsidRPr="00212B30">
        <w:rPr>
          <w:color w:val="000000" w:themeColor="text1"/>
          <w:sz w:val="24"/>
          <w:szCs w:val="24"/>
        </w:rPr>
        <w:t xml:space="preserve"> destinations. The commodification is demonstrated through the formation of the city as an authentic Malay tourist destination. This is done by associating the city with several elements of Malay culture, such as “</w:t>
      </w:r>
      <w:proofErr w:type="spellStart"/>
      <w:r w:rsidRPr="00212B30">
        <w:rPr>
          <w:i/>
          <w:iCs/>
          <w:color w:val="000000" w:themeColor="text1"/>
          <w:sz w:val="24"/>
          <w:szCs w:val="24"/>
        </w:rPr>
        <w:t>gasing</w:t>
      </w:r>
      <w:proofErr w:type="spellEnd"/>
      <w:r w:rsidRPr="00212B30">
        <w:rPr>
          <w:i/>
          <w:iCs/>
          <w:color w:val="000000" w:themeColor="text1"/>
          <w:sz w:val="24"/>
          <w:szCs w:val="24"/>
        </w:rPr>
        <w:t>”</w:t>
      </w:r>
      <w:r w:rsidRPr="00212B30">
        <w:rPr>
          <w:color w:val="000000" w:themeColor="text1"/>
          <w:sz w:val="24"/>
          <w:szCs w:val="24"/>
        </w:rPr>
        <w:t>, “</w:t>
      </w:r>
      <w:proofErr w:type="spellStart"/>
      <w:r w:rsidRPr="00212B30">
        <w:rPr>
          <w:i/>
          <w:iCs/>
          <w:color w:val="000000" w:themeColor="text1"/>
          <w:sz w:val="24"/>
          <w:szCs w:val="24"/>
        </w:rPr>
        <w:t>gasing</w:t>
      </w:r>
      <w:proofErr w:type="spellEnd"/>
      <w:r w:rsidRPr="00212B30">
        <w:rPr>
          <w:i/>
          <w:iCs/>
          <w:color w:val="000000" w:themeColor="text1"/>
          <w:sz w:val="24"/>
          <w:szCs w:val="24"/>
        </w:rPr>
        <w:t>”</w:t>
      </w:r>
      <w:r w:rsidRPr="00212B30">
        <w:rPr>
          <w:color w:val="000000" w:themeColor="text1"/>
          <w:sz w:val="24"/>
          <w:szCs w:val="24"/>
        </w:rPr>
        <w:t xml:space="preserve"> game performance, “Malay </w:t>
      </w:r>
      <w:proofErr w:type="spellStart"/>
      <w:r w:rsidRPr="00212B30">
        <w:rPr>
          <w:color w:val="000000" w:themeColor="text1"/>
          <w:sz w:val="24"/>
          <w:szCs w:val="24"/>
        </w:rPr>
        <w:t>kenduri</w:t>
      </w:r>
      <w:proofErr w:type="spellEnd"/>
      <w:r w:rsidRPr="00212B30">
        <w:rPr>
          <w:color w:val="000000" w:themeColor="text1"/>
          <w:sz w:val="24"/>
          <w:szCs w:val="24"/>
        </w:rPr>
        <w:t>”, “</w:t>
      </w:r>
      <w:proofErr w:type="spellStart"/>
      <w:r w:rsidRPr="00212B30">
        <w:rPr>
          <w:color w:val="000000" w:themeColor="text1"/>
          <w:sz w:val="24"/>
          <w:szCs w:val="24"/>
        </w:rPr>
        <w:t>tanjak</w:t>
      </w:r>
      <w:proofErr w:type="spellEnd"/>
      <w:r w:rsidRPr="00212B30">
        <w:rPr>
          <w:color w:val="000000" w:themeColor="text1"/>
          <w:sz w:val="24"/>
          <w:szCs w:val="24"/>
        </w:rPr>
        <w:t>”, and “</w:t>
      </w:r>
      <w:proofErr w:type="spellStart"/>
      <w:r w:rsidRPr="00212B30">
        <w:rPr>
          <w:color w:val="000000" w:themeColor="text1"/>
          <w:sz w:val="24"/>
          <w:szCs w:val="24"/>
        </w:rPr>
        <w:t>kompang</w:t>
      </w:r>
      <w:proofErr w:type="spellEnd"/>
      <w:r w:rsidRPr="00212B30">
        <w:rPr>
          <w:color w:val="000000" w:themeColor="text1"/>
          <w:sz w:val="24"/>
          <w:szCs w:val="24"/>
        </w:rPr>
        <w:t>”.</w:t>
      </w:r>
    </w:p>
    <w:p w:rsidR="00212B30" w:rsidRPr="00212B30" w:rsidRDefault="00212B30" w:rsidP="000671DC">
      <w:pPr>
        <w:pStyle w:val="NormalWeb"/>
        <w:shd w:val="clear" w:color="auto" w:fill="FFFFFF"/>
        <w:spacing w:after="150" w:line="360" w:lineRule="auto"/>
        <w:ind w:firstLine="426"/>
        <w:jc w:val="both"/>
        <w:rPr>
          <w:color w:val="000000" w:themeColor="text1"/>
        </w:rPr>
      </w:pPr>
      <w:r w:rsidRPr="00212B30">
        <w:rPr>
          <w:color w:val="000000" w:themeColor="text1"/>
        </w:rPr>
        <w:t xml:space="preserve">These Malay cultural elements are exploited to form the authenticity of Malay culture in the city, including several </w:t>
      </w:r>
      <w:r w:rsidRPr="00212B30">
        <w:rPr>
          <w:color w:val="000000" w:themeColor="text1"/>
        </w:rPr>
        <w:lastRenderedPageBreak/>
        <w:t>dimensions, such as origins, creativity, and genuineness. The origins dimension is demonstrated through the visualization of the “</w:t>
      </w:r>
      <w:proofErr w:type="spellStart"/>
      <w:r w:rsidRPr="00212B30">
        <w:rPr>
          <w:color w:val="000000" w:themeColor="text1"/>
        </w:rPr>
        <w:t>kenduri</w:t>
      </w:r>
      <w:proofErr w:type="spellEnd"/>
      <w:r w:rsidRPr="00212B30">
        <w:rPr>
          <w:color w:val="000000" w:themeColor="text1"/>
        </w:rPr>
        <w:t>” event as a tradition typical of the Malay community.</w:t>
      </w:r>
    </w:p>
    <w:p w:rsidR="006B146E" w:rsidRDefault="00212B30" w:rsidP="000671DC">
      <w:pPr>
        <w:pStyle w:val="NormalWeb"/>
        <w:shd w:val="clear" w:color="auto" w:fill="FFFFFF"/>
        <w:spacing w:before="0" w:beforeAutospacing="0" w:after="150" w:afterAutospacing="0" w:line="360" w:lineRule="auto"/>
        <w:ind w:firstLine="426"/>
        <w:jc w:val="both"/>
        <w:rPr>
          <w:color w:val="000000" w:themeColor="text1"/>
        </w:rPr>
      </w:pPr>
      <w:r w:rsidRPr="00212B30">
        <w:rPr>
          <w:color w:val="000000" w:themeColor="text1"/>
        </w:rPr>
        <w:t>Then, the creativity dimension is visualized through various traditional Malay dance performances and traditional Malay music performances, including “</w:t>
      </w:r>
      <w:proofErr w:type="spellStart"/>
      <w:r w:rsidRPr="00212B30">
        <w:rPr>
          <w:color w:val="000000" w:themeColor="text1"/>
        </w:rPr>
        <w:t>gasing</w:t>
      </w:r>
      <w:proofErr w:type="spellEnd"/>
      <w:r w:rsidRPr="00212B30">
        <w:rPr>
          <w:color w:val="000000" w:themeColor="text1"/>
        </w:rPr>
        <w:t xml:space="preserve">” game performances. Lastly, the dimension of genuineness is depicted through the “gassing” (a traditional Malay game instrument), the “sanjak” (a typical head covering for the </w:t>
      </w:r>
      <w:proofErr w:type="spellStart"/>
      <w:r w:rsidRPr="00212B30">
        <w:rPr>
          <w:color w:val="000000" w:themeColor="text1"/>
        </w:rPr>
        <w:t>Melayu</w:t>
      </w:r>
      <w:proofErr w:type="spellEnd"/>
      <w:r w:rsidRPr="00212B30">
        <w:rPr>
          <w:color w:val="000000" w:themeColor="text1"/>
        </w:rPr>
        <w:t xml:space="preserve"> community), the “company" (a musical instrument that the Malay community has adopted as one of their cultural heritage).</w:t>
      </w:r>
    </w:p>
    <w:p w:rsidR="000671DC" w:rsidRPr="000671DC" w:rsidRDefault="000671DC" w:rsidP="000671DC">
      <w:pPr>
        <w:pStyle w:val="NormalWeb"/>
        <w:shd w:val="clear" w:color="auto" w:fill="FFFFFF"/>
        <w:spacing w:before="0" w:beforeAutospacing="0" w:after="150" w:afterAutospacing="0" w:line="360" w:lineRule="auto"/>
        <w:ind w:firstLine="720"/>
        <w:jc w:val="both"/>
        <w:rPr>
          <w:color w:val="000000" w:themeColor="text1"/>
        </w:rPr>
      </w:pPr>
    </w:p>
    <w:p w:rsidR="00F639A5" w:rsidRPr="000671DC" w:rsidRDefault="006B146E" w:rsidP="000671DC">
      <w:pPr>
        <w:spacing w:line="360" w:lineRule="auto"/>
        <w:contextualSpacing/>
        <w:jc w:val="both"/>
        <w:rPr>
          <w:b/>
          <w:color w:val="000000"/>
          <w:sz w:val="24"/>
          <w:szCs w:val="24"/>
          <w:lang w:val="id-ID"/>
        </w:rPr>
      </w:pPr>
      <w:r w:rsidRPr="006B146E">
        <w:rPr>
          <w:b/>
          <w:bCs/>
          <w:color w:val="000000"/>
          <w:sz w:val="24"/>
          <w:szCs w:val="24"/>
        </w:rPr>
        <w:t>DAFTAR PUSTAKA</w:t>
      </w:r>
    </w:p>
    <w:p w:rsidR="009C1B1B" w:rsidRPr="009C1B1B" w:rsidRDefault="00D94E01" w:rsidP="009C1B1B">
      <w:pPr>
        <w:widowControl w:val="0"/>
        <w:autoSpaceDE w:val="0"/>
        <w:autoSpaceDN w:val="0"/>
        <w:adjustRightInd w:val="0"/>
        <w:spacing w:line="360" w:lineRule="auto"/>
        <w:ind w:left="480" w:hanging="480"/>
        <w:rPr>
          <w:noProof/>
          <w:sz w:val="24"/>
        </w:rPr>
      </w:pPr>
      <w:r>
        <w:rPr>
          <w:color w:val="000000"/>
          <w:sz w:val="24"/>
          <w:szCs w:val="24"/>
        </w:rPr>
        <w:fldChar w:fldCharType="begin" w:fldLock="1"/>
      </w:r>
      <w:r>
        <w:rPr>
          <w:color w:val="000000"/>
          <w:sz w:val="24"/>
          <w:szCs w:val="24"/>
        </w:rPr>
        <w:instrText xml:space="preserve">ADDIN Mendeley Bibliography CSL_BIBLIOGRAPHY </w:instrText>
      </w:r>
      <w:r>
        <w:rPr>
          <w:color w:val="000000"/>
          <w:sz w:val="24"/>
          <w:szCs w:val="24"/>
        </w:rPr>
        <w:fldChar w:fldCharType="separate"/>
      </w:r>
      <w:r w:rsidR="009C1B1B" w:rsidRPr="009C1B1B">
        <w:rPr>
          <w:noProof/>
          <w:sz w:val="24"/>
        </w:rPr>
        <w:t xml:space="preserve">Anugrahi, S. R. (2022). Kesenian Kompangan Sebagai Kebudayaan Islam Melayu Di Provinsi Jambi. </w:t>
      </w:r>
      <w:r w:rsidR="009C1B1B" w:rsidRPr="009C1B1B">
        <w:rPr>
          <w:i/>
          <w:iCs/>
          <w:noProof/>
          <w:sz w:val="24"/>
        </w:rPr>
        <w:t>Krinok: Jurnal Pendidikan Sejarah Dan Sejarah</w:t>
      </w:r>
      <w:r w:rsidR="009C1B1B" w:rsidRPr="009C1B1B">
        <w:rPr>
          <w:noProof/>
          <w:sz w:val="24"/>
        </w:rPr>
        <w:t xml:space="preserve">, </w:t>
      </w:r>
      <w:r w:rsidR="009C1B1B" w:rsidRPr="009C1B1B">
        <w:rPr>
          <w:i/>
          <w:iCs/>
          <w:noProof/>
          <w:sz w:val="24"/>
        </w:rPr>
        <w:t>1</w:t>
      </w:r>
      <w:r w:rsidR="009C1B1B" w:rsidRPr="009C1B1B">
        <w:rPr>
          <w:noProof/>
          <w:sz w:val="24"/>
        </w:rPr>
        <w:t>(3), 191–201. https://doi.org/10.22437/krinok.v1i3.22669</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Arifianto, D., Nurman, N., &amp; Dewi, S. F. (2018). Nilai-Nilai Moral dan Sosial dalam Penyelenggaraan Kenduri Sudah Tuai di Desa Kumun Mudik Kota Sungai Penuh. </w:t>
      </w:r>
      <w:r w:rsidRPr="009C1B1B">
        <w:rPr>
          <w:i/>
          <w:iCs/>
          <w:noProof/>
          <w:sz w:val="24"/>
        </w:rPr>
        <w:t>Journal of Civic Education</w:t>
      </w:r>
      <w:r w:rsidRPr="009C1B1B">
        <w:rPr>
          <w:noProof/>
          <w:sz w:val="24"/>
        </w:rPr>
        <w:t xml:space="preserve">, </w:t>
      </w:r>
      <w:r w:rsidRPr="009C1B1B">
        <w:rPr>
          <w:i/>
          <w:iCs/>
          <w:noProof/>
          <w:sz w:val="24"/>
        </w:rPr>
        <w:t>1</w:t>
      </w:r>
      <w:r w:rsidRPr="009C1B1B">
        <w:rPr>
          <w:noProof/>
          <w:sz w:val="24"/>
        </w:rPr>
        <w:t xml:space="preserve">(3), 272–279. </w:t>
      </w:r>
      <w:r w:rsidRPr="009C1B1B">
        <w:rPr>
          <w:noProof/>
          <w:sz w:val="24"/>
        </w:rPr>
        <w:t>https://doi.org/10.24036/jce.v1i3.213</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Barthes, R. (1964). </w:t>
      </w:r>
      <w:r w:rsidRPr="009C1B1B">
        <w:rPr>
          <w:i/>
          <w:iCs/>
          <w:noProof/>
          <w:sz w:val="24"/>
        </w:rPr>
        <w:t>Elements oj Semiology Roland Barthes Translated from the French by</w:t>
      </w:r>
      <w:r w:rsidRPr="009C1B1B">
        <w:rPr>
          <w:noProof/>
          <w:sz w:val="24"/>
        </w:rPr>
        <w:t>. New York: Hill and Wang.</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Batey, M. (2008). </w:t>
      </w:r>
      <w:r w:rsidRPr="009C1B1B">
        <w:rPr>
          <w:i/>
          <w:iCs/>
          <w:noProof/>
          <w:sz w:val="24"/>
        </w:rPr>
        <w:t>Brand Meaning</w:t>
      </w:r>
      <w:r w:rsidRPr="009C1B1B">
        <w:rPr>
          <w:noProof/>
          <w:sz w:val="24"/>
        </w:rPr>
        <w:t>. London: Routledge.</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Bignell, J. (2002). </w:t>
      </w:r>
      <w:r w:rsidRPr="009C1B1B">
        <w:rPr>
          <w:i/>
          <w:iCs/>
          <w:noProof/>
          <w:sz w:val="24"/>
        </w:rPr>
        <w:t>Media semiotics</w:t>
      </w:r>
      <w:r w:rsidRPr="009C1B1B">
        <w:rPr>
          <w:noProof/>
          <w:sz w:val="24"/>
        </w:rPr>
        <w:t>. New York: Manchester University Press.</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Bourdieu, P. (1980). The Production of Belief: Contribution Economy of Symbolic Goods. </w:t>
      </w:r>
      <w:r w:rsidRPr="009C1B1B">
        <w:rPr>
          <w:i/>
          <w:iCs/>
          <w:noProof/>
          <w:sz w:val="24"/>
        </w:rPr>
        <w:t>Media Culture and Society</w:t>
      </w:r>
      <w:r w:rsidRPr="009C1B1B">
        <w:rPr>
          <w:noProof/>
          <w:sz w:val="24"/>
        </w:rPr>
        <w:t xml:space="preserve">, </w:t>
      </w:r>
      <w:r w:rsidRPr="009C1B1B">
        <w:rPr>
          <w:i/>
          <w:iCs/>
          <w:noProof/>
          <w:sz w:val="24"/>
        </w:rPr>
        <w:t>263</w:t>
      </w:r>
      <w:r w:rsidRPr="009C1B1B">
        <w:rPr>
          <w:noProof/>
          <w:sz w:val="24"/>
        </w:rPr>
        <w:t>(2), 261–293.</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Cohen, E. (2007). Authenticity in tourism studies: Apres ia lutte. </w:t>
      </w:r>
      <w:r w:rsidRPr="009C1B1B">
        <w:rPr>
          <w:i/>
          <w:iCs/>
          <w:noProof/>
          <w:sz w:val="24"/>
        </w:rPr>
        <w:t>Tourism Recreation Research</w:t>
      </w:r>
      <w:r w:rsidRPr="009C1B1B">
        <w:rPr>
          <w:noProof/>
          <w:sz w:val="24"/>
        </w:rPr>
        <w:t xml:space="preserve">, </w:t>
      </w:r>
      <w:r w:rsidRPr="009C1B1B">
        <w:rPr>
          <w:i/>
          <w:iCs/>
          <w:noProof/>
          <w:sz w:val="24"/>
        </w:rPr>
        <w:t>32</w:t>
      </w:r>
      <w:r w:rsidRPr="009C1B1B">
        <w:rPr>
          <w:noProof/>
          <w:sz w:val="24"/>
        </w:rPr>
        <w:t>(2), 75–82. https://doi.org/10.1080/02508281.2007.11081279</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Daniel, Y. P. (1996). Tourism Dance Performances Authenticity and Creativity. </w:t>
      </w:r>
      <w:r w:rsidRPr="009C1B1B">
        <w:rPr>
          <w:i/>
          <w:iCs/>
          <w:noProof/>
          <w:sz w:val="24"/>
        </w:rPr>
        <w:t>Annals of Tourism Research</w:t>
      </w:r>
      <w:r w:rsidRPr="009C1B1B">
        <w:rPr>
          <w:noProof/>
          <w:sz w:val="24"/>
        </w:rPr>
        <w:t xml:space="preserve">, </w:t>
      </w:r>
      <w:r w:rsidRPr="009C1B1B">
        <w:rPr>
          <w:i/>
          <w:iCs/>
          <w:noProof/>
          <w:sz w:val="24"/>
        </w:rPr>
        <w:t>23</w:t>
      </w:r>
      <w:r w:rsidRPr="009C1B1B">
        <w:rPr>
          <w:noProof/>
          <w:sz w:val="24"/>
        </w:rPr>
        <w:t>(4), 780–797. https://doi.org/10.1016/0160-7383(96)00020-5</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De las Heras-Pedrosa, C., Millan-Celis, E., Iglesias-Sánchez, P. P., &amp; Jambrino-Maldonado, C. (2020). Importance of social media in the image formation of tourist destinations fromthe stakeholders’ perspective. </w:t>
      </w:r>
      <w:r w:rsidRPr="009C1B1B">
        <w:rPr>
          <w:i/>
          <w:iCs/>
          <w:noProof/>
          <w:sz w:val="24"/>
        </w:rPr>
        <w:t>Sustainability (Switzerland)</w:t>
      </w:r>
      <w:r w:rsidRPr="009C1B1B">
        <w:rPr>
          <w:noProof/>
          <w:sz w:val="24"/>
        </w:rPr>
        <w:t xml:space="preserve">, </w:t>
      </w:r>
      <w:r w:rsidRPr="009C1B1B">
        <w:rPr>
          <w:i/>
          <w:iCs/>
          <w:noProof/>
          <w:sz w:val="24"/>
        </w:rPr>
        <w:t>12</w:t>
      </w:r>
      <w:r w:rsidRPr="009C1B1B">
        <w:rPr>
          <w:noProof/>
          <w:sz w:val="24"/>
        </w:rPr>
        <w:t>(10), 1–27. https://doi.org/10.3390/su12104092</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Echtner, C. M. (1999). The semiotic </w:t>
      </w:r>
      <w:r w:rsidRPr="009C1B1B">
        <w:rPr>
          <w:noProof/>
          <w:sz w:val="24"/>
        </w:rPr>
        <w:lastRenderedPageBreak/>
        <w:t xml:space="preserve">Paradigm: Implications for Tourism Research. </w:t>
      </w:r>
      <w:r w:rsidRPr="009C1B1B">
        <w:rPr>
          <w:i/>
          <w:iCs/>
          <w:noProof/>
          <w:sz w:val="24"/>
        </w:rPr>
        <w:t>Tourism Management</w:t>
      </w:r>
      <w:r w:rsidRPr="009C1B1B">
        <w:rPr>
          <w:noProof/>
          <w:sz w:val="24"/>
        </w:rPr>
        <w:t xml:space="preserve">, </w:t>
      </w:r>
      <w:r w:rsidRPr="009C1B1B">
        <w:rPr>
          <w:i/>
          <w:iCs/>
          <w:noProof/>
          <w:sz w:val="24"/>
        </w:rPr>
        <w:t>20</w:t>
      </w:r>
      <w:r w:rsidRPr="009C1B1B">
        <w:rPr>
          <w:noProof/>
          <w:sz w:val="24"/>
        </w:rPr>
        <w:t>(1), 47–57. https://doi.org/10.1016/S0261-5177(98)00105-8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Ellison, E. (2013). </w:t>
      </w:r>
      <w:r w:rsidRPr="009C1B1B">
        <w:rPr>
          <w:i/>
          <w:iCs/>
          <w:noProof/>
          <w:sz w:val="24"/>
        </w:rPr>
        <w:t>The Australian Beachspace: Flagging The Spaces of Australian Beach Texts</w:t>
      </w:r>
      <w:r w:rsidRPr="009C1B1B">
        <w:rPr>
          <w:noProof/>
          <w:sz w:val="24"/>
        </w:rPr>
        <w:t>. Queensland University of Technology.</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Erb, M. (1998). Tourism Space in Manggarai, Western Flores, Indonesia: The House as A Contested Place. </w:t>
      </w:r>
      <w:r w:rsidRPr="009C1B1B">
        <w:rPr>
          <w:i/>
          <w:iCs/>
          <w:noProof/>
          <w:sz w:val="24"/>
        </w:rPr>
        <w:t>Singapore Journal of Tropical Geography</w:t>
      </w:r>
      <w:r w:rsidRPr="009C1B1B">
        <w:rPr>
          <w:noProof/>
          <w:sz w:val="24"/>
        </w:rPr>
        <w:t xml:space="preserve">, </w:t>
      </w:r>
      <w:r w:rsidRPr="009C1B1B">
        <w:rPr>
          <w:i/>
          <w:iCs/>
          <w:noProof/>
          <w:sz w:val="24"/>
        </w:rPr>
        <w:t>19</w:t>
      </w:r>
      <w:r w:rsidRPr="009C1B1B">
        <w:rPr>
          <w:noProof/>
          <w:sz w:val="24"/>
        </w:rPr>
        <w:t>(2), 177–192.</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Frenkel, S., &amp; Walton, J. (2000). Bavarian Leavenworth and the symbolic economy of a theme town. </w:t>
      </w:r>
      <w:r w:rsidRPr="009C1B1B">
        <w:rPr>
          <w:i/>
          <w:iCs/>
          <w:noProof/>
          <w:sz w:val="24"/>
        </w:rPr>
        <w:t>Geographical Review</w:t>
      </w:r>
      <w:r w:rsidRPr="009C1B1B">
        <w:rPr>
          <w:noProof/>
          <w:sz w:val="24"/>
        </w:rPr>
        <w:t xml:space="preserve">, </w:t>
      </w:r>
      <w:r w:rsidRPr="009C1B1B">
        <w:rPr>
          <w:i/>
          <w:iCs/>
          <w:noProof/>
          <w:sz w:val="24"/>
        </w:rPr>
        <w:t>90</w:t>
      </w:r>
      <w:r w:rsidRPr="009C1B1B">
        <w:rPr>
          <w:noProof/>
          <w:sz w:val="24"/>
        </w:rPr>
        <w:t>(4), 559–584. https://doi.org/10.1111/j.1931-0846.2000.tb00354.x</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Gabbioneta, C., &amp; De Carlo, M. (2019). The role of news articles, prior destination experience, and news involvement in destination image formation. </w:t>
      </w:r>
      <w:r w:rsidRPr="009C1B1B">
        <w:rPr>
          <w:i/>
          <w:iCs/>
          <w:noProof/>
          <w:sz w:val="24"/>
        </w:rPr>
        <w:t>International Journal of Tourism Research</w:t>
      </w:r>
      <w:r w:rsidRPr="009C1B1B">
        <w:rPr>
          <w:noProof/>
          <w:sz w:val="24"/>
        </w:rPr>
        <w:t xml:space="preserve">, </w:t>
      </w:r>
      <w:r w:rsidRPr="009C1B1B">
        <w:rPr>
          <w:i/>
          <w:iCs/>
          <w:noProof/>
          <w:sz w:val="24"/>
        </w:rPr>
        <w:t>21</w:t>
      </w:r>
      <w:r w:rsidRPr="009C1B1B">
        <w:rPr>
          <w:noProof/>
          <w:sz w:val="24"/>
        </w:rPr>
        <w:t>(3), 291–301. https://doi.org/10.1002/jtr.2251</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Hanna, S., &amp; Rowley, J. (2008). An analysis of terminology use in place branding. </w:t>
      </w:r>
      <w:r w:rsidRPr="009C1B1B">
        <w:rPr>
          <w:i/>
          <w:iCs/>
          <w:noProof/>
          <w:sz w:val="24"/>
        </w:rPr>
        <w:t>Place Branding and Public Diplomacy</w:t>
      </w:r>
      <w:r w:rsidRPr="009C1B1B">
        <w:rPr>
          <w:noProof/>
          <w:sz w:val="24"/>
        </w:rPr>
        <w:t xml:space="preserve">, </w:t>
      </w:r>
      <w:r w:rsidRPr="009C1B1B">
        <w:rPr>
          <w:i/>
          <w:iCs/>
          <w:noProof/>
          <w:sz w:val="24"/>
        </w:rPr>
        <w:t>4</w:t>
      </w:r>
      <w:r w:rsidRPr="009C1B1B">
        <w:rPr>
          <w:noProof/>
          <w:sz w:val="24"/>
        </w:rPr>
        <w:t>(1), 61–75. https://doi.org/10.1057/palgrave.pb.6000084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Hasbullah, H., Toyo, T., &amp; Awang Pawi, A. A. (2017). Ritual Tolak Bala Pada Masyarakat Melayu (Kajian Pada Masyarakat Petalangan Kecamatan Pangkalan Kuras Kabupaten Pelalawan). </w:t>
      </w:r>
      <w:r w:rsidRPr="009C1B1B">
        <w:rPr>
          <w:i/>
          <w:iCs/>
          <w:noProof/>
          <w:sz w:val="24"/>
        </w:rPr>
        <w:t>Jurnal Ushuluddin</w:t>
      </w:r>
      <w:r w:rsidRPr="009C1B1B">
        <w:rPr>
          <w:noProof/>
          <w:sz w:val="24"/>
        </w:rPr>
        <w:t xml:space="preserve">, </w:t>
      </w:r>
      <w:r w:rsidRPr="009C1B1B">
        <w:rPr>
          <w:i/>
          <w:iCs/>
          <w:noProof/>
          <w:sz w:val="24"/>
        </w:rPr>
        <w:t>25</w:t>
      </w:r>
      <w:r w:rsidRPr="009C1B1B">
        <w:rPr>
          <w:noProof/>
          <w:sz w:val="24"/>
        </w:rPr>
        <w:t>(1), 83. https://doi.org/10.24014/jush.v25i1.2742</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Hassan, O. H., Abidin, S. Z., Legino, R., Anwar, R., &amp; Kamaruzaman, M. F. (2016). International colloquium of art and design education research (i-CADER 2014). </w:t>
      </w:r>
      <w:r w:rsidRPr="009C1B1B">
        <w:rPr>
          <w:i/>
          <w:iCs/>
          <w:noProof/>
          <w:sz w:val="24"/>
        </w:rPr>
        <w:t>International Colloquium of Art and Design Education Research (i-CADER 2014)</w:t>
      </w:r>
      <w:r w:rsidRPr="009C1B1B">
        <w:rPr>
          <w:noProof/>
          <w:sz w:val="24"/>
        </w:rPr>
        <w:t>, 1–709. https://doi.org/10.1007/978-981-287-332-3</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J.I. Jusuf Danuwidjojo, Fandy Lood, Y. F. S. (2021). Kearifan Lokal Melayu sebagai Identitas Kota Batam. </w:t>
      </w:r>
      <w:r w:rsidRPr="009C1B1B">
        <w:rPr>
          <w:i/>
          <w:iCs/>
          <w:noProof/>
          <w:sz w:val="24"/>
        </w:rPr>
        <w:t>Jurnal Potensi</w:t>
      </w:r>
      <w:r w:rsidRPr="009C1B1B">
        <w:rPr>
          <w:noProof/>
          <w:sz w:val="24"/>
        </w:rPr>
        <w:t xml:space="preserve">, </w:t>
      </w:r>
      <w:r w:rsidRPr="009C1B1B">
        <w:rPr>
          <w:i/>
          <w:iCs/>
          <w:noProof/>
          <w:sz w:val="24"/>
        </w:rPr>
        <w:t>I</w:t>
      </w:r>
      <w:r w:rsidRPr="009C1B1B">
        <w:rPr>
          <w:noProof/>
          <w:sz w:val="24"/>
        </w:rPr>
        <w:t>(2), 23–35.</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Jenkins, O. (2003). Photography and travel brochures : The circle of representation Photography and travel brochures : the circle of representation. </w:t>
      </w:r>
      <w:r w:rsidRPr="009C1B1B">
        <w:rPr>
          <w:i/>
          <w:iCs/>
          <w:noProof/>
          <w:sz w:val="24"/>
        </w:rPr>
        <w:t>An International Journal of Tourism Space, Place and Environment</w:t>
      </w:r>
      <w:r w:rsidRPr="009C1B1B">
        <w:rPr>
          <w:noProof/>
          <w:sz w:val="24"/>
        </w:rPr>
        <w:t xml:space="preserve">, </w:t>
      </w:r>
      <w:r w:rsidRPr="009C1B1B">
        <w:rPr>
          <w:i/>
          <w:iCs/>
          <w:noProof/>
          <w:sz w:val="24"/>
        </w:rPr>
        <w:t>5</w:t>
      </w:r>
      <w:r w:rsidRPr="009C1B1B">
        <w:rPr>
          <w:noProof/>
          <w:sz w:val="24"/>
        </w:rPr>
        <w:t>(3), 305–328. https://doi.org/10.1080/14616680309715</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Jourdain, A. (2018). Analysing the Symbolic Economy with Pierre </w:t>
      </w:r>
      <w:r w:rsidRPr="009C1B1B">
        <w:rPr>
          <w:noProof/>
          <w:sz w:val="24"/>
        </w:rPr>
        <w:lastRenderedPageBreak/>
        <w:t xml:space="preserve">Bourdieu: The World of Crafts. </w:t>
      </w:r>
      <w:r w:rsidRPr="009C1B1B">
        <w:rPr>
          <w:i/>
          <w:iCs/>
          <w:noProof/>
          <w:sz w:val="24"/>
        </w:rPr>
        <w:t>Forum for Social Economics</w:t>
      </w:r>
      <w:r w:rsidRPr="009C1B1B">
        <w:rPr>
          <w:noProof/>
          <w:sz w:val="24"/>
        </w:rPr>
        <w:t xml:space="preserve">, </w:t>
      </w:r>
      <w:r w:rsidRPr="009C1B1B">
        <w:rPr>
          <w:i/>
          <w:iCs/>
          <w:noProof/>
          <w:sz w:val="24"/>
        </w:rPr>
        <w:t>47</w:t>
      </w:r>
      <w:r w:rsidRPr="009C1B1B">
        <w:rPr>
          <w:noProof/>
          <w:sz w:val="24"/>
        </w:rPr>
        <w:t>(3–4), 342–361. https://doi.org/10.1080/07360932.2015.1075895</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Kavaratzis, M., &amp; Kalandides, A. (2015). Rethinking the place brand: the interactive formation of place brands and the role of participatory place branding. </w:t>
      </w:r>
      <w:r w:rsidRPr="009C1B1B">
        <w:rPr>
          <w:i/>
          <w:iCs/>
          <w:noProof/>
          <w:sz w:val="24"/>
        </w:rPr>
        <w:t>Environment and Planning A</w:t>
      </w:r>
      <w:r w:rsidRPr="009C1B1B">
        <w:rPr>
          <w:noProof/>
          <w:sz w:val="24"/>
        </w:rPr>
        <w:t xml:space="preserve">, </w:t>
      </w:r>
      <w:r w:rsidRPr="009C1B1B">
        <w:rPr>
          <w:i/>
          <w:iCs/>
          <w:noProof/>
          <w:sz w:val="24"/>
        </w:rPr>
        <w:t>47</w:t>
      </w:r>
      <w:r w:rsidRPr="009C1B1B">
        <w:rPr>
          <w:noProof/>
          <w:sz w:val="24"/>
        </w:rPr>
        <w:t>(6), 1368–1382. https://doi.org/10.1177/0308518X15594918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Leeuwen, G. K. and T. van. (2006). </w:t>
      </w:r>
      <w:r w:rsidRPr="009C1B1B">
        <w:rPr>
          <w:i/>
          <w:iCs/>
          <w:noProof/>
          <w:sz w:val="24"/>
        </w:rPr>
        <w:t>Reading Images: The Grammar of Visual Desaign</w:t>
      </w:r>
      <w:r w:rsidRPr="009C1B1B">
        <w:rPr>
          <w:noProof/>
          <w:sz w:val="24"/>
        </w:rPr>
        <w:t>. London: Routledge.</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Mardiana, M., Wahyuni, S., &amp; Elsera, M. (2022). Kepercayaan Masyarakat Terhadap Tradisi Kenduri Pompong Baru Di Desa Air Glubi Kecamatan Bintan Pesisir Kabupaten Bintan. </w:t>
      </w:r>
      <w:r w:rsidRPr="009C1B1B">
        <w:rPr>
          <w:i/>
          <w:iCs/>
          <w:noProof/>
          <w:sz w:val="24"/>
        </w:rPr>
        <w:t>Sosiologi: Jurnal Ilmiah Kajian Ilmu Sosial Dan Budaya</w:t>
      </w:r>
      <w:r w:rsidRPr="009C1B1B">
        <w:rPr>
          <w:noProof/>
          <w:sz w:val="24"/>
        </w:rPr>
        <w:t xml:space="preserve">, </w:t>
      </w:r>
      <w:r w:rsidRPr="009C1B1B">
        <w:rPr>
          <w:i/>
          <w:iCs/>
          <w:noProof/>
          <w:sz w:val="24"/>
        </w:rPr>
        <w:t>24</w:t>
      </w:r>
      <w:r w:rsidRPr="009C1B1B">
        <w:rPr>
          <w:noProof/>
          <w:sz w:val="24"/>
        </w:rPr>
        <w:t>(2), 173–186. https://doi.org/10.23960/sosiologi.v24i2.314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McGillivray, D., &amp; Frew, M. (2007). Capturing Adventure: Trading experiences in the symbolic economy. </w:t>
      </w:r>
      <w:r w:rsidRPr="009C1B1B">
        <w:rPr>
          <w:i/>
          <w:iCs/>
          <w:noProof/>
          <w:sz w:val="24"/>
        </w:rPr>
        <w:t>Annals of Leisure Research</w:t>
      </w:r>
      <w:r w:rsidRPr="009C1B1B">
        <w:rPr>
          <w:noProof/>
          <w:sz w:val="24"/>
        </w:rPr>
        <w:t xml:space="preserve">, </w:t>
      </w:r>
      <w:r w:rsidRPr="009C1B1B">
        <w:rPr>
          <w:i/>
          <w:iCs/>
          <w:noProof/>
          <w:sz w:val="24"/>
        </w:rPr>
        <w:t>10</w:t>
      </w:r>
      <w:r w:rsidRPr="009C1B1B">
        <w:rPr>
          <w:noProof/>
          <w:sz w:val="24"/>
        </w:rPr>
        <w:t>(1), 54–78. https://doi.org/10.1080/11745398.2007.9686754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Mursela, M., Kamila, Y., &amp; Nurjihad, R. </w:t>
      </w:r>
      <w:r w:rsidRPr="009C1B1B">
        <w:rPr>
          <w:noProof/>
          <w:sz w:val="24"/>
        </w:rPr>
        <w:t xml:space="preserve">(2023). Nilai Kearifan Lokal Budaya Kenduri Di Pulau Bengkalis Ditinjau Dari Aspek Agamis Dan Sosiologis. </w:t>
      </w:r>
      <w:r w:rsidRPr="009C1B1B">
        <w:rPr>
          <w:i/>
          <w:iCs/>
          <w:noProof/>
          <w:sz w:val="24"/>
        </w:rPr>
        <w:t>Jurnal Ilmiah Pendidikan Dan Keislaman</w:t>
      </w:r>
      <w:r w:rsidRPr="009C1B1B">
        <w:rPr>
          <w:noProof/>
          <w:sz w:val="24"/>
        </w:rPr>
        <w:t xml:space="preserve">, </w:t>
      </w:r>
      <w:r w:rsidRPr="009C1B1B">
        <w:rPr>
          <w:i/>
          <w:iCs/>
          <w:noProof/>
          <w:sz w:val="24"/>
        </w:rPr>
        <w:t>3</w:t>
      </w:r>
      <w:r w:rsidRPr="009C1B1B">
        <w:rPr>
          <w:noProof/>
          <w:sz w:val="24"/>
        </w:rPr>
        <w:t>(1), 66–71. https://doi.org/10.55883/jipkis.v3i1.51</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Novison, R., Akhyan, A., Wijianto, A., &amp; Surya Dharma, D. (2023). Pelatihan Penggunaan Mesin Pengepres Kulit Untuk Alat Musik Kompang. </w:t>
      </w:r>
      <w:r w:rsidRPr="009C1B1B">
        <w:rPr>
          <w:i/>
          <w:iCs/>
          <w:noProof/>
          <w:sz w:val="24"/>
        </w:rPr>
        <w:t>JITER-PM (Jurnal Inovasi Terapan - Pengabdian Masyarakat)</w:t>
      </w:r>
      <w:r w:rsidRPr="009C1B1B">
        <w:rPr>
          <w:noProof/>
          <w:sz w:val="24"/>
        </w:rPr>
        <w:t xml:space="preserve">, </w:t>
      </w:r>
      <w:r w:rsidRPr="009C1B1B">
        <w:rPr>
          <w:i/>
          <w:iCs/>
          <w:noProof/>
          <w:sz w:val="24"/>
        </w:rPr>
        <w:t>1</w:t>
      </w:r>
      <w:r w:rsidRPr="009C1B1B">
        <w:rPr>
          <w:noProof/>
          <w:sz w:val="24"/>
        </w:rPr>
        <w:t>(1), 10–19. https://doi.org/10.35143/jiterpm.v1i1.5860</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Nurul Aqillah binti Zaini, Siti Nor Ayna binti Mohd Ayu, M. Z. M. (2021). Seni putaran : Gasing Pangkah Tradisional yang Kian Lenyap Nurul Aqillah binti Zaini Siti Nor Ayna binti Mohd Ayu Mohd Zairul Masron Fakulti Pengurusan Maklumat UiTM Cawangan Selangor , Kampus Puncak Perdana. </w:t>
      </w:r>
      <w:r w:rsidRPr="009C1B1B">
        <w:rPr>
          <w:i/>
          <w:iCs/>
          <w:noProof/>
          <w:sz w:val="24"/>
        </w:rPr>
        <w:t>Sejarah Lisan Malaysia</w:t>
      </w:r>
      <w:r w:rsidRPr="009C1B1B">
        <w:rPr>
          <w:noProof/>
          <w:sz w:val="24"/>
        </w:rPr>
        <w:t xml:space="preserve">, </w:t>
      </w:r>
      <w:r w:rsidRPr="009C1B1B">
        <w:rPr>
          <w:i/>
          <w:iCs/>
          <w:noProof/>
          <w:sz w:val="24"/>
        </w:rPr>
        <w:t>5</w:t>
      </w:r>
      <w:r w:rsidRPr="009C1B1B">
        <w:rPr>
          <w:noProof/>
          <w:sz w:val="24"/>
        </w:rPr>
        <w:t>(2), 37–54.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Peirce. (1998). </w:t>
      </w:r>
      <w:r w:rsidRPr="009C1B1B">
        <w:rPr>
          <w:i/>
          <w:iCs/>
          <w:noProof/>
          <w:sz w:val="24"/>
        </w:rPr>
        <w:t>The Essential Peirce: Selected Philosophical Writings Volume 2 (1893-1913)</w:t>
      </w:r>
      <w:r w:rsidRPr="009C1B1B">
        <w:rPr>
          <w:noProof/>
          <w:sz w:val="24"/>
        </w:rPr>
        <w:t xml:space="preserve"> (A. C. L. Nathan Houser, Jonathan R. Eller, Ed.). Bloomington, Indiana: Indiana University Press.</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Preston-whyte, R. (2001). Constructed Leisure Space. The Seaside at Durban. </w:t>
      </w:r>
      <w:r w:rsidRPr="009C1B1B">
        <w:rPr>
          <w:i/>
          <w:iCs/>
          <w:noProof/>
          <w:sz w:val="24"/>
        </w:rPr>
        <w:t>Annals of Tourism Research</w:t>
      </w:r>
      <w:r w:rsidRPr="009C1B1B">
        <w:rPr>
          <w:noProof/>
          <w:sz w:val="24"/>
        </w:rPr>
        <w:t xml:space="preserve">, </w:t>
      </w:r>
      <w:r w:rsidRPr="009C1B1B">
        <w:rPr>
          <w:i/>
          <w:iCs/>
          <w:noProof/>
          <w:sz w:val="24"/>
        </w:rPr>
        <w:t>28</w:t>
      </w:r>
      <w:r w:rsidRPr="009C1B1B">
        <w:rPr>
          <w:noProof/>
          <w:sz w:val="24"/>
        </w:rPr>
        <w:t xml:space="preserve">(3), </w:t>
      </w:r>
      <w:r w:rsidRPr="009C1B1B">
        <w:rPr>
          <w:noProof/>
          <w:sz w:val="24"/>
        </w:rPr>
        <w:lastRenderedPageBreak/>
        <w:t>581–596.</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Putriana, A. (2023). Eksistensi Tanjak Melayu. </w:t>
      </w:r>
      <w:r w:rsidRPr="009C1B1B">
        <w:rPr>
          <w:i/>
          <w:iCs/>
          <w:noProof/>
          <w:sz w:val="24"/>
        </w:rPr>
        <w:t>Jurnal Ilmiah Pariwisata Imelda (JIPSI)</w:t>
      </w:r>
      <w:r w:rsidRPr="009C1B1B">
        <w:rPr>
          <w:noProof/>
          <w:sz w:val="24"/>
        </w:rPr>
        <w:t xml:space="preserve">, </w:t>
      </w:r>
      <w:r w:rsidRPr="009C1B1B">
        <w:rPr>
          <w:i/>
          <w:iCs/>
          <w:noProof/>
          <w:sz w:val="24"/>
        </w:rPr>
        <w:t>1</w:t>
      </w:r>
      <w:r w:rsidRPr="009C1B1B">
        <w:rPr>
          <w:noProof/>
          <w:sz w:val="24"/>
        </w:rPr>
        <w:t>(2), 37–41. Retrieved from https://jurnal.uimedan.ac.id/index.php/JIPSI/article/view/1373%0Ahttps://jurnal.uimedan.ac.id/index.php/JIPSI/article/download/1373/948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Rabbiosi, C. (2015). Renewing a historical legacy: Tourism, leisure shopping and urban branding in Paris. </w:t>
      </w:r>
      <w:r w:rsidRPr="009C1B1B">
        <w:rPr>
          <w:i/>
          <w:iCs/>
          <w:noProof/>
          <w:sz w:val="24"/>
        </w:rPr>
        <w:t>Cities</w:t>
      </w:r>
      <w:r w:rsidRPr="009C1B1B">
        <w:rPr>
          <w:noProof/>
          <w:sz w:val="24"/>
        </w:rPr>
        <w:t xml:space="preserve">, </w:t>
      </w:r>
      <w:r w:rsidRPr="009C1B1B">
        <w:rPr>
          <w:i/>
          <w:iCs/>
          <w:noProof/>
          <w:sz w:val="24"/>
        </w:rPr>
        <w:t>42</w:t>
      </w:r>
      <w:r w:rsidRPr="009C1B1B">
        <w:rPr>
          <w:noProof/>
          <w:sz w:val="24"/>
        </w:rPr>
        <w:t>(PB), 195–203. https://doi.org/10.1016/j.cities.2014.07.001</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Rakasiwi, G., Syeilendra, &amp; Darma, Epria, I. (2018). Pelestarian Kesenian Kompang Di Sanggar Seni Tapak Budaya Tanjung Uban Kabupaten Bintan Provinsi Kepulauan Riau. </w:t>
      </w:r>
      <w:r w:rsidRPr="009C1B1B">
        <w:rPr>
          <w:i/>
          <w:iCs/>
          <w:noProof/>
          <w:sz w:val="24"/>
        </w:rPr>
        <w:t>E-Jurnal Sendratasik</w:t>
      </w:r>
      <w:r w:rsidRPr="009C1B1B">
        <w:rPr>
          <w:noProof/>
          <w:sz w:val="24"/>
        </w:rPr>
        <w:t xml:space="preserve">, </w:t>
      </w:r>
      <w:r w:rsidRPr="009C1B1B">
        <w:rPr>
          <w:i/>
          <w:iCs/>
          <w:noProof/>
          <w:sz w:val="24"/>
        </w:rPr>
        <w:t>6</w:t>
      </w:r>
      <w:r w:rsidRPr="009C1B1B">
        <w:rPr>
          <w:noProof/>
          <w:sz w:val="24"/>
        </w:rPr>
        <w:t>(2), 62–73.</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Ramadona, Y., Minawati, R., &amp; Nursyirwan, N. (2014). Kompang Atraksi Pada Masyarakat Bengkalis Riau. </w:t>
      </w:r>
      <w:r w:rsidRPr="009C1B1B">
        <w:rPr>
          <w:i/>
          <w:iCs/>
          <w:noProof/>
          <w:sz w:val="24"/>
        </w:rPr>
        <w:t>Bercadik: Jurnal Pengkajian Dan Penciptaan Seni</w:t>
      </w:r>
      <w:r w:rsidRPr="009C1B1B">
        <w:rPr>
          <w:noProof/>
          <w:sz w:val="24"/>
        </w:rPr>
        <w:t xml:space="preserve">, </w:t>
      </w:r>
      <w:r w:rsidRPr="009C1B1B">
        <w:rPr>
          <w:i/>
          <w:iCs/>
          <w:noProof/>
          <w:sz w:val="24"/>
        </w:rPr>
        <w:t>2</w:t>
      </w:r>
      <w:r w:rsidRPr="009C1B1B">
        <w:rPr>
          <w:noProof/>
          <w:sz w:val="24"/>
        </w:rPr>
        <w:t>(2), 1–14.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Reisinger, Y., &amp; Steiner, C. J. (2006). Reconceptualizing object authenticity. </w:t>
      </w:r>
      <w:r w:rsidRPr="009C1B1B">
        <w:rPr>
          <w:i/>
          <w:iCs/>
          <w:noProof/>
          <w:sz w:val="24"/>
        </w:rPr>
        <w:t>Annals of Tourism Research</w:t>
      </w:r>
      <w:r w:rsidRPr="009C1B1B">
        <w:rPr>
          <w:noProof/>
          <w:sz w:val="24"/>
        </w:rPr>
        <w:t xml:space="preserve">, </w:t>
      </w:r>
      <w:r w:rsidRPr="009C1B1B">
        <w:rPr>
          <w:i/>
          <w:iCs/>
          <w:noProof/>
          <w:sz w:val="24"/>
        </w:rPr>
        <w:t>33</w:t>
      </w:r>
      <w:r w:rsidRPr="009C1B1B">
        <w:rPr>
          <w:noProof/>
          <w:sz w:val="24"/>
        </w:rPr>
        <w:t>(1), 65–86. https://doi.org/10.1016/j.annals.2005.04.003</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Saussure, F. De. (1959). </w:t>
      </w:r>
      <w:r w:rsidRPr="009C1B1B">
        <w:rPr>
          <w:i/>
          <w:iCs/>
          <w:noProof/>
          <w:sz w:val="24"/>
        </w:rPr>
        <w:t xml:space="preserve">Course in General </w:t>
      </w:r>
      <w:r w:rsidRPr="009C1B1B">
        <w:rPr>
          <w:i/>
          <w:iCs/>
          <w:noProof/>
          <w:sz w:val="24"/>
        </w:rPr>
        <w:t>Linguistics</w:t>
      </w:r>
      <w:r w:rsidRPr="009C1B1B">
        <w:rPr>
          <w:noProof/>
          <w:sz w:val="24"/>
        </w:rPr>
        <w:t>. New York: Philosophical Library.</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Schwarz, O. (2016). The symbolic economy of authenticity as a form of symbolic violence: the case of middle-class ethnic minorities. </w:t>
      </w:r>
      <w:r w:rsidRPr="009C1B1B">
        <w:rPr>
          <w:i/>
          <w:iCs/>
          <w:noProof/>
          <w:sz w:val="24"/>
        </w:rPr>
        <w:t>Distinktion</w:t>
      </w:r>
      <w:r w:rsidRPr="009C1B1B">
        <w:rPr>
          <w:noProof/>
          <w:sz w:val="24"/>
        </w:rPr>
        <w:t xml:space="preserve">, </w:t>
      </w:r>
      <w:r w:rsidRPr="009C1B1B">
        <w:rPr>
          <w:i/>
          <w:iCs/>
          <w:noProof/>
          <w:sz w:val="24"/>
        </w:rPr>
        <w:t>17</w:t>
      </w:r>
      <w:r w:rsidRPr="009C1B1B">
        <w:rPr>
          <w:noProof/>
          <w:sz w:val="24"/>
        </w:rPr>
        <w:t>(1), 2–19. https://doi.org/10.1080/1600910X.2016.1156007</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Shields, R. (1991). Places on the Margin. Alternative geographies of Modernity. In </w:t>
      </w:r>
      <w:r w:rsidRPr="009C1B1B">
        <w:rPr>
          <w:i/>
          <w:iCs/>
          <w:noProof/>
          <w:sz w:val="24"/>
        </w:rPr>
        <w:t>Journal of Chemical Information and Modeling</w:t>
      </w:r>
      <w:r w:rsidRPr="009C1B1B">
        <w:rPr>
          <w:noProof/>
          <w:sz w:val="24"/>
        </w:rPr>
        <w:t xml:space="preserve"> (Vol. 53). https://doi.org/10.1017/CBO9781107415324.004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Song, S., Park, S. “Brian,” &amp; Park, K. (2020). Thematic analysis of destination images for social media engagement marketing. </w:t>
      </w:r>
      <w:r w:rsidRPr="009C1B1B">
        <w:rPr>
          <w:i/>
          <w:iCs/>
          <w:noProof/>
          <w:sz w:val="24"/>
        </w:rPr>
        <w:t>Industrial Management and Data Systems</w:t>
      </w:r>
      <w:r w:rsidRPr="009C1B1B">
        <w:rPr>
          <w:noProof/>
          <w:sz w:val="24"/>
        </w:rPr>
        <w:t xml:space="preserve">, </w:t>
      </w:r>
      <w:r w:rsidRPr="009C1B1B">
        <w:rPr>
          <w:i/>
          <w:iCs/>
          <w:noProof/>
          <w:sz w:val="24"/>
        </w:rPr>
        <w:t>121</w:t>
      </w:r>
      <w:r w:rsidRPr="009C1B1B">
        <w:rPr>
          <w:noProof/>
          <w:sz w:val="24"/>
        </w:rPr>
        <w:t>(6), 1375–1397. https://doi.org/10.1108/IMDS-12-2019-0667</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Su, X. (2010). </w:t>
      </w:r>
      <w:r w:rsidRPr="009C1B1B">
        <w:rPr>
          <w:i/>
          <w:iCs/>
          <w:noProof/>
          <w:sz w:val="24"/>
        </w:rPr>
        <w:t>The Imagination of Place and Tourism Consumption : A Case Study of The Imagination of Place and Tourism Consumption : A Case Study of Lijiang Ancient Town , China</w:t>
      </w:r>
      <w:r w:rsidRPr="009C1B1B">
        <w:rPr>
          <w:noProof/>
          <w:sz w:val="24"/>
        </w:rPr>
        <w:t>. (917396443). https://doi.org/10.1080/14616688.2010.494688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Sun, W., Tang, S., &amp; Liu, F. (2021). Examining perceived and projected </w:t>
      </w:r>
      <w:r w:rsidRPr="009C1B1B">
        <w:rPr>
          <w:noProof/>
          <w:sz w:val="24"/>
        </w:rPr>
        <w:lastRenderedPageBreak/>
        <w:t xml:space="preserve">destination image: A social media content analysis. </w:t>
      </w:r>
      <w:r w:rsidRPr="009C1B1B">
        <w:rPr>
          <w:i/>
          <w:iCs/>
          <w:noProof/>
          <w:sz w:val="24"/>
        </w:rPr>
        <w:t>Sustainability (Switzerland)</w:t>
      </w:r>
      <w:r w:rsidRPr="009C1B1B">
        <w:rPr>
          <w:noProof/>
          <w:sz w:val="24"/>
        </w:rPr>
        <w:t xml:space="preserve">, </w:t>
      </w:r>
      <w:r w:rsidRPr="009C1B1B">
        <w:rPr>
          <w:i/>
          <w:iCs/>
          <w:noProof/>
          <w:sz w:val="24"/>
        </w:rPr>
        <w:t>13</w:t>
      </w:r>
      <w:r w:rsidRPr="009C1B1B">
        <w:rPr>
          <w:noProof/>
          <w:sz w:val="24"/>
        </w:rPr>
        <w:t>(6). https://doi.org/10.3390/su13063354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Taufiqqurrachman. (2020). Formatting Online Image of “Halal” Destination through Photography. </w:t>
      </w:r>
      <w:r w:rsidRPr="009C1B1B">
        <w:rPr>
          <w:i/>
          <w:iCs/>
          <w:noProof/>
          <w:sz w:val="24"/>
        </w:rPr>
        <w:t>Open Journal of Business and Management</w:t>
      </w:r>
      <w:r w:rsidRPr="009C1B1B">
        <w:rPr>
          <w:noProof/>
          <w:sz w:val="24"/>
        </w:rPr>
        <w:t xml:space="preserve">, </w:t>
      </w:r>
      <w:r w:rsidRPr="009C1B1B">
        <w:rPr>
          <w:i/>
          <w:iCs/>
          <w:noProof/>
          <w:sz w:val="24"/>
        </w:rPr>
        <w:t>08</w:t>
      </w:r>
      <w:r w:rsidRPr="009C1B1B">
        <w:rPr>
          <w:noProof/>
          <w:sz w:val="24"/>
        </w:rPr>
        <w:t>(02), 660–682. https://doi.org/10.4236/ojbm.2020.82040</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Thomsen, R. C., &amp; Vester, S. P. (2016). Towards a Semiotics-Based Typology of Authenticities in Heritage Tourism: Authenticities at Nottingham Castle, UK, and Nuuk Colonial Harbour, Greenland. </w:t>
      </w:r>
      <w:r w:rsidRPr="009C1B1B">
        <w:rPr>
          <w:i/>
          <w:iCs/>
          <w:noProof/>
          <w:sz w:val="24"/>
        </w:rPr>
        <w:t>Scandinavian Journal of Hospitality and Tourism</w:t>
      </w:r>
      <w:r w:rsidRPr="009C1B1B">
        <w:rPr>
          <w:noProof/>
          <w:sz w:val="24"/>
        </w:rPr>
        <w:t xml:space="preserve">, </w:t>
      </w:r>
      <w:r w:rsidRPr="009C1B1B">
        <w:rPr>
          <w:i/>
          <w:iCs/>
          <w:noProof/>
          <w:sz w:val="24"/>
        </w:rPr>
        <w:t>16</w:t>
      </w:r>
      <w:r w:rsidRPr="009C1B1B">
        <w:rPr>
          <w:noProof/>
          <w:sz w:val="24"/>
        </w:rPr>
        <w:t>(3), 254–273. https://doi.org/10.1080/15022250.2015.1084148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Wang, Y., &amp; Feng, D. (2021). History, modernity, and city branding in China: a multimodal critical discourse analysis of Xi’an’s promotional videos on social media. </w:t>
      </w:r>
      <w:r w:rsidRPr="009C1B1B">
        <w:rPr>
          <w:i/>
          <w:iCs/>
          <w:noProof/>
          <w:sz w:val="24"/>
        </w:rPr>
        <w:t>Social Semiotics</w:t>
      </w:r>
      <w:r w:rsidRPr="009C1B1B">
        <w:rPr>
          <w:noProof/>
          <w:sz w:val="24"/>
        </w:rPr>
        <w:t xml:space="preserve">, </w:t>
      </w:r>
      <w:r w:rsidRPr="009C1B1B">
        <w:rPr>
          <w:i/>
          <w:iCs/>
          <w:noProof/>
          <w:sz w:val="24"/>
        </w:rPr>
        <w:t>0</w:t>
      </w:r>
      <w:r w:rsidRPr="009C1B1B">
        <w:rPr>
          <w:noProof/>
          <w:sz w:val="24"/>
        </w:rPr>
        <w:t>(0), 1–24. https://doi.org/10.1080/10350330.2020.1870405</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Young, M. (1999). The social construction of tourist places. </w:t>
      </w:r>
      <w:r w:rsidRPr="009C1B1B">
        <w:rPr>
          <w:i/>
          <w:iCs/>
          <w:noProof/>
          <w:sz w:val="24"/>
        </w:rPr>
        <w:t>Australian Geographer</w:t>
      </w:r>
      <w:r w:rsidRPr="009C1B1B">
        <w:rPr>
          <w:noProof/>
          <w:sz w:val="24"/>
        </w:rPr>
        <w:t xml:space="preserve">, </w:t>
      </w:r>
      <w:r w:rsidRPr="009C1B1B">
        <w:rPr>
          <w:i/>
          <w:iCs/>
          <w:noProof/>
          <w:sz w:val="24"/>
        </w:rPr>
        <w:t>30</w:t>
      </w:r>
      <w:r w:rsidRPr="009C1B1B">
        <w:rPr>
          <w:noProof/>
          <w:sz w:val="24"/>
        </w:rPr>
        <w:t>(3), 373–389. https://doi.org/10.1080/000491899936</w:t>
      </w:r>
      <w:r w:rsidRPr="009C1B1B">
        <w:rPr>
          <w:noProof/>
          <w:sz w:val="24"/>
        </w:rPr>
        <w:t>48</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Zukin, Sharon, Robert Baskerville, Miriam Greenberg, Courtney Guthreau, Jean Halley, Mark Halling, K. L. (1998). From Coney Island to Las Vegas in The Urban Imaginary. </w:t>
      </w:r>
      <w:r w:rsidRPr="009C1B1B">
        <w:rPr>
          <w:i/>
          <w:iCs/>
          <w:noProof/>
          <w:sz w:val="24"/>
        </w:rPr>
        <w:t>Urban Affairs Review</w:t>
      </w:r>
      <w:r w:rsidRPr="009C1B1B">
        <w:rPr>
          <w:noProof/>
          <w:sz w:val="24"/>
        </w:rPr>
        <w:t xml:space="preserve">, </w:t>
      </w:r>
      <w:r w:rsidRPr="009C1B1B">
        <w:rPr>
          <w:i/>
          <w:iCs/>
          <w:noProof/>
          <w:sz w:val="24"/>
        </w:rPr>
        <w:t>33</w:t>
      </w:r>
      <w:r w:rsidRPr="009C1B1B">
        <w:rPr>
          <w:noProof/>
          <w:sz w:val="24"/>
        </w:rPr>
        <w:t>(5), 627–654.</w:t>
      </w:r>
    </w:p>
    <w:p w:rsidR="009C1B1B" w:rsidRPr="009C1B1B" w:rsidRDefault="009C1B1B" w:rsidP="009C1B1B">
      <w:pPr>
        <w:widowControl w:val="0"/>
        <w:autoSpaceDE w:val="0"/>
        <w:autoSpaceDN w:val="0"/>
        <w:adjustRightInd w:val="0"/>
        <w:spacing w:line="360" w:lineRule="auto"/>
        <w:ind w:left="480" w:hanging="480"/>
        <w:rPr>
          <w:noProof/>
          <w:sz w:val="24"/>
        </w:rPr>
      </w:pPr>
      <w:r w:rsidRPr="009C1B1B">
        <w:rPr>
          <w:noProof/>
          <w:sz w:val="24"/>
        </w:rPr>
        <w:t xml:space="preserve">Zukin, S. (1995). The cultures of cities. In </w:t>
      </w:r>
      <w:r w:rsidRPr="009C1B1B">
        <w:rPr>
          <w:i/>
          <w:iCs/>
          <w:noProof/>
          <w:sz w:val="24"/>
        </w:rPr>
        <w:t>Urban Social Geography</w:t>
      </w:r>
      <w:r w:rsidRPr="009C1B1B">
        <w:rPr>
          <w:noProof/>
          <w:sz w:val="24"/>
        </w:rPr>
        <w:t>. https://doi.org/10.4324/9781315847238-9</w:t>
      </w:r>
    </w:p>
    <w:p w:rsidR="00D94E01" w:rsidRDefault="00D94E01" w:rsidP="009C1B1B">
      <w:pPr>
        <w:widowControl w:val="0"/>
        <w:autoSpaceDE w:val="0"/>
        <w:autoSpaceDN w:val="0"/>
        <w:adjustRightInd w:val="0"/>
        <w:spacing w:line="360" w:lineRule="auto"/>
        <w:ind w:left="480" w:hanging="480"/>
        <w:rPr>
          <w:color w:val="000000"/>
          <w:sz w:val="24"/>
          <w:szCs w:val="24"/>
        </w:rPr>
      </w:pPr>
      <w:r>
        <w:rPr>
          <w:color w:val="000000"/>
          <w:sz w:val="24"/>
          <w:szCs w:val="24"/>
        </w:rPr>
        <w:fldChar w:fldCharType="end"/>
      </w: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7B797F">
      <w:pPr>
        <w:spacing w:line="360" w:lineRule="auto"/>
        <w:ind w:left="567" w:hanging="567"/>
        <w:contextualSpacing/>
        <w:jc w:val="both"/>
        <w:rPr>
          <w:color w:val="000000"/>
          <w:sz w:val="24"/>
          <w:szCs w:val="24"/>
        </w:rPr>
      </w:pPr>
    </w:p>
    <w:p w:rsidR="006B146E" w:rsidRDefault="006B146E" w:rsidP="006B146E">
      <w:pPr>
        <w:spacing w:line="360" w:lineRule="auto"/>
        <w:contextualSpacing/>
        <w:jc w:val="both"/>
        <w:rPr>
          <w:color w:val="000000"/>
          <w:sz w:val="24"/>
          <w:szCs w:val="24"/>
        </w:rPr>
      </w:pPr>
    </w:p>
    <w:p w:rsidR="006B146E" w:rsidRPr="007B797F" w:rsidRDefault="006B146E" w:rsidP="006B146E">
      <w:pPr>
        <w:spacing w:line="360" w:lineRule="auto"/>
        <w:contextualSpacing/>
        <w:jc w:val="both"/>
        <w:rPr>
          <w:color w:val="000000"/>
          <w:sz w:val="24"/>
          <w:szCs w:val="24"/>
        </w:rPr>
      </w:pPr>
    </w:p>
    <w:sectPr w:rsidR="006B146E" w:rsidRPr="007B797F" w:rsidSect="006B146E">
      <w:type w:val="continuous"/>
      <w:pgSz w:w="11907" w:h="16840" w:code="9"/>
      <w:pgMar w:top="1418" w:right="1418" w:bottom="1418" w:left="1701" w:header="1134" w:footer="892"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6008" w:rsidRDefault="00E56008">
      <w:r>
        <w:separator/>
      </w:r>
    </w:p>
  </w:endnote>
  <w:endnote w:type="continuationSeparator" w:id="0">
    <w:p w:rsidR="00E56008" w:rsidRDefault="00E5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notTrueType/>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53F" w:rsidRDefault="00AE153F">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53F" w:rsidRDefault="00AE153F">
    <w:pPr>
      <w:contextualSpacing/>
      <w:rPr>
        <w:b/>
        <w:i/>
      </w:rPr>
    </w:pPr>
    <w:r>
      <w:rPr>
        <w:b/>
        <w:i/>
        <w:noProof/>
        <w:lang w:val="id-ID" w:eastAsia="id-ID"/>
      </w:rPr>
      <mc:AlternateContent>
        <mc:Choice Requires="wps">
          <w:drawing>
            <wp:anchor distT="0" distB="0" distL="114300" distR="114300" simplePos="0" relativeHeight="251656704" behindDoc="0" locked="0" layoutInCell="1" allowOverlap="1" wp14:anchorId="714A4A2C" wp14:editId="4A0C7744">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CA0B57" id="_x0000_t32" coordsize="21600,21600" o:spt="32" o:oned="t" path="m,l21600,21600e" filled="f">
              <v:path arrowok="t" fillok="f" o:connecttype="none"/>
              <o:lock v:ext="edit" shapetype="t"/>
            </v:shapetype>
            <v:shape id="AutoShape 2" o:spid="_x0000_s1026" type="#_x0000_t3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">
              <o:lock v:ext="edit" selection="t"/>
            </v:shape>
          </w:pict>
        </mc:Fallback>
      </mc:AlternateContent>
    </w:r>
    <w:r>
      <w:rPr>
        <w:b/>
        <w:i/>
        <w:noProof/>
        <w:lang w:val="id-ID" w:eastAsia="id-ID"/>
      </w:rPr>
      <mc:AlternateContent>
        <mc:Choice Requires="wps">
          <w:drawing>
            <wp:anchor distT="0" distB="0" distL="0" distR="0" simplePos="0" relativeHeight="251658752" behindDoc="0" locked="0" layoutInCell="1" allowOverlap="1" wp14:anchorId="5B483A27" wp14:editId="7CEBCAD2">
              <wp:simplePos x="0" y="0"/>
              <wp:positionH relativeFrom="column">
                <wp:posOffset>4445</wp:posOffset>
              </wp:positionH>
              <wp:positionV relativeFrom="paragraph">
                <wp:posOffset>1270</wp:posOffset>
              </wp:positionV>
              <wp:extent cx="5544820" cy="0"/>
              <wp:effectExtent l="13970" t="10795" r="13335" b="8255"/>
              <wp:wrapNone/>
              <wp:docPr id="1" name="4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BD5A1" id="4102" o:spid="_x0000_s1026" type="#_x0000_t32" style="position:absolute;margin-left:.35pt;margin-top:.1pt;width:436.6pt;height:0;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"/>
          </w:pict>
        </mc:Fallback>
      </mc:AlternateContent>
    </w:r>
    <w:r>
      <w:rPr>
        <w:b/>
        <w:i/>
      </w:rPr>
      <w:t>Corresponding Author:</w:t>
    </w:r>
  </w:p>
  <w:p w:rsidR="00AE153F" w:rsidRPr="006B146E" w:rsidRDefault="002F51E5">
    <w:pPr>
      <w:contextualSpacing/>
      <w:rPr>
        <w:highlight w:val="yellow"/>
        <w:lang w:val="id-ID"/>
      </w:rPr>
    </w:pPr>
    <w:r>
      <w:rPr>
        <w:highlight w:val="yellow"/>
      </w:rPr>
      <w:t>Universitas Maritim Raja Ali Haji</w:t>
    </w:r>
    <w:r w:rsidR="00AE153F" w:rsidRPr="006B146E">
      <w:rPr>
        <w:highlight w:val="yellow"/>
        <w:lang w:val="id-ID"/>
      </w:rPr>
      <w:t>, Indonesia</w:t>
    </w:r>
  </w:p>
  <w:p w:rsidR="00AE153F" w:rsidRDefault="006B146E">
    <w:pPr>
      <w:contextualSpacing/>
    </w:pPr>
    <w:r w:rsidRPr="006B146E">
      <w:rPr>
        <w:highlight w:val="yellow"/>
      </w:rPr>
      <w:t xml:space="preserve">Jl. </w:t>
    </w:r>
    <w:r w:rsidR="002F51E5">
      <w:rPr>
        <w:highlight w:val="yellow"/>
      </w:rPr>
      <w:t xml:space="preserve">Raya </w:t>
    </w:r>
    <w:proofErr w:type="spellStart"/>
    <w:r w:rsidR="002F51E5">
      <w:rPr>
        <w:highlight w:val="yellow"/>
      </w:rPr>
      <w:t>Dompak</w:t>
    </w:r>
    <w:proofErr w:type="spellEnd"/>
    <w:r w:rsidRPr="006B146E">
      <w:rPr>
        <w:highlight w:val="yellow"/>
      </w:rPr>
      <w:t xml:space="preserve"> </w:t>
    </w:r>
    <w:proofErr w:type="spellStart"/>
    <w:r w:rsidR="00D94E01">
      <w:rPr>
        <w:highlight w:val="yellow"/>
      </w:rPr>
      <w:t>Tanjungpinang</w:t>
    </w:r>
    <w:proofErr w:type="spellEnd"/>
    <w:r w:rsidR="00D94E01">
      <w:rPr>
        <w:highlight w:val="yellow"/>
      </w:rPr>
      <w:t xml:space="preserve"> 29111</w:t>
    </w:r>
    <w:r w:rsidR="00AE153F" w:rsidRPr="006B146E">
      <w:rPr>
        <w:highlight w:val="yellow"/>
      </w:rPr>
      <w:t xml:space="preserve">, </w:t>
    </w:r>
    <w:r w:rsidR="00AE153F" w:rsidRPr="006B146E">
      <w:rPr>
        <w:highlight w:val="yellow"/>
        <w:lang w:val="id-ID"/>
      </w:rPr>
      <w:t>Indonesia</w:t>
    </w:r>
    <w:r w:rsidR="00AE153F" w:rsidRPr="006B146E">
      <w:rPr>
        <w:highlight w:val="yellow"/>
      </w:rPr>
      <w:t>.</w:t>
    </w:r>
  </w:p>
  <w:p w:rsidR="00AE153F" w:rsidRPr="002F51E5" w:rsidRDefault="00AE153F">
    <w:pPr>
      <w:pStyle w:val="Footer"/>
      <w:contextualSpacing/>
    </w:pPr>
    <w:r>
      <w:t xml:space="preserve">Email: </w:t>
    </w:r>
    <w:r w:rsidR="002F51E5">
      <w:t>Taufiqqurrachman@umrah.ac.id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6008" w:rsidRDefault="00E56008">
      <w:r>
        <w:separator/>
      </w:r>
    </w:p>
  </w:footnote>
  <w:footnote w:type="continuationSeparator" w:id="0">
    <w:p w:rsidR="00E56008" w:rsidRDefault="00E56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53F" w:rsidRDefault="00AE153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146E">
      <w:rPr>
        <w:rStyle w:val="PageNumber"/>
        <w:noProof/>
      </w:rPr>
      <w:t>2</w:t>
    </w:r>
    <w:r>
      <w:rPr>
        <w:rStyle w:val="PageNumber"/>
      </w:rPr>
      <w:fldChar w:fldCharType="end"/>
    </w:r>
  </w:p>
  <w:p w:rsidR="00AE153F" w:rsidRDefault="00AE153F">
    <w:pPr>
      <w:pStyle w:val="Header"/>
      <w:tabs>
        <w:tab w:val="clear" w:pos="4320"/>
        <w:tab w:val="clear" w:pos="8640"/>
      </w:tabs>
      <w:spacing w:after="240"/>
    </w:pPr>
    <w:r>
      <w:rPr>
        <w:noProof/>
        <w:lang w:val="id-ID" w:eastAsia="id-ID"/>
      </w:rPr>
      <mc:AlternateContent>
        <mc:Choice Requires="wps">
          <w:drawing>
            <wp:anchor distT="0" distB="0" distL="114300" distR="114300" simplePos="0" relativeHeight="251654656" behindDoc="0" locked="0" layoutInCell="1" allowOverlap="1" wp14:anchorId="54E8807D" wp14:editId="76961625">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E435E3" id="_x0000_t32" coordsize="21600,21600" o:spt="32" o:oned="t" path="m,l21600,21600e" filled="f">
              <v:path arrowok="t" fillok="f" o:connecttype="none"/>
              <o:lock v:ext="edit" shapetype="t"/>
            </v:shapetype>
            <v:shape id="AutoShape 7" o:spid="_x0000_s1026" type="#_x0000_t32"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">
              <o:lock v:ext="edit" selection="t"/>
            </v:shape>
          </w:pict>
        </mc:Fallback>
      </mc:AlternateContent>
    </w:r>
    <w:r>
      <w:rPr>
        <w:noProof/>
        <w:lang w:val="id-ID" w:eastAsia="id-ID"/>
      </w:rPr>
      <mc:AlternateContent>
        <mc:Choice Requires="wps">
          <w:drawing>
            <wp:anchor distT="0" distB="0" distL="0" distR="0" simplePos="0" relativeHeight="251659776" behindDoc="0" locked="0" layoutInCell="1" allowOverlap="1" wp14:anchorId="76DC885E" wp14:editId="056872F7">
              <wp:simplePos x="0" y="0"/>
              <wp:positionH relativeFrom="column">
                <wp:posOffset>23495</wp:posOffset>
              </wp:positionH>
              <wp:positionV relativeFrom="paragraph">
                <wp:posOffset>182880</wp:posOffset>
              </wp:positionV>
              <wp:extent cx="5544820" cy="0"/>
              <wp:effectExtent l="13970" t="11430" r="13335" b="7620"/>
              <wp:wrapNone/>
              <wp:docPr id="6"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85969" id="4098" o:spid="_x0000_s1026" type="#_x0000_t32" style="position:absolute;margin-left:1.85pt;margin-top:14.4pt;width:436.6pt;height:0;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" strokeweight="1pt"/>
          </w:pict>
        </mc:Fallback>
      </mc:AlternateContent>
    </w:r>
    <w:r w:rsidR="006B146E" w:rsidRPr="006B146E">
      <w:t xml:space="preserve"> </w:t>
    </w:r>
    <w:r w:rsidR="006B146E" w:rsidRPr="006B146E">
      <w:rPr>
        <w:noProof/>
        <w:lang w:val="id-ID" w:eastAsia="id-ID"/>
      </w:rPr>
      <w:t xml:space="preserve">Interaksi: Jurnal Ilmu Komunikasi </w:t>
    </w:r>
    <w:r w:rsidRPr="006B146E">
      <w:rPr>
        <w:highlight w:val="yellow"/>
      </w:rPr>
      <w:t xml:space="preserve">Vol. </w:t>
    </w:r>
    <w:r w:rsidR="006B146E" w:rsidRPr="006B146E">
      <w:rPr>
        <w:highlight w:val="yellow"/>
        <w:lang w:val="id-ID"/>
      </w:rPr>
      <w:t>7</w:t>
    </w:r>
    <w:r w:rsidRPr="006B146E">
      <w:rPr>
        <w:highlight w:val="yellow"/>
      </w:rPr>
      <w:t xml:space="preserve">, No. </w:t>
    </w:r>
    <w:r w:rsidR="006B146E" w:rsidRPr="006B146E">
      <w:rPr>
        <w:highlight w:val="yellow"/>
        <w:lang w:val="id-ID"/>
      </w:rPr>
      <w:t>1</w:t>
    </w:r>
    <w:r w:rsidRPr="006B146E">
      <w:rPr>
        <w:highlight w:val="yellow"/>
      </w:rPr>
      <w:t>, January 201</w:t>
    </w:r>
    <w:r w:rsidR="006B146E" w:rsidRPr="006B146E">
      <w:rPr>
        <w:highlight w:val="yellow"/>
        <w:lang w:val="id-ID"/>
      </w:rPr>
      <w:t>8</w:t>
    </w:r>
    <w:r w:rsidR="006B146E" w:rsidRPr="006B146E">
      <w:rPr>
        <w:highlight w:val="yellow"/>
      </w:rPr>
      <w:t>, pp. 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53F" w:rsidRDefault="00AE153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146E">
      <w:rPr>
        <w:rStyle w:val="PageNumber"/>
        <w:noProof/>
      </w:rPr>
      <w:t>3</w:t>
    </w:r>
    <w:r>
      <w:rPr>
        <w:rStyle w:val="PageNumber"/>
      </w:rPr>
      <w:fldChar w:fldCharType="end"/>
    </w:r>
  </w:p>
  <w:p w:rsidR="00AE153F" w:rsidRDefault="006B146E" w:rsidP="006B146E">
    <w:pPr>
      <w:pStyle w:val="Header"/>
      <w:pBdr>
        <w:bottom w:val="single" w:sz="4" w:space="1" w:color="auto"/>
      </w:pBdr>
      <w:tabs>
        <w:tab w:val="clear" w:pos="4320"/>
        <w:tab w:val="clear" w:pos="8640"/>
      </w:tabs>
      <w:jc w:val="right"/>
    </w:pPr>
    <w:r>
      <w:rPr>
        <w:lang w:val="id-ID"/>
      </w:rPr>
      <w:t>Nama Penulis</w:t>
    </w:r>
    <w:r w:rsidR="00AE153F">
      <w:t>, et. al</w:t>
    </w:r>
    <w:r w:rsidR="00AE153F">
      <w:rPr>
        <w:lang w:val="id-ID"/>
      </w:rPr>
      <w:t xml:space="preserve"> </w:t>
    </w:r>
    <w:r w:rsidR="00AE153F">
      <w:t xml:space="preserve">/ </w:t>
    </w:r>
    <w:r>
      <w:rPr>
        <w:lang w:val="id-ID"/>
      </w:rPr>
      <w:t>Judul Artikel</w:t>
    </w:r>
    <w:r w:rsidR="00AE153F">
      <w:tab/>
    </w:r>
  </w:p>
  <w:p w:rsidR="00AE153F" w:rsidRDefault="00AE153F">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53F" w:rsidRDefault="00AE153F">
    <w:pPr>
      <w:pStyle w:val="Header"/>
      <w:tabs>
        <w:tab w:val="clear" w:pos="4320"/>
        <w:tab w:val="clear" w:pos="8640"/>
      </w:tabs>
      <w:ind w:right="45"/>
      <w:rPr>
        <w:b/>
        <w:color w:val="000000"/>
      </w:rPr>
    </w:pPr>
    <w:r w:rsidRPr="00B9674C">
      <w:rPr>
        <w:b/>
        <w:noProof/>
        <w:color w:val="000000"/>
        <w:sz w:val="24"/>
        <w:lang w:val="id-ID" w:eastAsia="id-ID"/>
      </w:rPr>
      <mc:AlternateContent>
        <mc:Choice Requires="wps">
          <w:drawing>
            <wp:anchor distT="0" distB="0" distL="0" distR="0" simplePos="0" relativeHeight="251660800" behindDoc="0" locked="0" layoutInCell="1" allowOverlap="1" wp14:anchorId="4D836681" wp14:editId="450039A1">
              <wp:simplePos x="0" y="0"/>
              <wp:positionH relativeFrom="column">
                <wp:posOffset>4582795</wp:posOffset>
              </wp:positionH>
              <wp:positionV relativeFrom="paragraph">
                <wp:posOffset>-12125</wp:posOffset>
              </wp:positionV>
              <wp:extent cx="965200" cy="219710"/>
              <wp:effectExtent l="0" t="0" r="0" b="1270"/>
              <wp:wrapNone/>
              <wp:docPr id="5" name="4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1971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53F" w:rsidRDefault="00AE153F">
                          <w:pPr>
                            <w:jc w:val="center"/>
                            <w:rPr>
                              <w:b/>
                              <w:color w:val="FFFFFF"/>
                              <w:sz w:val="16"/>
                              <w:lang w:val="id-ID"/>
                            </w:rPr>
                          </w:pPr>
                          <w:r>
                            <w:rPr>
                              <w:b/>
                              <w:color w:val="FFFFFF"/>
                              <w:sz w:val="16"/>
                              <w:lang w:val="id-ID"/>
                            </w:rPr>
                            <w:t>OPEN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36681" id="4100" o:spid="_x0000_s1026" style="position:absolute;margin-left:360.85pt;margin-top:-.95pt;width:76pt;height:17.3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" fillcolor="#0070c0" stroked="f">
              <v:textbox>
                <w:txbxContent>
                  <w:p w:rsidR="00AE153F" w:rsidRDefault="00AE153F">
                    <w:pPr>
                      <w:jc w:val="center"/>
                      <w:rPr>
                        <w:b/>
                        <w:color w:val="FFFFFF"/>
                        <w:sz w:val="16"/>
                        <w:lang w:val="id-ID"/>
                      </w:rPr>
                    </w:pPr>
                    <w:r>
                      <w:rPr>
                        <w:b/>
                        <w:color w:val="FFFFFF"/>
                        <w:sz w:val="16"/>
                        <w:lang w:val="id-ID"/>
                      </w:rPr>
                      <w:t>OPEN ACCESS</w:t>
                    </w:r>
                  </w:p>
                </w:txbxContent>
              </v:textbox>
            </v:rect>
          </w:pict>
        </mc:Fallback>
      </mc:AlternateContent>
    </w:r>
    <w:r w:rsidR="00B9674C" w:rsidRPr="00B9674C">
      <w:rPr>
        <w:b/>
        <w:noProof/>
        <w:color w:val="000000"/>
        <w:sz w:val="24"/>
        <w:lang w:val="id-ID" w:eastAsia="id-ID"/>
      </w:rPr>
      <w:t>Interaksi: Jurnal Ilmu Komunikasi</w:t>
    </w:r>
  </w:p>
  <w:p w:rsidR="00AE153F" w:rsidRDefault="00AE153F">
    <w:pPr>
      <w:pStyle w:val="Header"/>
      <w:tabs>
        <w:tab w:val="clear" w:pos="4320"/>
        <w:tab w:val="clear" w:pos="8640"/>
      </w:tabs>
      <w:ind w:right="45"/>
      <w:rPr>
        <w:color w:val="000000"/>
      </w:rPr>
    </w:pPr>
    <w:r w:rsidRPr="00B9674C">
      <w:rPr>
        <w:color w:val="000000"/>
        <w:highlight w:val="yellow"/>
      </w:rPr>
      <w:t>Vol.</w:t>
    </w:r>
    <w:r w:rsidRPr="00B9674C">
      <w:rPr>
        <w:color w:val="000000"/>
        <w:highlight w:val="yellow"/>
        <w:lang w:val="id-ID"/>
      </w:rPr>
      <w:t xml:space="preserve"> </w:t>
    </w:r>
    <w:r w:rsidR="00B9674C" w:rsidRPr="00B9674C">
      <w:rPr>
        <w:color w:val="000000"/>
        <w:highlight w:val="yellow"/>
        <w:lang w:val="id-ID"/>
      </w:rPr>
      <w:t>7</w:t>
    </w:r>
    <w:r w:rsidRPr="00B9674C">
      <w:rPr>
        <w:color w:val="000000"/>
        <w:highlight w:val="yellow"/>
      </w:rPr>
      <w:t>, No.</w:t>
    </w:r>
    <w:r w:rsidRPr="00B9674C">
      <w:rPr>
        <w:color w:val="000000"/>
        <w:highlight w:val="yellow"/>
        <w:lang w:val="id-ID"/>
      </w:rPr>
      <w:t xml:space="preserve"> </w:t>
    </w:r>
    <w:r w:rsidR="00B9674C" w:rsidRPr="00B9674C">
      <w:rPr>
        <w:color w:val="000000"/>
        <w:highlight w:val="yellow"/>
        <w:lang w:val="id-ID"/>
      </w:rPr>
      <w:t>1</w:t>
    </w:r>
    <w:r w:rsidRPr="00B9674C">
      <w:rPr>
        <w:color w:val="000000"/>
        <w:highlight w:val="yellow"/>
      </w:rPr>
      <w:t xml:space="preserve">, </w:t>
    </w:r>
    <w:proofErr w:type="spellStart"/>
    <w:r w:rsidR="00B9674C" w:rsidRPr="00B9674C">
      <w:rPr>
        <w:color w:val="000000"/>
        <w:highlight w:val="yellow"/>
        <w:lang w:val="id-ID"/>
      </w:rPr>
      <w:t>January</w:t>
    </w:r>
    <w:proofErr w:type="spellEnd"/>
    <w:r w:rsidRPr="00B9674C">
      <w:rPr>
        <w:color w:val="000000"/>
        <w:highlight w:val="yellow"/>
      </w:rPr>
      <w:t xml:space="preserve"> 201</w:t>
    </w:r>
    <w:r w:rsidR="00B9674C" w:rsidRPr="00B9674C">
      <w:rPr>
        <w:color w:val="000000"/>
        <w:highlight w:val="yellow"/>
        <w:lang w:val="id-ID"/>
      </w:rPr>
      <w:t>8</w:t>
    </w:r>
    <w:r w:rsidR="00B9674C" w:rsidRPr="00B9674C">
      <w:rPr>
        <w:color w:val="000000"/>
        <w:highlight w:val="yellow"/>
      </w:rPr>
      <w:t>, pp. 1</w:t>
    </w:r>
    <w:r w:rsidR="00253616" w:rsidRPr="00B9674C">
      <w:rPr>
        <w:color w:val="000000"/>
        <w:highlight w:val="yellow"/>
      </w:rPr>
      <w:t xml:space="preserve"> – 19</w:t>
    </w:r>
  </w:p>
  <w:p w:rsidR="00AE153F" w:rsidRDefault="00B9674C">
    <w:pPr>
      <w:pStyle w:val="Header"/>
      <w:tabs>
        <w:tab w:val="clear" w:pos="4320"/>
        <w:tab w:val="clear" w:pos="8640"/>
      </w:tabs>
      <w:rPr>
        <w:color w:val="000000"/>
        <w:lang w:val="id-ID"/>
      </w:rPr>
    </w:pPr>
    <w:r>
      <w:rPr>
        <w:color w:val="000000"/>
        <w:lang w:val="id-ID"/>
      </w:rPr>
      <w:t xml:space="preserve">ISSN </w:t>
    </w:r>
    <w:r w:rsidRPr="00B9674C">
      <w:rPr>
        <w:color w:val="000000"/>
        <w:lang w:val="id-ID"/>
      </w:rPr>
      <w:t>2310-6051</w:t>
    </w:r>
    <w:r>
      <w:rPr>
        <w:color w:val="000000"/>
        <w:lang w:val="id-ID"/>
      </w:rPr>
      <w:t xml:space="preserve"> (</w:t>
    </w:r>
    <w:proofErr w:type="spellStart"/>
    <w:r>
      <w:rPr>
        <w:color w:val="000000"/>
        <w:lang w:val="id-ID"/>
      </w:rPr>
      <w:t>Print</w:t>
    </w:r>
    <w:proofErr w:type="spellEnd"/>
    <w:r>
      <w:rPr>
        <w:color w:val="000000"/>
        <w:lang w:val="id-ID"/>
      </w:rPr>
      <w:t xml:space="preserve">), </w:t>
    </w:r>
    <w:r w:rsidR="00AE153F">
      <w:rPr>
        <w:color w:val="000000"/>
      </w:rPr>
      <w:t xml:space="preserve">ISSN </w:t>
    </w:r>
    <w:r w:rsidRPr="00B9674C">
      <w:t xml:space="preserve">2548-4907 </w:t>
    </w:r>
    <w:r w:rsidR="00AE153F">
      <w:rPr>
        <w:color w:val="000000"/>
      </w:rPr>
      <w:t>(online)</w:t>
    </w:r>
  </w:p>
  <w:p w:rsidR="00AE153F" w:rsidRDefault="00AE153F">
    <w:pPr>
      <w:pStyle w:val="Header"/>
      <w:tabs>
        <w:tab w:val="clear" w:pos="4320"/>
        <w:tab w:val="clear" w:pos="8640"/>
      </w:tabs>
      <w:rPr>
        <w:rStyle w:val="PageNumber"/>
        <w:color w:val="000000"/>
      </w:rPr>
    </w:pPr>
    <w:proofErr w:type="spellStart"/>
    <w:r>
      <w:rPr>
        <w:color w:val="000000"/>
        <w:lang w:val="id-ID"/>
      </w:rPr>
      <w:t>Journal</w:t>
    </w:r>
    <w:proofErr w:type="spellEnd"/>
    <w:r>
      <w:rPr>
        <w:color w:val="000000"/>
        <w:lang w:val="id-ID"/>
      </w:rPr>
      <w:t xml:space="preserve"> </w:t>
    </w:r>
    <w:proofErr w:type="spellStart"/>
    <w:r>
      <w:rPr>
        <w:color w:val="000000"/>
        <w:lang w:val="id-ID"/>
      </w:rPr>
      <w:t>hompage</w:t>
    </w:r>
    <w:proofErr w:type="spellEnd"/>
    <w:r>
      <w:rPr>
        <w:color w:val="000000"/>
        <w:lang w:val="id-ID"/>
      </w:rPr>
      <w:t xml:space="preserve"> </w:t>
    </w:r>
    <w:r w:rsidR="00B9674C" w:rsidRPr="00B9674C">
      <w:t>https://ejournal.undip.ac.id/index.php/interaksi</w:t>
    </w:r>
    <w:r>
      <w:rPr>
        <w:color w:val="000000"/>
      </w:rPr>
      <w:tab/>
      <w:t xml:space="preserve">    </w:t>
    </w:r>
    <w:r>
      <w:rPr>
        <w:color w:val="000000"/>
      </w:rPr>
      <w:tab/>
    </w:r>
  </w:p>
  <w:p w:rsidR="00AE153F" w:rsidRDefault="00AE153F">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114300" distR="114300" simplePos="0" relativeHeight="251655680" behindDoc="0" locked="0" layoutInCell="1" allowOverlap="1" wp14:anchorId="7E34BD91" wp14:editId="48595B7C">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FB97C3A" id="_x0000_t32" coordsize="21600,21600" o:spt="32" o:oned="t" path="m,l21600,21600e" filled="f">
              <v:path arrowok="t" fillok="f" o:connecttype="none"/>
              <o:lock v:ext="edit" shapetype="t"/>
            </v:shapetype>
            <v:shape id="AutoShape 4" o:spid="_x0000_s1026" type="#_x0000_t32"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">
              <o:lock v:ext="edit" selection="t"/>
            </v:shape>
          </w:pict>
        </mc:Fallback>
      </mc:AlternateContent>
    </w:r>
    <w:r>
      <w:rPr>
        <w:noProof/>
        <w:color w:val="000000"/>
        <w:lang w:val="id-ID" w:eastAsia="id-ID"/>
      </w:rPr>
      <mc:AlternateContent>
        <mc:Choice Requires="wps">
          <w:drawing>
            <wp:anchor distT="0" distB="0" distL="0" distR="0" simplePos="0" relativeHeight="251657728" behindDoc="0" locked="0" layoutInCell="1" allowOverlap="1" wp14:anchorId="27178EF9" wp14:editId="4DD4A1A6">
              <wp:simplePos x="0" y="0"/>
              <wp:positionH relativeFrom="column">
                <wp:posOffset>4445</wp:posOffset>
              </wp:positionH>
              <wp:positionV relativeFrom="paragraph">
                <wp:posOffset>97790</wp:posOffset>
              </wp:positionV>
              <wp:extent cx="5601970" cy="0"/>
              <wp:effectExtent l="13970" t="12065" r="13335" b="698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4EEA5" id="4101" o:spid="_x0000_s1026" type="#_x0000_t32" style="position:absolute;margin-left:.35pt;margin-top:7.7pt;width:441.1pt;height:0;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" strokeweight="1pt"/>
          </w:pict>
        </mc:Fallback>
      </mc:AlternateContent>
    </w:r>
    <w:r>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1" w15:restartNumberingAfterBreak="0">
    <w:nsid w:val="00000002"/>
    <w:multiLevelType w:val="singleLevel"/>
    <w:tmpl w:val="F6C8F98A"/>
    <w:lvl w:ilvl="0">
      <w:start w:val="1"/>
      <w:numFmt w:val="decimal"/>
      <w:pStyle w:val="yange2"/>
      <w:lvlText w:val="%1."/>
      <w:lvlJc w:val="left"/>
      <w:pPr>
        <w:tabs>
          <w:tab w:val="left" w:pos="360"/>
        </w:tabs>
        <w:ind w:left="360" w:hanging="360"/>
      </w:pPr>
    </w:lvl>
  </w:abstractNum>
  <w:abstractNum w:abstractNumId="2" w15:restartNumberingAfterBreak="0">
    <w:nsid w:val="00000003"/>
    <w:multiLevelType w:val="hybridMultilevel"/>
    <w:tmpl w:val="F0523430"/>
    <w:lvl w:ilvl="0" w:tplc="F30472EA">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56D6DE56"/>
    <w:lvl w:ilvl="0" w:tplc="28E0798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DAAA6750"/>
    <w:lvl w:ilvl="0" w:tplc="8C0877A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2C88AC22"/>
    <w:lvl w:ilvl="0" w:tplc="D074B24A">
      <w:start w:val="1"/>
      <w:numFmt w:val="decimal"/>
      <w:lvlText w:val="[%1]"/>
      <w:lvlJc w:val="left"/>
      <w:pPr>
        <w:tabs>
          <w:tab w:val="left" w:pos="360"/>
        </w:tabs>
        <w:ind w:left="360" w:hanging="360"/>
      </w:pPr>
      <w:rPr>
        <w:rFonts w:hint="default"/>
      </w:rPr>
    </w:lvl>
    <w:lvl w:ilvl="1" w:tplc="0409000F">
      <w:start w:val="1"/>
      <w:numFmt w:val="decimal"/>
      <w:lvlText w:val="%2."/>
      <w:lvlJc w:val="left"/>
      <w:pPr>
        <w:tabs>
          <w:tab w:val="left" w:pos="1080"/>
        </w:tabs>
        <w:ind w:left="1080" w:hanging="360"/>
      </w:pPr>
      <w:rPr>
        <w:rFonts w:hint="default"/>
      </w:r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6" w15:restartNumberingAfterBreak="0">
    <w:nsid w:val="00000007"/>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singleLevel"/>
    <w:tmpl w:val="0F4C159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15:restartNumberingAfterBreak="0">
    <w:nsid w:val="0000000A"/>
    <w:multiLevelType w:val="singleLevel"/>
    <w:tmpl w:val="166470C2"/>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0" w15:restartNumberingAfterBreak="0">
    <w:nsid w:val="0000000B"/>
    <w:multiLevelType w:val="hybridMultilevel"/>
    <w:tmpl w:val="7AA4584E"/>
    <w:lvl w:ilvl="0" w:tplc="6F5E08A8">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1" w15:restartNumberingAfterBreak="0">
    <w:nsid w:val="0000000C"/>
    <w:multiLevelType w:val="hybridMultilevel"/>
    <w:tmpl w:val="E53CC32E"/>
    <w:lvl w:ilvl="0" w:tplc="9264B2C6">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458"/>
        </w:tabs>
        <w:ind w:left="-458" w:hanging="360"/>
      </w:pPr>
    </w:lvl>
    <w:lvl w:ilvl="2" w:tplc="0409001B" w:tentative="1">
      <w:start w:val="1"/>
      <w:numFmt w:val="lowerRoman"/>
      <w:lvlText w:val="%3."/>
      <w:lvlJc w:val="right"/>
      <w:pPr>
        <w:tabs>
          <w:tab w:val="left" w:pos="262"/>
        </w:tabs>
        <w:ind w:left="262" w:hanging="180"/>
      </w:pPr>
    </w:lvl>
    <w:lvl w:ilvl="3" w:tplc="0409000F" w:tentative="1">
      <w:start w:val="1"/>
      <w:numFmt w:val="decimal"/>
      <w:lvlText w:val="%4."/>
      <w:lvlJc w:val="left"/>
      <w:pPr>
        <w:tabs>
          <w:tab w:val="left" w:pos="982"/>
        </w:tabs>
        <w:ind w:left="982" w:hanging="360"/>
      </w:pPr>
    </w:lvl>
    <w:lvl w:ilvl="4" w:tplc="04090019" w:tentative="1">
      <w:start w:val="1"/>
      <w:numFmt w:val="lowerLetter"/>
      <w:lvlText w:val="%5."/>
      <w:lvlJc w:val="left"/>
      <w:pPr>
        <w:tabs>
          <w:tab w:val="left" w:pos="1702"/>
        </w:tabs>
        <w:ind w:left="1702" w:hanging="360"/>
      </w:pPr>
    </w:lvl>
    <w:lvl w:ilvl="5" w:tplc="0409001B" w:tentative="1">
      <w:start w:val="1"/>
      <w:numFmt w:val="lowerRoman"/>
      <w:lvlText w:val="%6."/>
      <w:lvlJc w:val="right"/>
      <w:pPr>
        <w:tabs>
          <w:tab w:val="left" w:pos="2422"/>
        </w:tabs>
        <w:ind w:left="2422" w:hanging="180"/>
      </w:pPr>
    </w:lvl>
    <w:lvl w:ilvl="6" w:tplc="0409000F" w:tentative="1">
      <w:start w:val="1"/>
      <w:numFmt w:val="decimal"/>
      <w:lvlText w:val="%7."/>
      <w:lvlJc w:val="left"/>
      <w:pPr>
        <w:tabs>
          <w:tab w:val="left" w:pos="3142"/>
        </w:tabs>
        <w:ind w:left="3142" w:hanging="360"/>
      </w:pPr>
    </w:lvl>
    <w:lvl w:ilvl="7" w:tplc="04090019" w:tentative="1">
      <w:start w:val="1"/>
      <w:numFmt w:val="lowerLetter"/>
      <w:lvlText w:val="%8."/>
      <w:lvlJc w:val="left"/>
      <w:pPr>
        <w:tabs>
          <w:tab w:val="left" w:pos="3862"/>
        </w:tabs>
        <w:ind w:left="3862" w:hanging="360"/>
      </w:pPr>
    </w:lvl>
    <w:lvl w:ilvl="8" w:tplc="0409001B" w:tentative="1">
      <w:start w:val="1"/>
      <w:numFmt w:val="lowerRoman"/>
      <w:lvlText w:val="%9."/>
      <w:lvlJc w:val="right"/>
      <w:pPr>
        <w:tabs>
          <w:tab w:val="left" w:pos="4582"/>
        </w:tabs>
        <w:ind w:left="4582" w:hanging="180"/>
      </w:pPr>
    </w:lvl>
  </w:abstractNum>
  <w:abstractNum w:abstractNumId="12" w15:restartNumberingAfterBreak="0">
    <w:nsid w:val="0000000D"/>
    <w:multiLevelType w:val="hybridMultilevel"/>
    <w:tmpl w:val="0230412C"/>
    <w:lvl w:ilvl="0" w:tplc="15DA9126">
      <w:start w:val="1"/>
      <w:numFmt w:val="decimal"/>
      <w:lvlText w:val="[%1]"/>
      <w:lvlJc w:val="left"/>
      <w:pPr>
        <w:tabs>
          <w:tab w:val="left" w:pos="360"/>
        </w:tabs>
        <w:ind w:left="360" w:hanging="360"/>
      </w:pPr>
      <w:rPr>
        <w:rFonts w:hint="default"/>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6BDC3F12"/>
    <w:lvl w:ilvl="0" w:tplc="FB80280E">
      <w:start w:val="1"/>
      <w:numFmt w:val="decimal"/>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FA8C5D3A"/>
    <w:lvl w:ilvl="0" w:tplc="2F08CB6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15:restartNumberingAfterBreak="0">
    <w:nsid w:val="00000010"/>
    <w:multiLevelType w:val="hybridMultilevel"/>
    <w:tmpl w:val="F456218E"/>
    <w:lvl w:ilvl="0" w:tplc="EBEC6870">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15:restartNumberingAfterBreak="0">
    <w:nsid w:val="0C5F3CD8"/>
    <w:multiLevelType w:val="hybridMultilevel"/>
    <w:tmpl w:val="F6E8D5D8"/>
    <w:lvl w:ilvl="0" w:tplc="85D818A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num w:numId="1" w16cid:durableId="167063625">
    <w:abstractNumId w:val="12"/>
  </w:num>
  <w:num w:numId="2" w16cid:durableId="1176652087">
    <w:abstractNumId w:val="5"/>
  </w:num>
  <w:num w:numId="3" w16cid:durableId="215747880">
    <w:abstractNumId w:val="3"/>
  </w:num>
  <w:num w:numId="4" w16cid:durableId="1664042956">
    <w:abstractNumId w:val="0"/>
  </w:num>
  <w:num w:numId="5" w16cid:durableId="680276843">
    <w:abstractNumId w:val="9"/>
  </w:num>
  <w:num w:numId="6" w16cid:durableId="998535091">
    <w:abstractNumId w:val="16"/>
  </w:num>
  <w:num w:numId="7" w16cid:durableId="1228951347">
    <w:abstractNumId w:val="1"/>
  </w:num>
  <w:num w:numId="8" w16cid:durableId="286669331">
    <w:abstractNumId w:val="13"/>
  </w:num>
  <w:num w:numId="9" w16cid:durableId="1348019012">
    <w:abstractNumId w:val="11"/>
  </w:num>
  <w:num w:numId="10" w16cid:durableId="742798715">
    <w:abstractNumId w:val="14"/>
  </w:num>
  <w:num w:numId="11" w16cid:durableId="1513494568">
    <w:abstractNumId w:val="6"/>
  </w:num>
  <w:num w:numId="12" w16cid:durableId="910164199">
    <w:abstractNumId w:val="4"/>
  </w:num>
  <w:num w:numId="13" w16cid:durableId="2009553220">
    <w:abstractNumId w:val="2"/>
  </w:num>
  <w:num w:numId="14" w16cid:durableId="1769888175">
    <w:abstractNumId w:val="15"/>
  </w:num>
  <w:num w:numId="15" w16cid:durableId="1488745139">
    <w:abstractNumId w:val="7"/>
  </w:num>
  <w:num w:numId="16" w16cid:durableId="1757285332">
    <w:abstractNumId w:val="10"/>
  </w:num>
  <w:num w:numId="17" w16cid:durableId="629935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A5"/>
    <w:rsid w:val="000671DC"/>
    <w:rsid w:val="0007125B"/>
    <w:rsid w:val="000F142F"/>
    <w:rsid w:val="000F4781"/>
    <w:rsid w:val="001555EF"/>
    <w:rsid w:val="00162106"/>
    <w:rsid w:val="0017224E"/>
    <w:rsid w:val="001775F1"/>
    <w:rsid w:val="001B01FA"/>
    <w:rsid w:val="00212B30"/>
    <w:rsid w:val="00235B83"/>
    <w:rsid w:val="00245D7B"/>
    <w:rsid w:val="00253616"/>
    <w:rsid w:val="00283D6A"/>
    <w:rsid w:val="002E016A"/>
    <w:rsid w:val="002F51E5"/>
    <w:rsid w:val="003A3CDB"/>
    <w:rsid w:val="004039CF"/>
    <w:rsid w:val="004459AF"/>
    <w:rsid w:val="00456CB0"/>
    <w:rsid w:val="00463AC3"/>
    <w:rsid w:val="004823BD"/>
    <w:rsid w:val="00542C8B"/>
    <w:rsid w:val="00560313"/>
    <w:rsid w:val="005B53BA"/>
    <w:rsid w:val="005B5992"/>
    <w:rsid w:val="005D3149"/>
    <w:rsid w:val="005E1543"/>
    <w:rsid w:val="00620C23"/>
    <w:rsid w:val="00626DDF"/>
    <w:rsid w:val="0064575A"/>
    <w:rsid w:val="006B0D5D"/>
    <w:rsid w:val="006B146E"/>
    <w:rsid w:val="0072484E"/>
    <w:rsid w:val="007B797F"/>
    <w:rsid w:val="007D44F9"/>
    <w:rsid w:val="009640B3"/>
    <w:rsid w:val="00967867"/>
    <w:rsid w:val="009A6253"/>
    <w:rsid w:val="009C1B1B"/>
    <w:rsid w:val="00A00F00"/>
    <w:rsid w:val="00A02723"/>
    <w:rsid w:val="00A06E88"/>
    <w:rsid w:val="00A7716C"/>
    <w:rsid w:val="00A77672"/>
    <w:rsid w:val="00A86FAC"/>
    <w:rsid w:val="00AB7113"/>
    <w:rsid w:val="00AE153F"/>
    <w:rsid w:val="00B9674C"/>
    <w:rsid w:val="00BA6861"/>
    <w:rsid w:val="00BB5CCD"/>
    <w:rsid w:val="00C06892"/>
    <w:rsid w:val="00C2220D"/>
    <w:rsid w:val="00CF752B"/>
    <w:rsid w:val="00D228EC"/>
    <w:rsid w:val="00D2386B"/>
    <w:rsid w:val="00D47B43"/>
    <w:rsid w:val="00D66370"/>
    <w:rsid w:val="00D94E01"/>
    <w:rsid w:val="00DD1798"/>
    <w:rsid w:val="00E56008"/>
    <w:rsid w:val="00EA0C03"/>
    <w:rsid w:val="00F639A5"/>
    <w:rsid w:val="00FA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E3D5A"/>
  <w15:docId w15:val="{0CE13A6E-E2FF-4494-B0F4-0CFE4AFA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7"/>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uiPriority w:val="22"/>
    <w:qFormat/>
    <w:rPr>
      <w:rFonts w:cs="Times New Roman"/>
      <w:b/>
      <w:bCs/>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17"/>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5"/>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4E24C-B32A-4C5D-B224-2DB80903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23495</Words>
  <Characters>133922</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Microsoft Office User</cp:lastModifiedBy>
  <cp:revision>6</cp:revision>
  <cp:lastPrinted>2017-10-26T05:06:00Z</cp:lastPrinted>
  <dcterms:created xsi:type="dcterms:W3CDTF">2024-08-25T03:41:00Z</dcterms:created>
  <dcterms:modified xsi:type="dcterms:W3CDTF">2024-08-25T03:50:00Z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ff7dd4e1-ef2f-340f-982a-2c398066cf26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