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774C" w14:textId="77777777" w:rsidR="00270419" w:rsidRPr="005018DC" w:rsidRDefault="00270419" w:rsidP="00270419">
      <w:pPr>
        <w:pStyle w:val="BadanA"/>
        <w:spacing w:after="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</w:pPr>
      <w:r w:rsidRPr="002508A5">
        <w:rPr>
          <w:rFonts w:ascii="Times New Roman" w:hAnsi="Times New Roman" w:cs="Times New Roman"/>
          <w:b/>
          <w:bCs/>
          <w:sz w:val="24"/>
          <w:szCs w:val="24"/>
          <w:lang w:val="id-ID"/>
          <w14:ligatures w14:val="none"/>
        </w:rPr>
        <w:t>Tabl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e</w:t>
      </w:r>
      <w:r w:rsidRPr="002508A5">
        <w:rPr>
          <w:rFonts w:ascii="Times New Roman" w:hAnsi="Times New Roman" w:cs="Times New Roman"/>
          <w:b/>
          <w:bCs/>
          <w:sz w:val="24"/>
          <w:szCs w:val="24"/>
          <w:lang w:val="id-ID"/>
          <w14:ligatures w14:val="none"/>
        </w:rPr>
        <w:t xml:space="preserve"> 1</w:t>
      </w:r>
      <w:r w:rsidRPr="002508A5">
        <w:rPr>
          <w:rFonts w:ascii="Times New Roman" w:hAnsi="Times New Roman" w:cs="Times New Roman"/>
          <w:bCs/>
          <w:sz w:val="24"/>
          <w:szCs w:val="24"/>
          <w:lang w:val="id-ID"/>
          <w14:ligatures w14:val="non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14:ligatures w14:val="none"/>
        </w:rPr>
        <w:t>WHO Criteria for Severe Malaria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  <w:t>7</w:t>
      </w:r>
    </w:p>
    <w:tbl>
      <w:tblPr>
        <w:tblStyle w:val="TableGrid"/>
        <w:tblW w:w="0" w:type="auto"/>
        <w:tblInd w:w="435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270419" w14:paraId="50F99CFF" w14:textId="77777777" w:rsidTr="00270419">
        <w:tc>
          <w:tcPr>
            <w:tcW w:w="4252" w:type="dxa"/>
          </w:tcPr>
          <w:p w14:paraId="0CB09290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/>
                <w:sz w:val="22"/>
                <w14:ligatures w14:val="none"/>
              </w:rPr>
              <w:t>Manifestation</w:t>
            </w:r>
          </w:p>
        </w:tc>
        <w:tc>
          <w:tcPr>
            <w:tcW w:w="4252" w:type="dxa"/>
          </w:tcPr>
          <w:p w14:paraId="6CF3686A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/>
                <w:sz w:val="22"/>
                <w14:ligatures w14:val="none"/>
              </w:rPr>
              <w:t>Definition</w:t>
            </w:r>
          </w:p>
        </w:tc>
      </w:tr>
      <w:tr w:rsidR="00270419" w14:paraId="2BA137C1" w14:textId="77777777" w:rsidTr="00270419">
        <w:tc>
          <w:tcPr>
            <w:tcW w:w="4252" w:type="dxa"/>
          </w:tcPr>
          <w:p w14:paraId="1308D175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Cerebral Malaria</w:t>
            </w:r>
          </w:p>
        </w:tc>
        <w:tc>
          <w:tcPr>
            <w:tcW w:w="4252" w:type="dxa"/>
          </w:tcPr>
          <w:p w14:paraId="545841C8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Impaired consciousness or unrousable coma not attributable to any other cause, with a Glasgow score ≤9</w:t>
            </w:r>
          </w:p>
          <w:p w14:paraId="58E06C0C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 xml:space="preserve">Prostration, </w:t>
            </w:r>
            <w:proofErr w:type="gramStart"/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i.e.</w:t>
            </w:r>
            <w:proofErr w:type="gramEnd"/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 xml:space="preserve"> generalized weakness so that the patient is unable to walk, or sit up without assistance</w:t>
            </w:r>
          </w:p>
          <w:p w14:paraId="349DF2C2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Failure to feed</w:t>
            </w:r>
          </w:p>
          <w:p w14:paraId="2A76D39F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Multiple convulsions – more than two episodes in 24 h</w:t>
            </w:r>
          </w:p>
        </w:tc>
      </w:tr>
      <w:tr w:rsidR="00270419" w14:paraId="3795948B" w14:textId="77777777" w:rsidTr="00270419">
        <w:tc>
          <w:tcPr>
            <w:tcW w:w="4252" w:type="dxa"/>
          </w:tcPr>
          <w:p w14:paraId="62E4BB68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Severe Anaemia</w:t>
            </w:r>
          </w:p>
        </w:tc>
        <w:tc>
          <w:tcPr>
            <w:tcW w:w="4252" w:type="dxa"/>
          </w:tcPr>
          <w:p w14:paraId="7BF66BE1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Haematocrit &lt;15% or haemoglobin &lt;5 g/dl in the presence of parasite count &gt; 10.000 µl</w:t>
            </w:r>
          </w:p>
        </w:tc>
      </w:tr>
      <w:tr w:rsidR="00270419" w14:paraId="0364D9B7" w14:textId="77777777" w:rsidTr="00270419">
        <w:tc>
          <w:tcPr>
            <w:tcW w:w="4252" w:type="dxa"/>
          </w:tcPr>
          <w:p w14:paraId="00707171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Renal Failure</w:t>
            </w:r>
          </w:p>
        </w:tc>
        <w:tc>
          <w:tcPr>
            <w:tcW w:w="4252" w:type="dxa"/>
          </w:tcPr>
          <w:p w14:paraId="74BCA077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Urine output &lt;400 ml/24 hours in adults (&lt;12 ml/kg/24 hours in children) and serum creatinine &gt;265 µmol/l (&gt;3.0 mg/dl) despite adequate volume repletion</w:t>
            </w:r>
          </w:p>
        </w:tc>
      </w:tr>
      <w:tr w:rsidR="00270419" w14:paraId="45B7F0CC" w14:textId="77777777" w:rsidTr="00270419">
        <w:tc>
          <w:tcPr>
            <w:tcW w:w="4252" w:type="dxa"/>
          </w:tcPr>
          <w:p w14:paraId="4F00F076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Pulmonary Oedema and ARDS</w:t>
            </w:r>
          </w:p>
        </w:tc>
        <w:tc>
          <w:tcPr>
            <w:tcW w:w="4252" w:type="dxa"/>
          </w:tcPr>
          <w:p w14:paraId="7215B46F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 xml:space="preserve">The acute lung injury score is calculated </w:t>
            </w:r>
            <w:proofErr w:type="gramStart"/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on the basis of</w:t>
            </w:r>
            <w:proofErr w:type="gramEnd"/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 xml:space="preserve"> radiographic densities, severity of hypoxemia and positive end-expiratory pressure</w:t>
            </w:r>
          </w:p>
        </w:tc>
      </w:tr>
      <w:tr w:rsidR="00270419" w14:paraId="5EF76353" w14:textId="77777777" w:rsidTr="00270419">
        <w:tc>
          <w:tcPr>
            <w:tcW w:w="4252" w:type="dxa"/>
          </w:tcPr>
          <w:p w14:paraId="3C9DA04B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Hypoglycaemia</w:t>
            </w:r>
          </w:p>
        </w:tc>
        <w:tc>
          <w:tcPr>
            <w:tcW w:w="4252" w:type="dxa"/>
          </w:tcPr>
          <w:p w14:paraId="061B4374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Whole blood glucose concentration &lt;2.2 mmol/l (&lt;40 mg/dl)</w:t>
            </w:r>
          </w:p>
        </w:tc>
      </w:tr>
      <w:tr w:rsidR="00270419" w14:paraId="5320F18B" w14:textId="77777777" w:rsidTr="00270419">
        <w:tc>
          <w:tcPr>
            <w:tcW w:w="4252" w:type="dxa"/>
          </w:tcPr>
          <w:p w14:paraId="53AA4B1B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Circulatory Collapse</w:t>
            </w:r>
          </w:p>
        </w:tc>
        <w:tc>
          <w:tcPr>
            <w:tcW w:w="4252" w:type="dxa"/>
          </w:tcPr>
          <w:p w14:paraId="4710307C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Systolic blood pressure &lt;70 mmHg in patients &gt;5 years of age (&lt;50 mmHg in children aged 1-5), with cold clammy skin or a core-skin temperature difference &gt;10</w:t>
            </w:r>
            <w:r w:rsidRPr="00270419">
              <w:rPr>
                <w:rFonts w:ascii="Times New Roman" w:hAnsi="Times New Roman" w:cs="Times New Roman"/>
                <w:bCs/>
                <w:sz w:val="22"/>
                <w:vertAlign w:val="superscript"/>
                <w14:ligatures w14:val="none"/>
              </w:rPr>
              <w:t>o</w:t>
            </w: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C</w:t>
            </w:r>
          </w:p>
        </w:tc>
      </w:tr>
      <w:tr w:rsidR="00270419" w14:paraId="3245F086" w14:textId="77777777" w:rsidTr="00270419">
        <w:tc>
          <w:tcPr>
            <w:tcW w:w="4252" w:type="dxa"/>
          </w:tcPr>
          <w:p w14:paraId="31DF3BF0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Abnormal Bleeding and/or Disseminated Intravascular Coagulation</w:t>
            </w:r>
          </w:p>
        </w:tc>
        <w:tc>
          <w:tcPr>
            <w:tcW w:w="4252" w:type="dxa"/>
          </w:tcPr>
          <w:p w14:paraId="5C0B22E1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Spontaneous bleeding from gums, nose, gastrointestinal tract, or laboratory evidence of disseminated intravascular coagulation</w:t>
            </w:r>
          </w:p>
        </w:tc>
      </w:tr>
      <w:tr w:rsidR="00270419" w14:paraId="663F22DF" w14:textId="77777777" w:rsidTr="00270419">
        <w:tc>
          <w:tcPr>
            <w:tcW w:w="4252" w:type="dxa"/>
          </w:tcPr>
          <w:p w14:paraId="402915E7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Repeated Generalized Seizures</w:t>
            </w:r>
          </w:p>
        </w:tc>
        <w:tc>
          <w:tcPr>
            <w:tcW w:w="4252" w:type="dxa"/>
          </w:tcPr>
          <w:p w14:paraId="033A14DD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:lang w:val="id-ID"/>
                <w14:ligatures w14:val="none"/>
              </w:rPr>
              <w:t>≥</w:t>
            </w: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2 seizures observed within 24 hours</w:t>
            </w:r>
          </w:p>
        </w:tc>
      </w:tr>
      <w:tr w:rsidR="00270419" w14:paraId="76BF4C30" w14:textId="77777777" w:rsidTr="00270419">
        <w:tc>
          <w:tcPr>
            <w:tcW w:w="4252" w:type="dxa"/>
          </w:tcPr>
          <w:p w14:paraId="1F29B4E2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Acidemia/ Acidosis</w:t>
            </w:r>
          </w:p>
        </w:tc>
        <w:tc>
          <w:tcPr>
            <w:tcW w:w="4252" w:type="dxa"/>
          </w:tcPr>
          <w:p w14:paraId="1E0D13DA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Arterial pH &lt;7.25 or acidosis (plasma bicarbonate &lt;15 mmol/l)</w:t>
            </w:r>
          </w:p>
        </w:tc>
      </w:tr>
      <w:tr w:rsidR="00270419" w14:paraId="320E1979" w14:textId="77777777" w:rsidTr="00270419">
        <w:tc>
          <w:tcPr>
            <w:tcW w:w="4252" w:type="dxa"/>
          </w:tcPr>
          <w:p w14:paraId="23DABDE8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Macroscopic Haemoglobinuria</w:t>
            </w:r>
          </w:p>
        </w:tc>
        <w:tc>
          <w:tcPr>
            <w:tcW w:w="4252" w:type="dxa"/>
          </w:tcPr>
          <w:p w14:paraId="19B4397C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Haemolysis not secondary to glucose-6-phosphate dehydrogenase deficiency</w:t>
            </w:r>
          </w:p>
        </w:tc>
      </w:tr>
      <w:tr w:rsidR="00270419" w14:paraId="4A26BAD9" w14:textId="77777777" w:rsidTr="00270419">
        <w:tc>
          <w:tcPr>
            <w:tcW w:w="4252" w:type="dxa"/>
          </w:tcPr>
          <w:p w14:paraId="61F3FF1C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Impaired Consciousness</w:t>
            </w:r>
          </w:p>
        </w:tc>
        <w:tc>
          <w:tcPr>
            <w:tcW w:w="4252" w:type="dxa"/>
          </w:tcPr>
          <w:p w14:paraId="688ED24D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Rousable mental condition</w:t>
            </w:r>
          </w:p>
        </w:tc>
      </w:tr>
      <w:tr w:rsidR="00270419" w14:paraId="4107A3F2" w14:textId="77777777" w:rsidTr="00270419">
        <w:tc>
          <w:tcPr>
            <w:tcW w:w="4252" w:type="dxa"/>
          </w:tcPr>
          <w:p w14:paraId="4ADAFFBB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Prostration or Weakness</w:t>
            </w:r>
          </w:p>
        </w:tc>
        <w:tc>
          <w:tcPr>
            <w:tcW w:w="4252" w:type="dxa"/>
          </w:tcPr>
          <w:p w14:paraId="4E918E29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:lang w:val="id-ID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Generalized weakness so that the patient is unable to walk or sit up without assistance</w:t>
            </w:r>
          </w:p>
        </w:tc>
      </w:tr>
      <w:tr w:rsidR="00270419" w14:paraId="0BFD9C70" w14:textId="77777777" w:rsidTr="00270419">
        <w:tc>
          <w:tcPr>
            <w:tcW w:w="4252" w:type="dxa"/>
          </w:tcPr>
          <w:p w14:paraId="5D2947B7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Hyperparasitaemia</w:t>
            </w:r>
          </w:p>
        </w:tc>
        <w:tc>
          <w:tcPr>
            <w:tcW w:w="4252" w:type="dxa"/>
          </w:tcPr>
          <w:p w14:paraId="13B1184A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&gt;2% parasited erytrocytes or &gt;250.000 parasites/µl (in non-immune individuals)</w:t>
            </w:r>
          </w:p>
        </w:tc>
      </w:tr>
      <w:tr w:rsidR="00270419" w14:paraId="5D89ADF5" w14:textId="77777777" w:rsidTr="00270419">
        <w:tc>
          <w:tcPr>
            <w:tcW w:w="4252" w:type="dxa"/>
          </w:tcPr>
          <w:p w14:paraId="1B672817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:vertAlign w:val="superscript"/>
                <w:lang w:val="id-ID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Hyperpyrexia</w:t>
            </w:r>
          </w:p>
        </w:tc>
        <w:tc>
          <w:tcPr>
            <w:tcW w:w="4252" w:type="dxa"/>
          </w:tcPr>
          <w:p w14:paraId="5F79C50F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Core body temperature &gt;40</w:t>
            </w:r>
            <w:r w:rsidRPr="00270419">
              <w:rPr>
                <w:rFonts w:ascii="Times New Roman" w:hAnsi="Times New Roman" w:cs="Times New Roman"/>
                <w:bCs/>
                <w:sz w:val="22"/>
                <w:vertAlign w:val="superscript"/>
                <w14:ligatures w14:val="none"/>
              </w:rPr>
              <w:t>o</w:t>
            </w: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C</w:t>
            </w:r>
          </w:p>
        </w:tc>
      </w:tr>
      <w:tr w:rsidR="00270419" w14:paraId="2B80B8FC" w14:textId="77777777" w:rsidTr="00270419">
        <w:tc>
          <w:tcPr>
            <w:tcW w:w="4252" w:type="dxa"/>
          </w:tcPr>
          <w:p w14:paraId="05E38439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Hyperbilirubinaemia</w:t>
            </w:r>
          </w:p>
        </w:tc>
        <w:tc>
          <w:tcPr>
            <w:tcW w:w="4252" w:type="dxa"/>
          </w:tcPr>
          <w:p w14:paraId="0454279F" w14:textId="77777777" w:rsidR="00270419" w:rsidRPr="00270419" w:rsidRDefault="00270419" w:rsidP="00270419">
            <w:pPr>
              <w:pStyle w:val="BadanA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2"/>
                <w14:ligatures w14:val="none"/>
              </w:rPr>
            </w:pPr>
            <w:r w:rsidRPr="00270419">
              <w:rPr>
                <w:rFonts w:ascii="Times New Roman" w:hAnsi="Times New Roman" w:cs="Times New Roman"/>
                <w:bCs/>
                <w:sz w:val="22"/>
                <w14:ligatures w14:val="none"/>
              </w:rPr>
              <w:t>Total bilirubin &gt;43 µmol/l (&gt;2.5 mg/dl)</w:t>
            </w:r>
          </w:p>
        </w:tc>
      </w:tr>
    </w:tbl>
    <w:p w14:paraId="60BED91D" w14:textId="77777777" w:rsidR="00EC6F2F" w:rsidRDefault="00EC6F2F" w:rsidP="00270419"/>
    <w:sectPr w:rsidR="00EC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729F" w14:textId="77777777" w:rsidR="00721EBE" w:rsidRDefault="00721EBE" w:rsidP="00270419">
      <w:pPr>
        <w:spacing w:after="0" w:line="240" w:lineRule="auto"/>
      </w:pPr>
      <w:r>
        <w:separator/>
      </w:r>
    </w:p>
  </w:endnote>
  <w:endnote w:type="continuationSeparator" w:id="0">
    <w:p w14:paraId="1E18E670" w14:textId="77777777" w:rsidR="00721EBE" w:rsidRDefault="00721EBE" w:rsidP="0027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537D" w14:textId="77777777" w:rsidR="00721EBE" w:rsidRDefault="00721EBE" w:rsidP="00270419">
      <w:pPr>
        <w:spacing w:after="0" w:line="240" w:lineRule="auto"/>
      </w:pPr>
      <w:r>
        <w:separator/>
      </w:r>
    </w:p>
  </w:footnote>
  <w:footnote w:type="continuationSeparator" w:id="0">
    <w:p w14:paraId="7EE08325" w14:textId="77777777" w:rsidR="00721EBE" w:rsidRDefault="00721EBE" w:rsidP="0027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19"/>
    <w:rsid w:val="00270419"/>
    <w:rsid w:val="004F794D"/>
    <w:rsid w:val="00721EBE"/>
    <w:rsid w:val="00E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51C4"/>
  <w15:chartTrackingRefBased/>
  <w15:docId w15:val="{5CE5169C-E31A-4D2F-A7F4-56F36487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41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419"/>
    <w:pPr>
      <w:spacing w:after="0" w:line="240" w:lineRule="auto"/>
      <w:ind w:firstLine="720"/>
      <w:jc w:val="both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BadanA">
    <w:name w:val="Badan A"/>
    <w:rsid w:val="00270419"/>
    <w:pPr>
      <w:spacing w:line="252" w:lineRule="auto"/>
    </w:pPr>
    <w:rPr>
      <w:rFonts w:ascii="Calibri" w:eastAsia="Times New Roman" w:hAnsi="Calibri" w:cs="Calibri"/>
      <w:color w:val="000000"/>
      <w:kern w:val="2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27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19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7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19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medicalwork88</dc:creator>
  <cp:keywords/>
  <dc:description/>
  <cp:lastModifiedBy>medicalwork88</cp:lastModifiedBy>
  <cp:revision>1</cp:revision>
  <dcterms:created xsi:type="dcterms:W3CDTF">2023-11-04T11:21:00Z</dcterms:created>
  <dcterms:modified xsi:type="dcterms:W3CDTF">2023-11-04T11:24:00Z</dcterms:modified>
</cp:coreProperties>
</file>