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1"/>
        <w:gridCol w:w="236"/>
        <w:gridCol w:w="6814"/>
      </w:tblGrid>
      <w:tr w:rsidR="00D16E82" w:rsidRPr="00D16E82" w14:paraId="596B4B70" w14:textId="77777777" w:rsidTr="00B6114F">
        <w:trPr>
          <w:trHeight w:val="2125"/>
        </w:trPr>
        <w:tc>
          <w:tcPr>
            <w:tcW w:w="9231" w:type="dxa"/>
            <w:gridSpan w:val="3"/>
            <w:tcBorders>
              <w:bottom w:val="single" w:sz="4" w:space="0" w:color="auto"/>
            </w:tcBorders>
          </w:tcPr>
          <w:p w14:paraId="6C63BCBD" w14:textId="72744280" w:rsidR="00D16E82" w:rsidRPr="00B43DDD" w:rsidRDefault="00D16E82" w:rsidP="00733CDA">
            <w:pPr>
              <w:spacing w:line="276" w:lineRule="auto"/>
              <w:jc w:val="both"/>
              <w:rPr>
                <w:rFonts w:ascii="Times New Roman" w:eastAsia="Corbel" w:hAnsi="Times New Roman"/>
                <w:b/>
                <w:color w:val="000000" w:themeColor="text1"/>
                <w:sz w:val="28"/>
                <w:szCs w:val="28"/>
              </w:rPr>
            </w:pPr>
            <w:r w:rsidRPr="00B43DDD">
              <w:rPr>
                <w:rFonts w:ascii="Times New Roman" w:eastAsia="Corbel" w:hAnsi="Times New Roman"/>
                <w:b/>
                <w:color w:val="000000" w:themeColor="text1"/>
                <w:sz w:val="28"/>
                <w:szCs w:val="28"/>
              </w:rPr>
              <w:t>Factors Influencing the Increase in E-Banking Adoption in Rural Communities (Case Study of Batang Kuis Community)</w:t>
            </w:r>
          </w:p>
          <w:p w14:paraId="7157E558" w14:textId="77777777" w:rsidR="00D16E82" w:rsidRPr="00D16E82" w:rsidRDefault="00D16E82" w:rsidP="00BD5CB3">
            <w:pPr>
              <w:jc w:val="both"/>
              <w:rPr>
                <w:rFonts w:ascii="Times New Roman" w:eastAsia="Corbel" w:hAnsi="Times New Roman"/>
                <w:color w:val="000000" w:themeColor="text1"/>
              </w:rPr>
            </w:pPr>
          </w:p>
          <w:p w14:paraId="494C7F64" w14:textId="77777777" w:rsidR="00D16E82" w:rsidRPr="00D16E82" w:rsidRDefault="00D16E82" w:rsidP="00BD5CB3">
            <w:pPr>
              <w:rPr>
                <w:rFonts w:ascii="Times New Roman" w:eastAsia="Corbel" w:hAnsi="Times New Roman"/>
                <w:b/>
                <w:color w:val="000000" w:themeColor="text1"/>
                <w:vertAlign w:val="superscript"/>
              </w:rPr>
            </w:pPr>
            <w:r w:rsidRPr="00D16E82">
              <w:rPr>
                <w:rFonts w:ascii="Times New Roman" w:eastAsia="Corbel" w:hAnsi="Times New Roman"/>
                <w:b/>
                <w:color w:val="000000" w:themeColor="text1"/>
              </w:rPr>
              <w:t>Irgi Prayogo</w:t>
            </w:r>
            <w:r w:rsidRPr="00D16E82">
              <w:rPr>
                <w:rFonts w:ascii="Times New Roman" w:eastAsia="Corbel" w:hAnsi="Times New Roman"/>
                <w:b/>
                <w:color w:val="000000" w:themeColor="text1"/>
                <w:vertAlign w:val="superscript"/>
              </w:rPr>
              <w:t>1*</w:t>
            </w:r>
            <w:r w:rsidRPr="00D16E82">
              <w:rPr>
                <w:rFonts w:ascii="Times New Roman" w:eastAsia="Corbel" w:hAnsi="Times New Roman"/>
                <w:b/>
                <w:color w:val="000000" w:themeColor="text1"/>
              </w:rPr>
              <w:t>, Sugianto</w:t>
            </w:r>
            <w:r w:rsidRPr="00D16E82">
              <w:rPr>
                <w:rFonts w:ascii="Times New Roman" w:eastAsia="Corbel" w:hAnsi="Times New Roman"/>
                <w:b/>
                <w:color w:val="000000" w:themeColor="text1"/>
                <w:vertAlign w:val="superscript"/>
              </w:rPr>
              <w:t xml:space="preserve"> 2</w:t>
            </w:r>
          </w:p>
          <w:p w14:paraId="54066644" w14:textId="77777777" w:rsidR="00D16E82" w:rsidRPr="00D16E82" w:rsidRDefault="00D16E82" w:rsidP="00BD5CB3">
            <w:pPr>
              <w:rPr>
                <w:rFonts w:ascii="Times New Roman" w:eastAsia="Corbel" w:hAnsi="Times New Roman"/>
                <w:color w:val="000000" w:themeColor="text1"/>
                <w:vertAlign w:val="superscript"/>
              </w:rPr>
            </w:pPr>
          </w:p>
          <w:p w14:paraId="16C00C5A" w14:textId="66C01BD5" w:rsidR="00D16E82" w:rsidRPr="00D16E82" w:rsidRDefault="00D16E82" w:rsidP="00733CDA">
            <w:pPr>
              <w:spacing w:line="276" w:lineRule="auto"/>
              <w:rPr>
                <w:rFonts w:ascii="Times New Roman" w:eastAsia="Corbel" w:hAnsi="Times New Roman"/>
                <w:color w:val="000000" w:themeColor="text1"/>
                <w:sz w:val="18"/>
                <w:szCs w:val="18"/>
              </w:rPr>
            </w:pPr>
            <w:r w:rsidRPr="00D16E82">
              <w:rPr>
                <w:rFonts w:ascii="Times New Roman" w:eastAsia="Corbel" w:hAnsi="Times New Roman"/>
                <w:color w:val="000000" w:themeColor="text1"/>
                <w:sz w:val="18"/>
                <w:szCs w:val="18"/>
                <w:vertAlign w:val="superscript"/>
              </w:rPr>
              <w:t xml:space="preserve">1 </w:t>
            </w:r>
            <w:r w:rsidRPr="00D16E82">
              <w:rPr>
                <w:rFonts w:ascii="Times New Roman" w:eastAsia="Corbel" w:hAnsi="Times New Roman"/>
                <w:color w:val="000000" w:themeColor="text1"/>
                <w:sz w:val="18"/>
                <w:szCs w:val="18"/>
              </w:rPr>
              <w:t>Sharia Banking, Faculty of Economics and Islamic Business, Universitas Islam Negeri Sumatera Utara, Medan, Indonesia.</w:t>
            </w:r>
          </w:p>
          <w:p w14:paraId="50CCBC94" w14:textId="765A2229" w:rsidR="00D16E82" w:rsidRPr="00D16E82" w:rsidRDefault="00D16E82" w:rsidP="00733CDA">
            <w:pPr>
              <w:spacing w:line="276" w:lineRule="auto"/>
              <w:rPr>
                <w:rFonts w:ascii="Times New Roman" w:eastAsia="Corbel" w:hAnsi="Times New Roman"/>
                <w:color w:val="000000" w:themeColor="text1"/>
              </w:rPr>
            </w:pPr>
            <w:r w:rsidRPr="00D16E82">
              <w:rPr>
                <w:rFonts w:ascii="Times New Roman" w:eastAsia="Corbel" w:hAnsi="Times New Roman"/>
                <w:color w:val="000000" w:themeColor="text1"/>
                <w:sz w:val="18"/>
                <w:szCs w:val="18"/>
                <w:vertAlign w:val="superscript"/>
              </w:rPr>
              <w:t>2</w:t>
            </w:r>
            <w:r w:rsidRPr="00D16E82">
              <w:rPr>
                <w:rFonts w:ascii="Times New Roman" w:hAnsi="Times New Roman"/>
                <w:color w:val="000000" w:themeColor="text1"/>
                <w:sz w:val="18"/>
                <w:szCs w:val="18"/>
              </w:rPr>
              <w:t xml:space="preserve"> </w:t>
            </w:r>
            <w:r w:rsidRPr="00D16E82">
              <w:rPr>
                <w:rFonts w:ascii="Times New Roman" w:eastAsia="Corbel" w:hAnsi="Times New Roman"/>
                <w:color w:val="000000" w:themeColor="text1"/>
                <w:sz w:val="18"/>
                <w:szCs w:val="18"/>
              </w:rPr>
              <w:t>Sharia Banking, Faculty of Economics and Islamic Business, Universitas Islam Negeri Sumatera Utara, Medan, Indonesia.</w:t>
            </w:r>
          </w:p>
        </w:tc>
      </w:tr>
      <w:tr w:rsidR="00DC1BBD" w:rsidRPr="00D16E82" w14:paraId="45FB3A05" w14:textId="77777777" w:rsidTr="00B6114F">
        <w:trPr>
          <w:trHeight w:val="639"/>
        </w:trPr>
        <w:tc>
          <w:tcPr>
            <w:tcW w:w="2181" w:type="dxa"/>
            <w:tcBorders>
              <w:top w:val="single" w:sz="4" w:space="0" w:color="auto"/>
              <w:left w:val="single" w:sz="4" w:space="0" w:color="auto"/>
              <w:bottom w:val="single" w:sz="4" w:space="0" w:color="auto"/>
            </w:tcBorders>
            <w:vAlign w:val="center"/>
          </w:tcPr>
          <w:p w14:paraId="0439E115" w14:textId="7AD7D5A6" w:rsidR="00DC1BBD" w:rsidRPr="00D16E82" w:rsidRDefault="00DC1BBD" w:rsidP="00733CDA">
            <w:pPr>
              <w:rPr>
                <w:rFonts w:ascii="Times New Roman" w:eastAsia="Corbel" w:hAnsi="Times New Roman"/>
                <w:b/>
                <w:i/>
                <w:color w:val="000000" w:themeColor="text1"/>
              </w:rPr>
            </w:pPr>
            <w:r w:rsidRPr="00D16E82">
              <w:rPr>
                <w:rFonts w:ascii="Times New Roman" w:eastAsia="Corbel" w:hAnsi="Times New Roman"/>
                <w:b/>
                <w:i/>
                <w:color w:val="000000" w:themeColor="text1"/>
              </w:rPr>
              <w:t>Article Information</w:t>
            </w:r>
          </w:p>
        </w:tc>
        <w:tc>
          <w:tcPr>
            <w:tcW w:w="236" w:type="dxa"/>
            <w:tcBorders>
              <w:top w:val="single" w:sz="4" w:space="0" w:color="auto"/>
            </w:tcBorders>
            <w:vAlign w:val="center"/>
          </w:tcPr>
          <w:p w14:paraId="2CD59AA3" w14:textId="77777777" w:rsidR="00DC1BBD" w:rsidRPr="00D16E82" w:rsidRDefault="00DC1BBD" w:rsidP="00733CDA">
            <w:pPr>
              <w:rPr>
                <w:rFonts w:ascii="Times New Roman" w:eastAsia="Corbel" w:hAnsi="Times New Roman"/>
                <w:b/>
                <w:color w:val="000000" w:themeColor="text1"/>
              </w:rPr>
            </w:pPr>
          </w:p>
        </w:tc>
        <w:tc>
          <w:tcPr>
            <w:tcW w:w="6814" w:type="dxa"/>
            <w:tcBorders>
              <w:top w:val="single" w:sz="4" w:space="0" w:color="auto"/>
              <w:bottom w:val="single" w:sz="4" w:space="0" w:color="auto"/>
              <w:right w:val="single" w:sz="4" w:space="0" w:color="auto"/>
            </w:tcBorders>
            <w:vAlign w:val="center"/>
          </w:tcPr>
          <w:p w14:paraId="33D9CF87" w14:textId="1F734B88" w:rsidR="00DC1BBD" w:rsidRPr="00D16E82" w:rsidRDefault="00DC1BBD" w:rsidP="00733CDA">
            <w:pPr>
              <w:spacing w:line="276" w:lineRule="auto"/>
              <w:rPr>
                <w:rFonts w:ascii="Times New Roman" w:eastAsia="Corbel" w:hAnsi="Times New Roman"/>
                <w:b/>
                <w:color w:val="000000" w:themeColor="text1"/>
              </w:rPr>
            </w:pPr>
            <w:r w:rsidRPr="00733CDA">
              <w:rPr>
                <w:rFonts w:ascii="Times New Roman" w:eastAsia="Corbel" w:hAnsi="Times New Roman"/>
                <w:b/>
                <w:color w:val="000000" w:themeColor="text1"/>
                <w:spacing w:val="20"/>
              </w:rPr>
              <w:t>ABSTRACK</w:t>
            </w:r>
          </w:p>
        </w:tc>
      </w:tr>
      <w:tr w:rsidR="00DC1BBD" w:rsidRPr="00D16E82" w14:paraId="6FB752F5" w14:textId="77777777" w:rsidTr="00B6114F">
        <w:trPr>
          <w:trHeight w:val="1201"/>
        </w:trPr>
        <w:tc>
          <w:tcPr>
            <w:tcW w:w="2181" w:type="dxa"/>
            <w:tcBorders>
              <w:top w:val="single" w:sz="4" w:space="0" w:color="auto"/>
              <w:bottom w:val="single" w:sz="4" w:space="0" w:color="auto"/>
            </w:tcBorders>
          </w:tcPr>
          <w:p w14:paraId="0691BCA0" w14:textId="7D647696" w:rsidR="00DC1BBD" w:rsidRPr="00D16E82" w:rsidRDefault="00DC1BBD" w:rsidP="00DC1BBD">
            <w:pPr>
              <w:spacing w:line="258" w:lineRule="auto"/>
              <w:jc w:val="both"/>
              <w:textDirection w:val="btLr"/>
              <w:rPr>
                <w:rFonts w:ascii="Times New Roman" w:hAnsi="Times New Roman"/>
                <w:i/>
                <w:color w:val="000000" w:themeColor="text1"/>
                <w:sz w:val="16"/>
                <w:szCs w:val="16"/>
              </w:rPr>
            </w:pPr>
            <w:r w:rsidRPr="00D16E82">
              <w:rPr>
                <w:rFonts w:ascii="Times New Roman" w:hAnsi="Times New Roman"/>
                <w:i/>
                <w:color w:val="000000" w:themeColor="text1"/>
                <w:sz w:val="16"/>
                <w:szCs w:val="16"/>
              </w:rPr>
              <w:t xml:space="preserve">History </w:t>
            </w:r>
            <w:r w:rsidR="00733CDA" w:rsidRPr="00D16E82">
              <w:rPr>
                <w:rFonts w:ascii="Times New Roman" w:hAnsi="Times New Roman"/>
                <w:i/>
                <w:color w:val="000000" w:themeColor="text1"/>
                <w:sz w:val="16"/>
                <w:szCs w:val="16"/>
              </w:rPr>
              <w:t>Of Article :</w:t>
            </w:r>
          </w:p>
          <w:p w14:paraId="1A6E35B1" w14:textId="5DAF0C3B" w:rsidR="00DC1BBD" w:rsidRPr="00D16E82" w:rsidRDefault="00DC1BBD" w:rsidP="00DC1BBD">
            <w:pPr>
              <w:spacing w:line="258" w:lineRule="auto"/>
              <w:jc w:val="both"/>
              <w:textDirection w:val="btLr"/>
              <w:rPr>
                <w:rFonts w:ascii="Times New Roman" w:hAnsi="Times New Roman"/>
                <w:color w:val="000000" w:themeColor="text1"/>
                <w:sz w:val="16"/>
                <w:szCs w:val="16"/>
              </w:rPr>
            </w:pPr>
            <w:r w:rsidRPr="00D16E82">
              <w:rPr>
                <w:rFonts w:ascii="Times New Roman" w:hAnsi="Times New Roman"/>
                <w:color w:val="000000" w:themeColor="text1"/>
                <w:sz w:val="16"/>
                <w:szCs w:val="16"/>
              </w:rPr>
              <w:t>Received</w:t>
            </w:r>
            <w:r w:rsidR="00733CDA" w:rsidRPr="00D16E82">
              <w:rPr>
                <w:rFonts w:ascii="Times New Roman" w:hAnsi="Times New Roman"/>
                <w:color w:val="000000" w:themeColor="text1"/>
                <w:sz w:val="16"/>
                <w:szCs w:val="16"/>
              </w:rPr>
              <w:t xml:space="preserve">: 30 </w:t>
            </w:r>
            <w:r w:rsidRPr="00D16E82">
              <w:rPr>
                <w:rFonts w:ascii="Times New Roman" w:hAnsi="Times New Roman"/>
                <w:color w:val="000000" w:themeColor="text1"/>
                <w:sz w:val="16"/>
                <w:szCs w:val="16"/>
              </w:rPr>
              <w:t xml:space="preserve">September </w:t>
            </w:r>
            <w:r w:rsidR="00733CDA" w:rsidRPr="00D16E82">
              <w:rPr>
                <w:rFonts w:ascii="Times New Roman" w:hAnsi="Times New Roman"/>
                <w:color w:val="000000" w:themeColor="text1"/>
                <w:sz w:val="16"/>
                <w:szCs w:val="16"/>
              </w:rPr>
              <w:t>2020</w:t>
            </w:r>
          </w:p>
          <w:p w14:paraId="110E9827" w14:textId="70D5E8D2" w:rsidR="00DC1BBD" w:rsidRPr="00D16E82" w:rsidRDefault="00733CDA" w:rsidP="00DC1BBD">
            <w:pPr>
              <w:spacing w:line="258" w:lineRule="auto"/>
              <w:jc w:val="both"/>
              <w:textDirection w:val="btLr"/>
              <w:rPr>
                <w:rFonts w:ascii="Times New Roman" w:hAnsi="Times New Roman"/>
                <w:color w:val="000000" w:themeColor="text1"/>
                <w:sz w:val="16"/>
                <w:szCs w:val="16"/>
              </w:rPr>
            </w:pPr>
            <w:r>
              <w:rPr>
                <w:rFonts w:ascii="Times New Roman" w:hAnsi="Times New Roman"/>
                <w:color w:val="000000" w:themeColor="text1"/>
                <w:sz w:val="16"/>
                <w:szCs w:val="16"/>
              </w:rPr>
              <w:t>Approved</w:t>
            </w:r>
            <w:r w:rsidRPr="00D16E82">
              <w:rPr>
                <w:rFonts w:ascii="Times New Roman" w:hAnsi="Times New Roman"/>
                <w:color w:val="000000" w:themeColor="text1"/>
                <w:sz w:val="16"/>
                <w:szCs w:val="16"/>
              </w:rPr>
              <w:t xml:space="preserve">: 20 </w:t>
            </w:r>
            <w:r w:rsidR="00DC1BBD" w:rsidRPr="00D16E82">
              <w:rPr>
                <w:rFonts w:ascii="Times New Roman" w:hAnsi="Times New Roman"/>
                <w:color w:val="000000" w:themeColor="text1"/>
                <w:sz w:val="16"/>
                <w:szCs w:val="16"/>
              </w:rPr>
              <w:t xml:space="preserve">October </w:t>
            </w:r>
            <w:r w:rsidRPr="00D16E82">
              <w:rPr>
                <w:rFonts w:ascii="Times New Roman" w:hAnsi="Times New Roman"/>
                <w:color w:val="000000" w:themeColor="text1"/>
                <w:sz w:val="16"/>
                <w:szCs w:val="16"/>
              </w:rPr>
              <w:t>2020</w:t>
            </w:r>
          </w:p>
          <w:p w14:paraId="77EFC344" w14:textId="2A3FC148" w:rsidR="00DC1BBD" w:rsidRPr="00D16E82" w:rsidRDefault="00733CDA" w:rsidP="00DC1BBD">
            <w:pPr>
              <w:spacing w:line="258" w:lineRule="auto"/>
              <w:jc w:val="both"/>
              <w:textDirection w:val="btLr"/>
              <w:rPr>
                <w:rFonts w:ascii="Times New Roman" w:hAnsi="Times New Roman"/>
                <w:color w:val="000000" w:themeColor="text1"/>
                <w:sz w:val="16"/>
                <w:szCs w:val="16"/>
              </w:rPr>
            </w:pPr>
            <w:r>
              <w:rPr>
                <w:rFonts w:ascii="Times New Roman" w:hAnsi="Times New Roman"/>
                <w:color w:val="000000" w:themeColor="text1"/>
                <w:sz w:val="16"/>
                <w:szCs w:val="16"/>
              </w:rPr>
              <w:t>Published</w:t>
            </w:r>
            <w:r w:rsidRPr="00D16E82">
              <w:rPr>
                <w:rFonts w:ascii="Times New Roman" w:hAnsi="Times New Roman"/>
                <w:color w:val="000000" w:themeColor="text1"/>
                <w:sz w:val="16"/>
                <w:szCs w:val="16"/>
              </w:rPr>
              <w:t xml:space="preserve">: 28 </w:t>
            </w:r>
            <w:r w:rsidR="00DC1BBD" w:rsidRPr="00D16E82">
              <w:rPr>
                <w:rFonts w:ascii="Times New Roman" w:hAnsi="Times New Roman"/>
                <w:color w:val="000000" w:themeColor="text1"/>
                <w:sz w:val="16"/>
                <w:szCs w:val="16"/>
              </w:rPr>
              <w:t xml:space="preserve">November </w:t>
            </w:r>
            <w:r w:rsidRPr="00D16E82">
              <w:rPr>
                <w:rFonts w:ascii="Times New Roman" w:hAnsi="Times New Roman"/>
                <w:color w:val="000000" w:themeColor="text1"/>
                <w:sz w:val="16"/>
                <w:szCs w:val="16"/>
              </w:rPr>
              <w:t>2020</w:t>
            </w:r>
          </w:p>
          <w:p w14:paraId="1707442A" w14:textId="77777777" w:rsidR="00DC1BBD" w:rsidRPr="00D16E82" w:rsidRDefault="00DC1BBD" w:rsidP="00BD5CB3">
            <w:pPr>
              <w:jc w:val="both"/>
              <w:rPr>
                <w:rFonts w:ascii="Times New Roman" w:eastAsia="Corbel" w:hAnsi="Times New Roman"/>
                <w:color w:val="000000" w:themeColor="text1"/>
              </w:rPr>
            </w:pPr>
          </w:p>
        </w:tc>
        <w:tc>
          <w:tcPr>
            <w:tcW w:w="236" w:type="dxa"/>
          </w:tcPr>
          <w:p w14:paraId="4CB0FE13" w14:textId="77777777" w:rsidR="00DC1BBD" w:rsidRPr="00D16E82" w:rsidRDefault="00DC1BBD" w:rsidP="00BD5CB3">
            <w:pPr>
              <w:jc w:val="both"/>
              <w:rPr>
                <w:rFonts w:ascii="Times New Roman" w:eastAsia="EB Garamond" w:hAnsi="Times New Roman"/>
                <w:color w:val="000000" w:themeColor="text1"/>
                <w:sz w:val="18"/>
                <w:szCs w:val="18"/>
              </w:rPr>
            </w:pPr>
          </w:p>
        </w:tc>
        <w:tc>
          <w:tcPr>
            <w:tcW w:w="6814" w:type="dxa"/>
            <w:vMerge w:val="restart"/>
            <w:tcBorders>
              <w:top w:val="single" w:sz="4" w:space="0" w:color="auto"/>
            </w:tcBorders>
          </w:tcPr>
          <w:p w14:paraId="4A1C7C59" w14:textId="1CE2517A" w:rsidR="00DC1BBD" w:rsidRPr="00733CDA" w:rsidRDefault="00DC1BBD" w:rsidP="00733CDA">
            <w:pPr>
              <w:spacing w:line="276" w:lineRule="auto"/>
              <w:jc w:val="both"/>
              <w:rPr>
                <w:rFonts w:ascii="Times New Roman" w:eastAsia="EB Garamond" w:hAnsi="Times New Roman"/>
                <w:i/>
                <w:color w:val="000000" w:themeColor="text1"/>
                <w:sz w:val="20"/>
                <w:szCs w:val="20"/>
              </w:rPr>
            </w:pPr>
            <w:r w:rsidRPr="00733CDA">
              <w:rPr>
                <w:rFonts w:ascii="Times New Roman" w:eastAsia="EB Garamond" w:hAnsi="Times New Roman"/>
                <w:i/>
                <w:color w:val="000000" w:themeColor="text1"/>
                <w:sz w:val="20"/>
                <w:szCs w:val="20"/>
              </w:rPr>
              <w:t xml:space="preserve">This research aims to identify the factors that influence the increase in e-banking adoption in rural communities, specifically in the Batang Kuis area. The results of </w:t>
            </w:r>
            <w:r w:rsidR="00F70D8A">
              <w:rPr>
                <w:rFonts w:ascii="Times New Roman" w:eastAsia="EB Garamond" w:hAnsi="Times New Roman"/>
                <w:i/>
                <w:color w:val="000000" w:themeColor="text1"/>
                <w:sz w:val="20"/>
                <w:szCs w:val="20"/>
              </w:rPr>
              <w:t xml:space="preserve">the </w:t>
            </w:r>
            <w:r w:rsidRPr="00733CDA">
              <w:rPr>
                <w:rFonts w:ascii="Times New Roman" w:eastAsia="EB Garamond" w:hAnsi="Times New Roman"/>
                <w:i/>
                <w:color w:val="000000" w:themeColor="text1"/>
                <w:sz w:val="20"/>
                <w:szCs w:val="20"/>
              </w:rPr>
              <w:t>data analysis indicate that perceived profit and security are the dominant factors encouraging e-banking adoption among the rural community in Batang Kuis. This research contributes to the existing literature by aligning with Utility Theory, which posits that perceived benefits and actual benefits are key drivers of individual technology adoption. Based on these findings, this study recommends improving security measures, enhancing financial literacy through education programs, and improving infrastructure in rural areas to foster greater e-banking adoption. This necessitates collaboration between financial institutions and government agencies. However, this research has limitations, including a limited sample size and a restricted scope of variables. Future research could expand the sample and incorporate a wider range of variables for a more comprehensive understanding of e-banking adoption in rural settings.</w:t>
            </w:r>
          </w:p>
          <w:p w14:paraId="0CCEAC5E" w14:textId="199A3A08" w:rsidR="00D16E82" w:rsidRPr="00D16E82" w:rsidRDefault="00D16E82" w:rsidP="00BD5CB3">
            <w:pPr>
              <w:jc w:val="both"/>
              <w:rPr>
                <w:rFonts w:ascii="Times New Roman" w:eastAsia="Corbel" w:hAnsi="Times New Roman"/>
                <w:i/>
                <w:color w:val="000000" w:themeColor="text1"/>
              </w:rPr>
            </w:pPr>
          </w:p>
        </w:tc>
      </w:tr>
      <w:tr w:rsidR="00D16E82" w:rsidRPr="00D16E82" w14:paraId="2F6A48F1" w14:textId="77777777" w:rsidTr="00B6114F">
        <w:trPr>
          <w:trHeight w:val="3333"/>
        </w:trPr>
        <w:tc>
          <w:tcPr>
            <w:tcW w:w="2181" w:type="dxa"/>
            <w:vMerge w:val="restart"/>
            <w:tcBorders>
              <w:top w:val="single" w:sz="4" w:space="0" w:color="auto"/>
            </w:tcBorders>
          </w:tcPr>
          <w:p w14:paraId="51EDB2B3" w14:textId="77777777" w:rsidR="00D16E82" w:rsidRPr="00D16E82" w:rsidRDefault="00D16E82" w:rsidP="00DC1BBD">
            <w:pPr>
              <w:spacing w:line="258" w:lineRule="auto"/>
              <w:jc w:val="both"/>
              <w:textDirection w:val="btLr"/>
              <w:rPr>
                <w:rFonts w:ascii="Times New Roman" w:eastAsia="Corbel" w:hAnsi="Times New Roman"/>
                <w:color w:val="000000" w:themeColor="text1"/>
              </w:rPr>
            </w:pPr>
          </w:p>
        </w:tc>
        <w:tc>
          <w:tcPr>
            <w:tcW w:w="236" w:type="dxa"/>
          </w:tcPr>
          <w:p w14:paraId="2C2D5B83" w14:textId="77777777" w:rsidR="00D16E82" w:rsidRPr="00D16E82" w:rsidRDefault="00D16E82" w:rsidP="00BD5CB3">
            <w:pPr>
              <w:jc w:val="both"/>
              <w:rPr>
                <w:rFonts w:ascii="Times New Roman" w:eastAsia="Corbel" w:hAnsi="Times New Roman"/>
                <w:color w:val="000000" w:themeColor="text1"/>
              </w:rPr>
            </w:pPr>
          </w:p>
        </w:tc>
        <w:tc>
          <w:tcPr>
            <w:tcW w:w="6814" w:type="dxa"/>
            <w:vMerge/>
          </w:tcPr>
          <w:p w14:paraId="795E3D80" w14:textId="3D100F72" w:rsidR="00D16E82" w:rsidRPr="00D16E82" w:rsidRDefault="00D16E82" w:rsidP="00BD5CB3">
            <w:pPr>
              <w:jc w:val="both"/>
              <w:rPr>
                <w:rFonts w:ascii="Times New Roman" w:eastAsia="Corbel" w:hAnsi="Times New Roman"/>
                <w:i/>
                <w:color w:val="000000" w:themeColor="text1"/>
              </w:rPr>
            </w:pPr>
          </w:p>
        </w:tc>
      </w:tr>
      <w:tr w:rsidR="00D16E82" w:rsidRPr="00D16E82" w14:paraId="362998F6" w14:textId="77777777" w:rsidTr="00FD0F47">
        <w:trPr>
          <w:trHeight w:val="3333"/>
        </w:trPr>
        <w:tc>
          <w:tcPr>
            <w:tcW w:w="2181" w:type="dxa"/>
            <w:vMerge/>
          </w:tcPr>
          <w:p w14:paraId="1B7D1F8B" w14:textId="77777777" w:rsidR="00D16E82" w:rsidRPr="00D16E82" w:rsidRDefault="00D16E82" w:rsidP="00BD5CB3">
            <w:pPr>
              <w:jc w:val="both"/>
              <w:rPr>
                <w:rFonts w:ascii="Times New Roman" w:eastAsia="Corbel" w:hAnsi="Times New Roman"/>
                <w:color w:val="000000" w:themeColor="text1"/>
              </w:rPr>
            </w:pPr>
          </w:p>
        </w:tc>
        <w:tc>
          <w:tcPr>
            <w:tcW w:w="236" w:type="dxa"/>
          </w:tcPr>
          <w:p w14:paraId="55BE74C0" w14:textId="77777777" w:rsidR="00D16E82" w:rsidRPr="00D16E82" w:rsidRDefault="00D16E82" w:rsidP="00DC1BBD">
            <w:pPr>
              <w:jc w:val="both"/>
              <w:rPr>
                <w:rFonts w:ascii="Times New Roman" w:eastAsia="Corbel" w:hAnsi="Times New Roman"/>
                <w:b/>
                <w:color w:val="000000" w:themeColor="text1"/>
                <w:sz w:val="16"/>
                <w:szCs w:val="16"/>
              </w:rPr>
            </w:pPr>
          </w:p>
        </w:tc>
        <w:tc>
          <w:tcPr>
            <w:tcW w:w="6814" w:type="dxa"/>
          </w:tcPr>
          <w:p w14:paraId="2F79FDBD" w14:textId="631C74EC" w:rsidR="00D16E82" w:rsidRPr="00733CDA" w:rsidRDefault="00D16E82" w:rsidP="00DC1BBD">
            <w:pPr>
              <w:jc w:val="both"/>
              <w:rPr>
                <w:rFonts w:ascii="Times New Roman" w:eastAsia="Corbel" w:hAnsi="Times New Roman"/>
                <w:i/>
                <w:color w:val="000000" w:themeColor="text1"/>
                <w:sz w:val="20"/>
                <w:szCs w:val="20"/>
              </w:rPr>
            </w:pPr>
            <w:r w:rsidRPr="00733CDA">
              <w:rPr>
                <w:rFonts w:ascii="Times New Roman" w:eastAsia="Corbel" w:hAnsi="Times New Roman"/>
                <w:b/>
                <w:i/>
                <w:color w:val="000000" w:themeColor="text1"/>
                <w:sz w:val="20"/>
                <w:szCs w:val="20"/>
              </w:rPr>
              <w:t>Keywords</w:t>
            </w:r>
            <w:r w:rsidRPr="00733CDA">
              <w:rPr>
                <w:rFonts w:ascii="Times New Roman" w:eastAsia="Corbel" w:hAnsi="Times New Roman"/>
                <w:i/>
                <w:color w:val="000000" w:themeColor="text1"/>
                <w:sz w:val="20"/>
                <w:szCs w:val="20"/>
              </w:rPr>
              <w:t xml:space="preserve">: E-banking, rural communities, financial literacy, infrastructure, security, benefits, financial policies </w:t>
            </w:r>
          </w:p>
          <w:p w14:paraId="7607FE0B" w14:textId="77777777" w:rsidR="00D16E82" w:rsidRPr="00733CDA" w:rsidRDefault="00D16E82" w:rsidP="00DC1BBD">
            <w:pPr>
              <w:jc w:val="both"/>
              <w:rPr>
                <w:rFonts w:ascii="Times New Roman" w:eastAsia="Corbel" w:hAnsi="Times New Roman"/>
                <w:i/>
                <w:color w:val="000000" w:themeColor="text1"/>
                <w:sz w:val="20"/>
                <w:szCs w:val="20"/>
              </w:rPr>
            </w:pPr>
            <w:r w:rsidRPr="00733CDA">
              <w:rPr>
                <w:rFonts w:ascii="Times New Roman" w:eastAsia="Corbel" w:hAnsi="Times New Roman"/>
                <w:b/>
                <w:i/>
                <w:color w:val="000000" w:themeColor="text1"/>
                <w:sz w:val="20"/>
                <w:szCs w:val="20"/>
              </w:rPr>
              <w:t xml:space="preserve">JEL Classification Code: </w:t>
            </w:r>
            <w:r w:rsidRPr="00733CDA">
              <w:rPr>
                <w:rFonts w:ascii="Times New Roman" w:eastAsia="Corbel" w:hAnsi="Times New Roman"/>
                <w:i/>
                <w:color w:val="000000" w:themeColor="text1"/>
                <w:sz w:val="20"/>
                <w:szCs w:val="20"/>
              </w:rPr>
              <w:t xml:space="preserve">A13, C12, C30, D91 , G21  </w:t>
            </w:r>
          </w:p>
          <w:p w14:paraId="0767DA2D" w14:textId="77777777" w:rsidR="00D16E82" w:rsidRPr="00D16E82" w:rsidRDefault="00D16E82" w:rsidP="00BD5CB3">
            <w:pPr>
              <w:jc w:val="both"/>
              <w:rPr>
                <w:rFonts w:ascii="Times New Roman" w:eastAsia="Corbel" w:hAnsi="Times New Roman"/>
                <w:i/>
                <w:color w:val="000000" w:themeColor="text1"/>
              </w:rPr>
            </w:pPr>
          </w:p>
        </w:tc>
      </w:tr>
      <w:tr w:rsidR="00482BD5" w:rsidRPr="00D16E82" w14:paraId="42C3ACCA" w14:textId="77777777" w:rsidTr="00FD0F47">
        <w:trPr>
          <w:trHeight w:val="3119"/>
        </w:trPr>
        <w:tc>
          <w:tcPr>
            <w:tcW w:w="9231" w:type="dxa"/>
            <w:gridSpan w:val="3"/>
            <w:tcBorders>
              <w:bottom w:val="single" w:sz="4" w:space="0" w:color="auto"/>
            </w:tcBorders>
            <w:vAlign w:val="bottom"/>
          </w:tcPr>
          <w:p w14:paraId="4E6CE616" w14:textId="2539F59A" w:rsidR="00482BD5" w:rsidRPr="00B00D03" w:rsidRDefault="00482BD5" w:rsidP="00B6114F">
            <w:pPr>
              <w:jc w:val="right"/>
              <w:rPr>
                <w:rFonts w:ascii="Times New Roman" w:eastAsia="Corbel" w:hAnsi="Times New Roman"/>
                <w:bCs/>
                <w:iCs/>
                <w:color w:val="000000" w:themeColor="text1"/>
                <w:sz w:val="20"/>
                <w:szCs w:val="20"/>
              </w:rPr>
            </w:pPr>
            <w:r>
              <w:rPr>
                <w:rFonts w:ascii="Times New Roman" w:eastAsia="Corbel" w:hAnsi="Times New Roman"/>
                <w:bCs/>
                <w:iCs/>
                <w:color w:val="000000" w:themeColor="text1"/>
                <w:sz w:val="20"/>
                <w:szCs w:val="20"/>
              </w:rPr>
              <w:t>©</w:t>
            </w:r>
            <w:r w:rsidRPr="00BC7446">
              <w:rPr>
                <w:rFonts w:ascii="Times New Roman" w:eastAsia="Corbel" w:hAnsi="Times New Roman"/>
                <w:bCs/>
                <w:iCs/>
                <w:color w:val="000000" w:themeColor="text1"/>
                <w:sz w:val="20"/>
                <w:szCs w:val="20"/>
              </w:rPr>
              <w:t>202</w:t>
            </w:r>
            <w:r>
              <w:rPr>
                <w:rFonts w:ascii="Times New Roman" w:eastAsia="Corbel" w:hAnsi="Times New Roman"/>
                <w:bCs/>
                <w:iCs/>
                <w:color w:val="000000" w:themeColor="text1"/>
                <w:sz w:val="20"/>
                <w:szCs w:val="20"/>
              </w:rPr>
              <w:t>5</w:t>
            </w:r>
            <w:r w:rsidRPr="00BC7446">
              <w:rPr>
                <w:rFonts w:ascii="Times New Roman" w:eastAsia="Corbel" w:hAnsi="Times New Roman"/>
                <w:bCs/>
                <w:iCs/>
                <w:color w:val="000000" w:themeColor="text1"/>
                <w:sz w:val="20"/>
                <w:szCs w:val="20"/>
              </w:rPr>
              <w:t xml:space="preserve"> Media Trend</w:t>
            </w:r>
          </w:p>
        </w:tc>
      </w:tr>
    </w:tbl>
    <w:p w14:paraId="1D764BA2" w14:textId="77777777" w:rsidR="00482BD5" w:rsidRDefault="00482BD5" w:rsidP="00482BD5">
      <w:pPr>
        <w:pBdr>
          <w:top w:val="nil"/>
          <w:left w:val="nil"/>
          <w:bottom w:val="nil"/>
          <w:right w:val="nil"/>
          <w:between w:val="nil"/>
        </w:pBdr>
        <w:spacing w:after="0" w:line="240" w:lineRule="auto"/>
        <w:jc w:val="both"/>
        <w:rPr>
          <w:rFonts w:ascii="Arial" w:hAnsi="Arial" w:cs="Arial"/>
          <w:b/>
          <w:color w:val="000000" w:themeColor="text1"/>
        </w:rPr>
        <w:sectPr w:rsidR="00482BD5">
          <w:type w:val="continuous"/>
          <w:pgSz w:w="11906" w:h="16838"/>
          <w:pgMar w:top="1440" w:right="1440" w:bottom="1440" w:left="1440" w:header="397" w:footer="708" w:gutter="0"/>
          <w:cols w:space="720"/>
        </w:sectPr>
      </w:pPr>
    </w:p>
    <w:p w14:paraId="1A62DA80" w14:textId="77777777" w:rsidR="00482BD5" w:rsidRDefault="00482BD5" w:rsidP="00482BD5">
      <w:pPr>
        <w:pBdr>
          <w:top w:val="nil"/>
          <w:left w:val="nil"/>
          <w:bottom w:val="nil"/>
          <w:right w:val="nil"/>
          <w:between w:val="nil"/>
        </w:pBdr>
        <w:spacing w:after="0" w:line="240" w:lineRule="auto"/>
        <w:jc w:val="both"/>
        <w:rPr>
          <w:rFonts w:ascii="Arial" w:hAnsi="Arial" w:cs="Arial"/>
          <w:b/>
          <w:color w:val="000000" w:themeColor="text1"/>
        </w:rPr>
        <w:sectPr w:rsidR="00482BD5" w:rsidSect="0047203B">
          <w:type w:val="continuous"/>
          <w:pgSz w:w="11906" w:h="16838"/>
          <w:pgMar w:top="1440" w:right="1440" w:bottom="1440" w:left="1440" w:header="397" w:footer="708" w:gutter="0"/>
          <w:cols w:num="2" w:space="720"/>
        </w:sectPr>
      </w:pPr>
    </w:p>
    <w:p w14:paraId="6A3B2AF5" w14:textId="57ACDBBA" w:rsidR="008218AE" w:rsidRPr="00D82747" w:rsidRDefault="00627B84" w:rsidP="00482BD5">
      <w:pPr>
        <w:pBdr>
          <w:top w:val="nil"/>
          <w:left w:val="nil"/>
          <w:bottom w:val="nil"/>
          <w:right w:val="nil"/>
          <w:between w:val="nil"/>
        </w:pBdr>
        <w:spacing w:after="0" w:line="240" w:lineRule="auto"/>
        <w:jc w:val="both"/>
        <w:rPr>
          <w:rFonts w:ascii="Arial" w:hAnsi="Arial" w:cs="Arial"/>
          <w:b/>
          <w:color w:val="000000" w:themeColor="text1"/>
        </w:rPr>
      </w:pPr>
      <w:r w:rsidRPr="00D82747">
        <w:rPr>
          <w:rFonts w:ascii="Arial" w:hAnsi="Arial" w:cs="Arial"/>
          <w:b/>
          <w:color w:val="000000" w:themeColor="text1"/>
        </w:rPr>
        <w:lastRenderedPageBreak/>
        <w:t xml:space="preserve">INTRODUCTION </w:t>
      </w:r>
    </w:p>
    <w:p w14:paraId="1B7C6DC2" w14:textId="0A739850" w:rsidR="0047203B" w:rsidRPr="00D82747" w:rsidRDefault="00420B63" w:rsidP="00B43DDD">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47203B" w:rsidRPr="00D82747" w:rsidSect="00482BD5">
          <w:pgSz w:w="11906" w:h="16838"/>
          <w:pgMar w:top="1440" w:right="1440" w:bottom="1440" w:left="1440" w:header="397" w:footer="708" w:gutter="0"/>
          <w:cols w:num="2" w:space="720"/>
        </w:sectPr>
      </w:pPr>
      <w:r w:rsidRPr="00D82747">
        <w:rPr>
          <w:rFonts w:ascii="Arial" w:eastAsia="EB Garamond" w:hAnsi="Arial" w:cs="Arial"/>
          <w:color w:val="000000" w:themeColor="text1"/>
        </w:rPr>
        <w:t xml:space="preserve">Financial inclusion is a central issue in Indonesia’s economic development, especially in rural areas. Accelerating financial inclusion will not only improve people’s welfare but also encourage more equitable economic growth. However, the reality on the ground shows a high gap between urban and rural areas. In rural areas such as Batang Kuis, access to digital financial services, such as e-banking or mobile banking, is still very limited. </w:t>
      </w:r>
      <w:r w:rsidR="00EB5C93" w:rsidRPr="00EB5C93">
        <w:rPr>
          <w:rFonts w:ascii="Arial" w:eastAsia="EB Garamond" w:hAnsi="Arial" w:cs="Arial"/>
          <w:color w:val="000000" w:themeColor="text1"/>
        </w:rPr>
        <w:t>Mobile banking, with its ability to facilitate quick, easy, and cost-effective transactions, offers a promis</w:t>
      </w:r>
      <w:r w:rsidR="00EB5C93">
        <w:rPr>
          <w:rFonts w:ascii="Arial" w:eastAsia="EB Garamond" w:hAnsi="Arial" w:cs="Arial"/>
          <w:color w:val="000000" w:themeColor="text1"/>
        </w:rPr>
        <w:t>ing solution to bridge this gap</w:t>
      </w:r>
      <w:r w:rsidR="00EB5C93">
        <w:rPr>
          <w:rFonts w:ascii="Arial" w:eastAsia="EB Garamond" w:hAnsi="Arial" w:cs="Arial"/>
          <w:color w:val="000000" w:themeColor="text1"/>
        </w:rPr>
        <w:fldChar w:fldCharType="begin" w:fldLock="1"/>
      </w:r>
      <w:r w:rsidR="00EB5C93">
        <w:rPr>
          <w:rFonts w:ascii="Arial" w:eastAsia="EB Garamond" w:hAnsi="Arial" w:cs="Arial"/>
          <w:color w:val="000000" w:themeColor="text1"/>
        </w:rPr>
        <w:instrText>ADDIN CSL_CITATION {"citationItems":[{"id":"ITEM-1","itemData":{"author":[{"dropping-particle":"","family":"I Gede Prayudi","given":"S.T., M.M","non-dropping-particle":"","parse-names":false,"suffix":""},{"dropping-particle":"","family":"Dr. I Putu Gde Sukaatmadja","given":"SE, MP","non-dropping-particle":"","parse-names":false,"suffix":""},{"dropping-particle":"","family":"Prof. Dr. Ni Nyoman Kerti Yasa","given":"S.E., M.S.","non-dropping-particle":"","parse-names":false,"suffix":""},{"dropping-particle":"","family":"Prof. Dr. Dra I Gusti Ayu Ketut Giantari","given":"MSi","non-dropping-particle":"","parse-names":false,"suffix":""}],"edition":"- Rintho R. Rerung","id":"ITEM-1","issued":{"date-parts":[["2022"]]},"publisher":"Media sains Indonesia","publisher-place":"Indonesia","title":"A Studi: Persepsi Kemudahan Penggunaan dan Kegunaan untuk Membangun Kepercayaan dan Niat Menggunakan Kembali Layanan Mobile Banking","type":"book"},"uris":["http://www.mendeley.com/documents/?uuid=bc91e085-9c1b-3d7f-92a0-d37409f65153"]}],"mendeley":{"formattedCitation":"(I Gede Prayudi et al., 2022)","plainTextFormattedCitation":"(I Gede Prayudi et al., 2022)","previouslyFormattedCitation":"(I Gede Prayudi et al., 2022)"},"properties":{"noteIndex":0},"schema":"https://github.com/citation-style-language/schema/raw/master/csl-citation.json"}</w:instrText>
      </w:r>
      <w:r w:rsidR="00EB5C93">
        <w:rPr>
          <w:rFonts w:ascii="Arial" w:eastAsia="EB Garamond" w:hAnsi="Arial" w:cs="Arial"/>
          <w:color w:val="000000" w:themeColor="text1"/>
        </w:rPr>
        <w:fldChar w:fldCharType="separate"/>
      </w:r>
      <w:r w:rsidR="00EB5C93" w:rsidRPr="00EB5C93">
        <w:rPr>
          <w:rFonts w:ascii="Arial" w:eastAsia="EB Garamond" w:hAnsi="Arial" w:cs="Arial"/>
          <w:noProof/>
          <w:color w:val="000000" w:themeColor="text1"/>
        </w:rPr>
        <w:t xml:space="preserve">(I Gede Prayudi et al., </w:t>
      </w:r>
      <w:r w:rsidR="00EB5C93" w:rsidRPr="00EB5C93">
        <w:rPr>
          <w:rFonts w:ascii="Arial" w:eastAsia="EB Garamond" w:hAnsi="Arial" w:cs="Arial"/>
          <w:noProof/>
          <w:color w:val="000000" w:themeColor="text1"/>
        </w:rPr>
        <w:lastRenderedPageBreak/>
        <w:t>2022)</w:t>
      </w:r>
      <w:r w:rsidR="00EB5C93">
        <w:rPr>
          <w:rFonts w:ascii="Arial" w:eastAsia="EB Garamond" w:hAnsi="Arial" w:cs="Arial"/>
          <w:color w:val="000000" w:themeColor="text1"/>
        </w:rPr>
        <w:fldChar w:fldCharType="end"/>
      </w:r>
      <w:r w:rsidR="00EB5C93">
        <w:rPr>
          <w:rFonts w:ascii="Arial" w:eastAsia="EB Garamond" w:hAnsi="Arial" w:cs="Arial"/>
          <w:color w:val="000000" w:themeColor="text1"/>
        </w:rPr>
        <w:t xml:space="preserve">. </w:t>
      </w:r>
      <w:r w:rsidRPr="00D82747">
        <w:rPr>
          <w:rFonts w:ascii="Arial" w:eastAsia="EB Garamond" w:hAnsi="Arial" w:cs="Arial"/>
          <w:color w:val="000000" w:themeColor="text1"/>
        </w:rPr>
        <w:t>Although the government has launched various programs to expand access to finance, the adoption of these services among rural communities is still relatively low, even though the overall number of users c</w:t>
      </w:r>
      <w:r w:rsidR="00104B04">
        <w:rPr>
          <w:rFonts w:ascii="Arial" w:eastAsia="EB Garamond" w:hAnsi="Arial" w:cs="Arial"/>
          <w:color w:val="000000" w:themeColor="text1"/>
        </w:rPr>
        <w:t xml:space="preserve">ontinues to increase every year </w:t>
      </w:r>
      <w:r w:rsidR="00791AD4" w:rsidRPr="00D82747">
        <w:rPr>
          <w:rFonts w:ascii="Arial" w:eastAsia="EB Garamond" w:hAnsi="Arial" w:cs="Arial"/>
          <w:color w:val="000000" w:themeColor="text1"/>
        </w:rPr>
        <w:fldChar w:fldCharType="begin" w:fldLock="1"/>
      </w:r>
      <w:r w:rsidR="00184115" w:rsidRPr="00D82747">
        <w:rPr>
          <w:rFonts w:ascii="Arial" w:eastAsia="EB Garamond" w:hAnsi="Arial" w:cs="Arial"/>
          <w:color w:val="000000" w:themeColor="text1"/>
        </w:rPr>
        <w:instrText>ADDIN CSL_CITATION {"citationItems":[{"id":"ITEM-1","itemData":{"abstract":"Penetrasi dan Profil Perilaku Pengguna Internet Indonesia","author":[{"dropping-particle":"","family":"APJII","given":"","non-dropping-particle":"","parse-names":false,"suffix":""}],"container-title":"Www.Apji.or.Id","id":"ITEM-1","issue":"8","issued":{"date-parts":[["2024"]]},"title":"APJII Jumlah Pengguna Internet Indonesia Tembus 221 Juta Orang","type":"article-journal"},"uris":["http://www.mendeley.com/documents/?uuid=6e8009ab-4d87-3fdd-b594-5a9d771a466c"]}],"mendeley":{"formattedCitation":"(APJII, 2024)","plainTextFormattedCitation":"(APJII, 2024)","previouslyFormattedCitation":"(APJII, 2024)"},"properties":{"noteIndex":0},"schema":"https://github.com/citation-style-language/schema/raw/master/csl-citation.json"}</w:instrText>
      </w:r>
      <w:r w:rsidR="00791AD4" w:rsidRPr="00D82747">
        <w:rPr>
          <w:rFonts w:ascii="Arial" w:eastAsia="EB Garamond" w:hAnsi="Arial" w:cs="Arial"/>
          <w:color w:val="000000" w:themeColor="text1"/>
        </w:rPr>
        <w:fldChar w:fldCharType="separate"/>
      </w:r>
      <w:r w:rsidR="00791AD4" w:rsidRPr="00D82747">
        <w:rPr>
          <w:rFonts w:ascii="Arial" w:eastAsia="EB Garamond" w:hAnsi="Arial" w:cs="Arial"/>
          <w:noProof/>
          <w:color w:val="000000" w:themeColor="text1"/>
        </w:rPr>
        <w:t>(APJII, 2024)</w:t>
      </w:r>
      <w:r w:rsidR="00791AD4" w:rsidRPr="00D82747">
        <w:rPr>
          <w:rFonts w:ascii="Arial" w:eastAsia="EB Garamond" w:hAnsi="Arial" w:cs="Arial"/>
          <w:color w:val="000000" w:themeColor="text1"/>
        </w:rPr>
        <w:fldChar w:fldCharType="end"/>
      </w:r>
      <w:r w:rsidR="00104B04">
        <w:rPr>
          <w:rFonts w:ascii="Arial" w:eastAsia="EB Garamond" w:hAnsi="Arial" w:cs="Arial"/>
          <w:color w:val="000000" w:themeColor="text1"/>
        </w:rPr>
        <w:t>.</w:t>
      </w:r>
      <w:r w:rsidR="00104B04" w:rsidRPr="00104B04">
        <w:t xml:space="preserve"> </w:t>
      </w:r>
      <w:r w:rsidR="00104B04" w:rsidRPr="00104B04">
        <w:rPr>
          <w:rFonts w:ascii="Arial" w:eastAsia="EB Garamond" w:hAnsi="Arial" w:cs="Arial"/>
          <w:color w:val="000000" w:themeColor="text1"/>
        </w:rPr>
        <w:t>The rapid development of the digital economy brings various new opportunities. However, on the other hand, we also face challenges in forming a stable and sustainable digital economic ecosystem. Many aspects of the digital economy are still evolving and not yet fully defined, both at</w:t>
      </w:r>
      <w:r w:rsidR="00104B04">
        <w:rPr>
          <w:rFonts w:ascii="Arial" w:eastAsia="EB Garamond" w:hAnsi="Arial" w:cs="Arial"/>
          <w:color w:val="000000" w:themeColor="text1"/>
        </w:rPr>
        <w:t xml:space="preserve"> the national and global levels </w:t>
      </w:r>
      <w:r w:rsidR="00EB5C93">
        <w:rPr>
          <w:rFonts w:ascii="Arial" w:eastAsia="EB Garamond" w:hAnsi="Arial" w:cs="Arial"/>
          <w:color w:val="000000" w:themeColor="text1"/>
        </w:rPr>
        <w:fldChar w:fldCharType="begin" w:fldLock="1"/>
      </w:r>
      <w:r w:rsidR="00EB5C93">
        <w:rPr>
          <w:rFonts w:ascii="Arial" w:eastAsia="EB Garamond" w:hAnsi="Arial" w:cs="Arial"/>
          <w:color w:val="000000" w:themeColor="text1"/>
        </w:rPr>
        <w:instrText>ADDIN CSL_CITATION {"citationItems":[{"id":"ITEM-1","itemData":{"DOI":"10.24034/j25485024.y2021.v5.i4.4772","ISSN":"2548-298X","abstract":"The emergence of sharia-based E-Wallet is a new thing in Indonesia and an academic response is needed for this. This article is intended to measure the level of individual acceptance of Sharia E-Wallet by looking at the relationship between factors related to intention, by using modification and simplification of the UTAUT model and using the analysis of Structural Equation Modeling (SEM) analysis. This study found that factors such as User Value, Effort Expectancy and Social Influence have a positive and significant impact on Performance Expectancy. In the context Behavioral Intention relationship it is found that there is a positive and significant influence between Effort Expectancy and Social Influence on the Intention to adopt Sharia E-Wallet. Meanwhile, User Value and Performance Expectations do not have a significant and positive relationship. This research provides advice in building a digital economy in Indonesia through a program of strengthening Literacy and Regulation in utilizing the potential of Muslims and preferences in using sharia products in Indonesia in accordance with the grand plans in Building Sharia Economic and Finance 2019-2024.","author":[{"dropping-particle":"","family":"Andriyaningtyas","given":"Irma","non-dropping-particle":"","parse-names":false,"suffix":""},{"dropping-particle":"","family":"Adam","given":"Muhammad","non-dropping-particle":"","parse-names":false,"suffix":""},{"dropping-particle":"","family":"Herianingrum","given":"Sri","non-dropping-particle":"","parse-names":false,"suffix":""}],"container-title":"EKUITAS (Jurnal Ekonomi dan Keuangan)","id":"ITEM-1","issue":"4","issued":{"date-parts":[["2022"]]},"title":"PENERIMAAN E-WALLET SYARIAH LINKAJA DALAM RANGKA PENGEMBANGAN EKONOMI DIGITAL DI INDONESIA","type":"article-journal","volume":"5"},"uris":["http://www.mendeley.com/documents/?uuid=a6963e28-dd86-3697-ad00-10ac23e0fc82"]}],"mendeley":{"formattedCitation":"(Andriyaningtyas et al., 2022)","plainTextFormattedCitation":"(Andriyaningtyas et al., 2022)","previouslyFormattedCitation":"(Andriyaningtyas et al., 2022)"},"properties":{"noteIndex":0},"schema":"https://github.com/citation-style-language/schema/raw/master/csl-citation.json"}</w:instrText>
      </w:r>
      <w:r w:rsidR="00EB5C93">
        <w:rPr>
          <w:rFonts w:ascii="Arial" w:eastAsia="EB Garamond" w:hAnsi="Arial" w:cs="Arial"/>
          <w:color w:val="000000" w:themeColor="text1"/>
        </w:rPr>
        <w:fldChar w:fldCharType="separate"/>
      </w:r>
      <w:r w:rsidR="00EB5C93" w:rsidRPr="00EB5C93">
        <w:rPr>
          <w:rFonts w:ascii="Arial" w:eastAsia="EB Garamond" w:hAnsi="Arial" w:cs="Arial"/>
          <w:noProof/>
          <w:color w:val="000000" w:themeColor="text1"/>
        </w:rPr>
        <w:t>(Andriyaningtyas et al., 2022)</w:t>
      </w:r>
      <w:r w:rsidR="00EB5C93">
        <w:rPr>
          <w:rFonts w:ascii="Arial" w:eastAsia="EB Garamond" w:hAnsi="Arial" w:cs="Arial"/>
          <w:color w:val="000000" w:themeColor="text1"/>
        </w:rPr>
        <w:fldChar w:fldCharType="end"/>
      </w:r>
      <w:r w:rsidR="00EB5C93">
        <w:rPr>
          <w:rFonts w:ascii="Arial" w:eastAsia="EB Garamond" w:hAnsi="Arial" w:cs="Arial"/>
          <w:color w:val="000000" w:themeColor="text1"/>
        </w:rPr>
        <w:t>.</w:t>
      </w:r>
    </w:p>
    <w:tbl>
      <w:tblPr>
        <w:tblStyle w:val="TableGrid"/>
        <w:tblpPr w:leftFromText="180" w:rightFromText="180" w:vertAnchor="text" w:horzAnchor="margin" w:tblpX="108" w:tblpY="10"/>
        <w:tblW w:w="489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26"/>
        <w:gridCol w:w="1600"/>
        <w:gridCol w:w="1600"/>
        <w:gridCol w:w="1600"/>
        <w:gridCol w:w="1613"/>
      </w:tblGrid>
      <w:tr w:rsidR="00B43DDD" w:rsidRPr="00D82747" w14:paraId="5445EB18" w14:textId="77777777" w:rsidTr="00B43DDD">
        <w:trPr>
          <w:trHeight w:val="275"/>
        </w:trPr>
        <w:tc>
          <w:tcPr>
            <w:tcW w:w="5000" w:type="pct"/>
            <w:gridSpan w:val="5"/>
            <w:shd w:val="clear" w:color="auto" w:fill="auto"/>
            <w:vAlign w:val="center"/>
          </w:tcPr>
          <w:p w14:paraId="62CAD3A7" w14:textId="77777777" w:rsidR="00B43DDD" w:rsidRPr="00D82747" w:rsidRDefault="00B43DDD" w:rsidP="00B43DDD">
            <w:pPr>
              <w:spacing w:line="259" w:lineRule="auto"/>
              <w:ind w:firstLine="567"/>
              <w:jc w:val="center"/>
              <w:rPr>
                <w:rFonts w:ascii="Arial" w:eastAsia="EB Garamond" w:hAnsi="Arial" w:cs="Arial"/>
                <w:b/>
                <w:color w:val="000000" w:themeColor="text1"/>
              </w:rPr>
            </w:pPr>
            <w:r w:rsidRPr="00D82747">
              <w:rPr>
                <w:rFonts w:ascii="Arial" w:eastAsia="EB Garamond" w:hAnsi="Arial" w:cs="Arial"/>
                <w:b/>
                <w:color w:val="000000" w:themeColor="text1"/>
              </w:rPr>
              <w:t>Table 1.</w:t>
            </w:r>
          </w:p>
          <w:p w14:paraId="1A268EED" w14:textId="77777777" w:rsidR="00B43DDD" w:rsidRPr="00D82747" w:rsidRDefault="00B43DDD" w:rsidP="00B43DDD">
            <w:pPr>
              <w:spacing w:line="259" w:lineRule="auto"/>
              <w:ind w:firstLine="567"/>
              <w:jc w:val="center"/>
              <w:rPr>
                <w:rFonts w:ascii="Arial" w:eastAsia="EB Garamond" w:hAnsi="Arial" w:cs="Arial"/>
                <w:b/>
                <w:color w:val="000000" w:themeColor="text1"/>
              </w:rPr>
            </w:pPr>
            <w:r w:rsidRPr="00D82747">
              <w:rPr>
                <w:rFonts w:ascii="Arial" w:eastAsia="EB Garamond" w:hAnsi="Arial" w:cs="Arial"/>
                <w:b/>
                <w:bCs/>
                <w:color w:val="000000" w:themeColor="text1"/>
              </w:rPr>
              <w:t>Number of Customers and Mobile Banking Users in 4 Selected Banks</w:t>
            </w:r>
          </w:p>
        </w:tc>
      </w:tr>
      <w:tr w:rsidR="00B43DDD" w:rsidRPr="00D82747" w14:paraId="7EB214BE" w14:textId="77777777" w:rsidTr="00B43DDD">
        <w:trPr>
          <w:trHeight w:val="285"/>
        </w:trPr>
        <w:tc>
          <w:tcPr>
            <w:tcW w:w="1453" w:type="pct"/>
            <w:tcBorders>
              <w:bottom w:val="single" w:sz="12" w:space="0" w:color="auto"/>
            </w:tcBorders>
            <w:shd w:val="clear" w:color="auto" w:fill="auto"/>
          </w:tcPr>
          <w:p w14:paraId="1958DF1F" w14:textId="77777777" w:rsidR="00B43DDD" w:rsidRPr="00D82747" w:rsidRDefault="00B43DDD" w:rsidP="00B43DDD">
            <w:pPr>
              <w:ind w:firstLine="567"/>
              <w:jc w:val="center"/>
              <w:rPr>
                <w:rFonts w:ascii="Arial" w:eastAsia="EB Garamond" w:hAnsi="Arial" w:cs="Arial"/>
                <w:b/>
                <w:bCs/>
                <w:color w:val="000000" w:themeColor="text1"/>
              </w:rPr>
            </w:pPr>
            <w:r w:rsidRPr="00D82747">
              <w:rPr>
                <w:rFonts w:ascii="Arial" w:eastAsia="EB Garamond" w:hAnsi="Arial" w:cs="Arial"/>
                <w:b/>
                <w:bCs/>
                <w:color w:val="000000" w:themeColor="text1"/>
              </w:rPr>
              <w:t>Information</w:t>
            </w:r>
          </w:p>
        </w:tc>
        <w:tc>
          <w:tcPr>
            <w:tcW w:w="885" w:type="pct"/>
            <w:shd w:val="clear" w:color="auto" w:fill="auto"/>
            <w:vAlign w:val="center"/>
          </w:tcPr>
          <w:p w14:paraId="01747538" w14:textId="77777777" w:rsidR="00B43DDD" w:rsidRPr="00D82747" w:rsidRDefault="00B43DDD" w:rsidP="00B43DDD">
            <w:pPr>
              <w:ind w:firstLine="567"/>
              <w:rPr>
                <w:rFonts w:ascii="Arial" w:eastAsia="EB Garamond" w:hAnsi="Arial" w:cs="Arial"/>
                <w:b/>
                <w:bCs/>
                <w:color w:val="000000" w:themeColor="text1"/>
              </w:rPr>
            </w:pPr>
            <w:r w:rsidRPr="00D82747">
              <w:rPr>
                <w:rFonts w:ascii="Arial" w:eastAsia="EB Garamond" w:hAnsi="Arial" w:cs="Arial"/>
                <w:b/>
                <w:bCs/>
                <w:color w:val="000000" w:themeColor="text1"/>
              </w:rPr>
              <w:t>BRI</w:t>
            </w:r>
          </w:p>
        </w:tc>
        <w:tc>
          <w:tcPr>
            <w:tcW w:w="885" w:type="pct"/>
            <w:tcBorders>
              <w:top w:val="single" w:sz="4" w:space="0" w:color="auto"/>
              <w:bottom w:val="single" w:sz="18" w:space="0" w:color="auto"/>
            </w:tcBorders>
            <w:shd w:val="clear" w:color="auto" w:fill="auto"/>
            <w:vAlign w:val="center"/>
          </w:tcPr>
          <w:p w14:paraId="6BC1875C" w14:textId="77777777" w:rsidR="00B43DDD" w:rsidRPr="00D82747" w:rsidRDefault="00B43DDD" w:rsidP="00B43DDD">
            <w:pPr>
              <w:ind w:firstLine="567"/>
              <w:rPr>
                <w:rFonts w:ascii="Arial" w:eastAsia="EB Garamond" w:hAnsi="Arial" w:cs="Arial"/>
                <w:b/>
                <w:bCs/>
                <w:color w:val="000000" w:themeColor="text1"/>
              </w:rPr>
            </w:pPr>
            <w:r w:rsidRPr="00D82747">
              <w:rPr>
                <w:rFonts w:ascii="Arial" w:eastAsia="EB Garamond" w:hAnsi="Arial" w:cs="Arial"/>
                <w:b/>
                <w:bCs/>
                <w:color w:val="000000" w:themeColor="text1"/>
              </w:rPr>
              <w:t>BNI</w:t>
            </w:r>
          </w:p>
        </w:tc>
        <w:tc>
          <w:tcPr>
            <w:tcW w:w="885" w:type="pct"/>
            <w:shd w:val="clear" w:color="auto" w:fill="auto"/>
            <w:vAlign w:val="center"/>
          </w:tcPr>
          <w:p w14:paraId="7A72C017" w14:textId="77777777" w:rsidR="00B43DDD" w:rsidRPr="00D82747" w:rsidRDefault="00B43DDD" w:rsidP="00B43DDD">
            <w:pPr>
              <w:ind w:firstLine="567"/>
              <w:rPr>
                <w:rFonts w:ascii="Arial" w:eastAsia="EB Garamond" w:hAnsi="Arial" w:cs="Arial"/>
                <w:b/>
                <w:bCs/>
                <w:color w:val="000000" w:themeColor="text1"/>
              </w:rPr>
            </w:pPr>
            <w:r w:rsidRPr="00D82747">
              <w:rPr>
                <w:rFonts w:ascii="Arial" w:eastAsia="EB Garamond" w:hAnsi="Arial" w:cs="Arial"/>
                <w:b/>
                <w:bCs/>
                <w:color w:val="000000" w:themeColor="text1"/>
              </w:rPr>
              <w:t>BCA</w:t>
            </w:r>
          </w:p>
        </w:tc>
        <w:tc>
          <w:tcPr>
            <w:tcW w:w="894" w:type="pct"/>
            <w:shd w:val="clear" w:color="auto" w:fill="auto"/>
            <w:vAlign w:val="center"/>
          </w:tcPr>
          <w:p w14:paraId="1F403EB3" w14:textId="77777777" w:rsidR="00B43DDD" w:rsidRPr="00D82747" w:rsidRDefault="00B43DDD" w:rsidP="00B43DDD">
            <w:pPr>
              <w:ind w:firstLine="567"/>
              <w:rPr>
                <w:rFonts w:ascii="Arial" w:eastAsia="EB Garamond" w:hAnsi="Arial" w:cs="Arial"/>
                <w:b/>
                <w:bCs/>
                <w:color w:val="000000" w:themeColor="text1"/>
              </w:rPr>
            </w:pPr>
            <w:r w:rsidRPr="00D82747">
              <w:rPr>
                <w:rFonts w:ascii="Arial" w:eastAsia="EB Garamond" w:hAnsi="Arial" w:cs="Arial"/>
                <w:b/>
                <w:bCs/>
                <w:color w:val="000000" w:themeColor="text1"/>
              </w:rPr>
              <w:t>BSI</w:t>
            </w:r>
          </w:p>
        </w:tc>
      </w:tr>
      <w:tr w:rsidR="00B43DDD" w:rsidRPr="00D82747" w14:paraId="634EA1D5" w14:textId="77777777" w:rsidTr="00B43DDD">
        <w:trPr>
          <w:trHeight w:val="240"/>
        </w:trPr>
        <w:tc>
          <w:tcPr>
            <w:tcW w:w="1453" w:type="pct"/>
            <w:tcBorders>
              <w:top w:val="single" w:sz="18" w:space="0" w:color="auto"/>
            </w:tcBorders>
            <w:shd w:val="clear" w:color="auto" w:fill="auto"/>
          </w:tcPr>
          <w:p w14:paraId="10D2B450"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Number of customers</w:t>
            </w:r>
          </w:p>
        </w:tc>
        <w:tc>
          <w:tcPr>
            <w:tcW w:w="885" w:type="pct"/>
            <w:tcBorders>
              <w:top w:val="single" w:sz="18" w:space="0" w:color="auto"/>
            </w:tcBorders>
            <w:shd w:val="clear" w:color="auto" w:fill="auto"/>
            <w:vAlign w:val="center"/>
          </w:tcPr>
          <w:p w14:paraId="7E5C1B21"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160 million</w:t>
            </w:r>
          </w:p>
        </w:tc>
        <w:tc>
          <w:tcPr>
            <w:tcW w:w="885" w:type="pct"/>
            <w:tcBorders>
              <w:top w:val="single" w:sz="18" w:space="0" w:color="auto"/>
            </w:tcBorders>
            <w:shd w:val="clear" w:color="auto" w:fill="auto"/>
            <w:vAlign w:val="center"/>
          </w:tcPr>
          <w:p w14:paraId="2E89B86D"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64 million</w:t>
            </w:r>
          </w:p>
        </w:tc>
        <w:tc>
          <w:tcPr>
            <w:tcW w:w="885" w:type="pct"/>
            <w:tcBorders>
              <w:top w:val="single" w:sz="18" w:space="0" w:color="auto"/>
            </w:tcBorders>
            <w:shd w:val="clear" w:color="auto" w:fill="auto"/>
            <w:vAlign w:val="center"/>
          </w:tcPr>
          <w:p w14:paraId="7474F59A"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37 million</w:t>
            </w:r>
          </w:p>
        </w:tc>
        <w:tc>
          <w:tcPr>
            <w:tcW w:w="894" w:type="pct"/>
            <w:tcBorders>
              <w:top w:val="single" w:sz="18" w:space="0" w:color="auto"/>
            </w:tcBorders>
            <w:shd w:val="clear" w:color="auto" w:fill="auto"/>
            <w:vAlign w:val="center"/>
          </w:tcPr>
          <w:p w14:paraId="45FF0424"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29,4 million</w:t>
            </w:r>
          </w:p>
        </w:tc>
      </w:tr>
      <w:tr w:rsidR="00B43DDD" w:rsidRPr="00D82747" w14:paraId="697D4DFA" w14:textId="77777777" w:rsidTr="00B43DDD">
        <w:trPr>
          <w:trHeight w:val="266"/>
        </w:trPr>
        <w:tc>
          <w:tcPr>
            <w:tcW w:w="1453" w:type="pct"/>
            <w:shd w:val="clear" w:color="auto" w:fill="auto"/>
          </w:tcPr>
          <w:p w14:paraId="5AA35087"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Mobile Banking Users</w:t>
            </w:r>
          </w:p>
        </w:tc>
        <w:tc>
          <w:tcPr>
            <w:tcW w:w="885" w:type="pct"/>
            <w:shd w:val="clear" w:color="auto" w:fill="auto"/>
            <w:vAlign w:val="center"/>
          </w:tcPr>
          <w:p w14:paraId="46553750"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33,5 million</w:t>
            </w:r>
          </w:p>
        </w:tc>
        <w:tc>
          <w:tcPr>
            <w:tcW w:w="885" w:type="pct"/>
            <w:shd w:val="clear" w:color="auto" w:fill="auto"/>
            <w:vAlign w:val="center"/>
          </w:tcPr>
          <w:p w14:paraId="4E37E3F5"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16,9 million</w:t>
            </w:r>
          </w:p>
        </w:tc>
        <w:tc>
          <w:tcPr>
            <w:tcW w:w="885" w:type="pct"/>
            <w:shd w:val="clear" w:color="auto" w:fill="auto"/>
            <w:vAlign w:val="center"/>
          </w:tcPr>
          <w:p w14:paraId="51311D6C"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30,8 million</w:t>
            </w:r>
          </w:p>
        </w:tc>
        <w:tc>
          <w:tcPr>
            <w:tcW w:w="894" w:type="pct"/>
            <w:shd w:val="clear" w:color="auto" w:fill="auto"/>
            <w:vAlign w:val="center"/>
          </w:tcPr>
          <w:p w14:paraId="644295E5" w14:textId="77777777" w:rsidR="00B43DDD" w:rsidRPr="00D82747" w:rsidRDefault="00B43DDD" w:rsidP="00B43DDD">
            <w:pPr>
              <w:rPr>
                <w:rFonts w:ascii="Arial" w:eastAsia="EB Garamond" w:hAnsi="Arial" w:cs="Arial"/>
                <w:color w:val="000000" w:themeColor="text1"/>
              </w:rPr>
            </w:pPr>
            <w:r w:rsidRPr="00D82747">
              <w:rPr>
                <w:rFonts w:ascii="Arial" w:eastAsia="EB Garamond" w:hAnsi="Arial" w:cs="Arial"/>
                <w:color w:val="000000" w:themeColor="text1"/>
              </w:rPr>
              <w:t>6,7 million</w:t>
            </w:r>
          </w:p>
        </w:tc>
      </w:tr>
      <w:tr w:rsidR="00B43DDD" w:rsidRPr="00D82747" w14:paraId="3F75E850" w14:textId="77777777" w:rsidTr="00B43DDD">
        <w:trPr>
          <w:trHeight w:val="253"/>
        </w:trPr>
        <w:tc>
          <w:tcPr>
            <w:tcW w:w="5000" w:type="pct"/>
            <w:gridSpan w:val="5"/>
            <w:shd w:val="clear" w:color="auto" w:fill="auto"/>
            <w:vAlign w:val="center"/>
          </w:tcPr>
          <w:p w14:paraId="1B9B9BF6" w14:textId="77777777" w:rsidR="00B43DDD" w:rsidRDefault="00B43DDD" w:rsidP="00255D8C">
            <w:pPr>
              <w:rPr>
                <w:rFonts w:ascii="Arial" w:eastAsia="EB Garamond" w:hAnsi="Arial" w:cs="Arial"/>
                <w:color w:val="000000" w:themeColor="text1"/>
              </w:rPr>
            </w:pPr>
            <w:r w:rsidRPr="00D82747">
              <w:rPr>
                <w:rFonts w:ascii="Arial" w:eastAsia="EB Garamond" w:hAnsi="Arial" w:cs="Arial"/>
                <w:color w:val="000000" w:themeColor="text1"/>
              </w:rPr>
              <w:t xml:space="preserve">Source: Arlina Laras </w:t>
            </w:r>
            <w:r w:rsidRPr="00D82747">
              <w:rPr>
                <w:rFonts w:ascii="Arial" w:eastAsia="EB Garamond" w:hAnsi="Arial" w:cs="Arial"/>
                <w:color w:val="000000" w:themeColor="text1"/>
              </w:rPr>
              <w:fldChar w:fldCharType="begin" w:fldLock="1"/>
            </w:r>
            <w:r w:rsidRPr="00D82747">
              <w:rPr>
                <w:rFonts w:ascii="Arial" w:eastAsia="EB Garamond" w:hAnsi="Arial" w:cs="Arial"/>
                <w:color w:val="000000" w:themeColor="text1"/>
              </w:rPr>
              <w:instrText>ADDIN CSL_CITATION {"citationItems":[{"id":"ITEM-1","itemData":{"abstract":"Penetrasi dan Profil Perilaku Pengguna Internet Indonesia","author":[{"dropping-particle":"","family":"APJII","given":"","non-dropping-particle":"","parse-names":false,"suffix":""}],"container-title":"Www.Apji.or.Id","id":"ITEM-1","issue":"8","issued":{"date-parts":[["2024"]]},"title":"APJII Jumlah Pengguna Internet Indonesia Tembus 221 Juta Orang","type":"article-journal"},"uris":["http://www.mendeley.com/documents/?uuid=6e8009ab-4d87-3fdd-b594-5a9d771a466c"]}],"mendeley":{"formattedCitation":"(APJII, 2024)","plainTextFormattedCitation":"(APJII, 2024)","previouslyFormattedCitation":"(APJII, 2024)"},"properties":{"noteIndex":0},"schema":"https://github.com/citation-style-language/schema/raw/master/csl-citation.json"}</w:instrText>
            </w:r>
            <w:r w:rsidRPr="00D82747">
              <w:rPr>
                <w:rFonts w:ascii="Arial" w:eastAsia="EB Garamond" w:hAnsi="Arial" w:cs="Arial"/>
                <w:color w:val="000000" w:themeColor="text1"/>
              </w:rPr>
              <w:fldChar w:fldCharType="separate"/>
            </w:r>
            <w:r w:rsidRPr="00D82747">
              <w:rPr>
                <w:rFonts w:ascii="Arial" w:eastAsia="EB Garamond" w:hAnsi="Arial" w:cs="Arial"/>
                <w:noProof/>
                <w:color w:val="000000" w:themeColor="text1"/>
              </w:rPr>
              <w:t>(APJII, 2024)</w:t>
            </w:r>
            <w:r w:rsidRPr="00D82747">
              <w:rPr>
                <w:rFonts w:ascii="Arial" w:eastAsia="EB Garamond" w:hAnsi="Arial" w:cs="Arial"/>
                <w:color w:val="000000" w:themeColor="text1"/>
              </w:rPr>
              <w:fldChar w:fldCharType="end"/>
            </w:r>
            <w:r w:rsidRPr="00D82747">
              <w:rPr>
                <w:rFonts w:ascii="Arial" w:eastAsia="EB Garamond" w:hAnsi="Arial" w:cs="Arial"/>
                <w:color w:val="000000" w:themeColor="text1"/>
              </w:rPr>
              <w:t>,</w:t>
            </w:r>
            <w:r>
              <w:rPr>
                <w:rFonts w:ascii="Arial" w:eastAsia="EB Garamond" w:hAnsi="Arial" w:cs="Arial"/>
                <w:color w:val="000000" w:themeColor="text1"/>
              </w:rPr>
              <w:t>(Data processed, 2024</w:t>
            </w:r>
            <w:r w:rsidRPr="00D82747">
              <w:rPr>
                <w:rFonts w:ascii="Arial" w:eastAsia="EB Garamond" w:hAnsi="Arial" w:cs="Arial"/>
                <w:color w:val="000000" w:themeColor="text1"/>
              </w:rPr>
              <w:t>)</w:t>
            </w:r>
          </w:p>
          <w:p w14:paraId="07255D38" w14:textId="77777777" w:rsidR="00255D8C" w:rsidRPr="00D82747" w:rsidRDefault="00255D8C" w:rsidP="00255D8C">
            <w:pPr>
              <w:rPr>
                <w:rFonts w:ascii="Arial" w:eastAsia="EB Garamond" w:hAnsi="Arial" w:cs="Arial"/>
                <w:color w:val="000000" w:themeColor="text1"/>
              </w:rPr>
            </w:pPr>
          </w:p>
        </w:tc>
      </w:tr>
    </w:tbl>
    <w:p w14:paraId="04A3DEC0" w14:textId="77777777" w:rsidR="0047203B" w:rsidRPr="00D82747" w:rsidRDefault="0047203B" w:rsidP="00B43DDD">
      <w:pPr>
        <w:pBdr>
          <w:top w:val="nil"/>
          <w:left w:val="nil"/>
          <w:bottom w:val="nil"/>
          <w:right w:val="nil"/>
          <w:between w:val="nil"/>
        </w:pBdr>
        <w:spacing w:after="0" w:line="240" w:lineRule="auto"/>
        <w:jc w:val="both"/>
        <w:rPr>
          <w:rFonts w:ascii="Arial" w:eastAsia="EB Garamond" w:hAnsi="Arial" w:cs="Arial"/>
          <w:color w:val="000000" w:themeColor="text1"/>
        </w:rPr>
        <w:sectPr w:rsidR="0047203B" w:rsidRPr="00D82747">
          <w:type w:val="continuous"/>
          <w:pgSz w:w="11906" w:h="16838"/>
          <w:pgMar w:top="1440" w:right="1440" w:bottom="1440" w:left="1440" w:header="397" w:footer="708" w:gutter="0"/>
          <w:cols w:space="720"/>
        </w:sectPr>
      </w:pPr>
    </w:p>
    <w:p w14:paraId="722D6CC1" w14:textId="11951762" w:rsidR="000D7A43" w:rsidRPr="00D82747" w:rsidRDefault="006E46B4" w:rsidP="005C23AF">
      <w:pPr>
        <w:pBdr>
          <w:top w:val="nil"/>
          <w:left w:val="nil"/>
          <w:bottom w:val="nil"/>
          <w:right w:val="nil"/>
          <w:between w:val="nil"/>
        </w:pBdr>
        <w:spacing w:after="0" w:line="240" w:lineRule="auto"/>
        <w:ind w:firstLine="567"/>
        <w:jc w:val="both"/>
        <w:rPr>
          <w:rFonts w:ascii="Arial" w:eastAsia="EB Garamond" w:hAnsi="Arial" w:cs="Arial"/>
        </w:rPr>
      </w:pPr>
      <w:r w:rsidRPr="00D82747">
        <w:rPr>
          <w:rFonts w:ascii="Arial" w:eastAsia="EB Garamond" w:hAnsi="Arial" w:cs="Arial"/>
        </w:rPr>
        <w:t xml:space="preserve">Based on the data above, there is a significant difference between the number of mobile banking users and the total number of customers at each bank. Although BRI has a fairly large number of mobile banking users, namely 33.5 million users, this figure is still far below the total population of Indonesian internet users, where the survey results reached 221.5 million people in 2024 based on the results of a survey from APJII BRI's mobile banking penetration percentage is only 15.3%. This difference indicates that </w:t>
      </w:r>
      <w:r w:rsidR="00430BF6" w:rsidRPr="00D82747">
        <w:rPr>
          <w:rFonts w:ascii="Arial" w:eastAsia="EB Garamond" w:hAnsi="Arial" w:cs="Arial"/>
        </w:rPr>
        <w:t>other factors besides bank characteristics influence</w:t>
      </w:r>
      <w:r w:rsidR="00C00565" w:rsidRPr="00D82747">
        <w:rPr>
          <w:rFonts w:ascii="Arial" w:eastAsia="EB Garamond" w:hAnsi="Arial" w:cs="Arial"/>
        </w:rPr>
        <w:t xml:space="preserve"> </w:t>
      </w:r>
      <w:r w:rsidRPr="00D82747">
        <w:rPr>
          <w:rFonts w:ascii="Arial" w:eastAsia="EB Garamond" w:hAnsi="Arial" w:cs="Arial"/>
        </w:rPr>
        <w:t>the level of mobile banking adoption.</w:t>
      </w:r>
      <w:r w:rsidR="00D75A79" w:rsidRPr="00D82747">
        <w:rPr>
          <w:rFonts w:ascii="Arial" w:eastAsia="EB Garamond" w:hAnsi="Arial" w:cs="Arial"/>
        </w:rPr>
        <w:t xml:space="preserve"> </w:t>
      </w:r>
      <w:r w:rsidR="00184115" w:rsidRPr="00D82747">
        <w:rPr>
          <w:rFonts w:ascii="Arial" w:eastAsia="EB Garamond" w:hAnsi="Arial" w:cs="Arial"/>
        </w:rPr>
        <w:fldChar w:fldCharType="begin" w:fldLock="1"/>
      </w:r>
      <w:r w:rsidR="00184115" w:rsidRPr="00D82747">
        <w:rPr>
          <w:rFonts w:ascii="Arial" w:eastAsia="EB Garamond" w:hAnsi="Arial" w:cs="Arial"/>
        </w:rPr>
        <w:instrText>ADDIN CSL_CITATION {"citationItems":[{"id":"ITEM-1","itemData":{"abstract":"trabajo de investigacion","author":[{"dropping-particle":"","family":"Jatmiko","given":"Leo Dwi","non-dropping-particle":"","parse-names":false,"suffix":""}],"container-title":"bisnis tekno","id":"ITEM-1","issued":{"date-parts":[["2020"]]},"title":"APJII: 196,7 JUTA WARGA INDONESIA SUDAH MELEK INTERNET Leo","type":"article-newspaper"},"uris":["http://www.mendeley.com/documents/?uuid=5798fde2-e7f4-3742-a118-fda48bc65fe9"]}],"mendeley":{"formattedCitation":"(Jatmiko, 2020)","plainTextFormattedCitation":"(Jatmiko, 2020)","previouslyFormattedCitation":"(Jatmiko, 2020)"},"properties":{"noteIndex":0},"schema":"https://github.com/citation-style-language/schema/raw/master/csl-citation.json"}</w:instrText>
      </w:r>
      <w:r w:rsidR="00184115" w:rsidRPr="00D82747">
        <w:rPr>
          <w:rFonts w:ascii="Arial" w:eastAsia="EB Garamond" w:hAnsi="Arial" w:cs="Arial"/>
        </w:rPr>
        <w:fldChar w:fldCharType="separate"/>
      </w:r>
      <w:r w:rsidR="00184115" w:rsidRPr="00D82747">
        <w:rPr>
          <w:rFonts w:ascii="Arial" w:eastAsia="EB Garamond" w:hAnsi="Arial" w:cs="Arial"/>
          <w:noProof/>
        </w:rPr>
        <w:t>(Jatmiko, 2020)</w:t>
      </w:r>
      <w:r w:rsidR="00184115" w:rsidRPr="00D82747">
        <w:rPr>
          <w:rFonts w:ascii="Arial" w:eastAsia="EB Garamond" w:hAnsi="Arial" w:cs="Arial"/>
        </w:rPr>
        <w:fldChar w:fldCharType="end"/>
      </w:r>
    </w:p>
    <w:p w14:paraId="491F4384" w14:textId="20E891BE" w:rsidR="006E46B4" w:rsidRPr="00D82747" w:rsidRDefault="004C7C93" w:rsidP="005C23AF">
      <w:pPr>
        <w:pBdr>
          <w:top w:val="nil"/>
          <w:left w:val="nil"/>
          <w:bottom w:val="nil"/>
          <w:right w:val="nil"/>
          <w:between w:val="nil"/>
        </w:pBdr>
        <w:spacing w:after="0" w:line="240" w:lineRule="auto"/>
        <w:ind w:firstLine="567"/>
        <w:jc w:val="both"/>
        <w:rPr>
          <w:rFonts w:ascii="Arial" w:eastAsia="EB Garamond" w:hAnsi="Arial" w:cs="Arial"/>
        </w:rPr>
      </w:pPr>
      <w:r w:rsidRPr="00D82747">
        <w:rPr>
          <w:rFonts w:ascii="Arial" w:eastAsia="EB Garamond" w:hAnsi="Arial" w:cs="Arial"/>
        </w:rPr>
        <w:t xml:space="preserve">This condition is exacerbated by </w:t>
      </w:r>
      <w:r w:rsidR="00B20115" w:rsidRPr="00D82747">
        <w:rPr>
          <w:rFonts w:ascii="Arial" w:eastAsia="EB Garamond" w:hAnsi="Arial" w:cs="Arial"/>
        </w:rPr>
        <w:t>several</w:t>
      </w:r>
      <w:r w:rsidRPr="00D82747">
        <w:rPr>
          <w:rFonts w:ascii="Arial" w:eastAsia="EB Garamond" w:hAnsi="Arial" w:cs="Arial"/>
        </w:rPr>
        <w:t xml:space="preserve"> of socio-economic factors, one of which is the low level of digital literacy. This is a significant obstacle to the adoption of e-banking in society. Rural communities are often less familiar with digital technology and are worried about the difficulty in operating banking applications. In addition, the lack of financial education is also an obstacle. According to OJK The latest data from 2022 shows that the knowledge of the Indonesian people regarding financial products and services, both conventiona</w:t>
      </w:r>
      <w:r w:rsidR="00184115" w:rsidRPr="00D82747">
        <w:rPr>
          <w:rFonts w:ascii="Arial" w:eastAsia="EB Garamond" w:hAnsi="Arial" w:cs="Arial"/>
        </w:rPr>
        <w:t xml:space="preserve">l and sharia, is still very low </w:t>
      </w:r>
      <w:r w:rsidR="00184115" w:rsidRPr="00D82747">
        <w:rPr>
          <w:rFonts w:ascii="Arial" w:eastAsia="EB Garamond" w:hAnsi="Arial" w:cs="Arial"/>
        </w:rPr>
        <w:fldChar w:fldCharType="begin" w:fldLock="1"/>
      </w:r>
      <w:r w:rsidR="00EB5C93">
        <w:rPr>
          <w:rFonts w:ascii="Arial" w:eastAsia="EB Garamond" w:hAnsi="Arial" w:cs="Arial"/>
        </w:rPr>
        <w:instrText>ADDIN CSL_CITATION {"citationItems":[{"id":"ITEM-1","itemData":{"URL":"https://ojk.go.id/id/berita-dan-kegiatan/siaran-pers/Pages/Survei-Nasional-Literasi-dan-Inklusi-Keuangan-Tahun-2022.aspx","accessed":{"date-parts":[["2024","10","18"]]},"author":[{"dropping-particle":"","family":"Otoritas Jasa Keuangan (OJK)","given":"","non-dropping-particle":"","parse-names":false,"suffix":""}],"id":"ITEM-1","issued":{"date-parts":[["2022","9","22"]]},"title":"Siaran Pers Survei Nasional Literasi Dan Inklusi Keuangan Tahun 2022","type":"webpage"},"uris":["http://www.mendeley.com/documents/?uuid=03abf246-8838-3a5f-96f9-96495dcf6054"]}],"mendeley":{"formattedCitation":"(Otoritas Jasa Keuangan (OJK), 2022a)","manualFormatting":"(Otoritas Jasa Keuangan (OJK), 2022)","plainTextFormattedCitation":"(Otoritas Jasa Keuangan (OJK), 2022a)","previouslyFormattedCitation":"(Otoritas Jasa Keuangan (OJK), 2022a)"},"properties":{"noteIndex":0},"schema":"https://github.com/citation-style-language/schema/raw/master/csl-citation.json"}</w:instrText>
      </w:r>
      <w:r w:rsidR="00184115" w:rsidRPr="00D82747">
        <w:rPr>
          <w:rFonts w:ascii="Arial" w:eastAsia="EB Garamond" w:hAnsi="Arial" w:cs="Arial"/>
        </w:rPr>
        <w:fldChar w:fldCharType="separate"/>
      </w:r>
      <w:r w:rsidR="00184115" w:rsidRPr="00D82747">
        <w:rPr>
          <w:rFonts w:ascii="Arial" w:eastAsia="EB Garamond" w:hAnsi="Arial" w:cs="Arial"/>
          <w:noProof/>
        </w:rPr>
        <w:t>(Oto</w:t>
      </w:r>
      <w:r w:rsidR="00EB5C93">
        <w:rPr>
          <w:rFonts w:ascii="Arial" w:eastAsia="EB Garamond" w:hAnsi="Arial" w:cs="Arial"/>
          <w:noProof/>
        </w:rPr>
        <w:t>ritas Jasa Keuangan (OJK), 2022</w:t>
      </w:r>
      <w:r w:rsidR="00184115" w:rsidRPr="00D82747">
        <w:rPr>
          <w:rFonts w:ascii="Arial" w:eastAsia="EB Garamond" w:hAnsi="Arial" w:cs="Arial"/>
          <w:noProof/>
        </w:rPr>
        <w:t>)</w:t>
      </w:r>
      <w:r w:rsidR="00184115" w:rsidRPr="00D82747">
        <w:rPr>
          <w:rFonts w:ascii="Arial" w:eastAsia="EB Garamond" w:hAnsi="Arial" w:cs="Arial"/>
        </w:rPr>
        <w:fldChar w:fldCharType="end"/>
      </w:r>
      <w:r w:rsidR="00184115" w:rsidRPr="00D82747">
        <w:rPr>
          <w:rFonts w:ascii="Arial" w:eastAsia="EB Garamond" w:hAnsi="Arial" w:cs="Arial"/>
        </w:rPr>
        <w:t>.</w:t>
      </w:r>
      <w:r w:rsidRPr="00D82747">
        <w:rPr>
          <w:rFonts w:ascii="Arial" w:eastAsia="EB Garamond" w:hAnsi="Arial" w:cs="Arial"/>
        </w:rPr>
        <w:t xml:space="preserve"> </w:t>
      </w:r>
      <w:r w:rsidR="00013B0E" w:rsidRPr="00D82747">
        <w:rPr>
          <w:rFonts w:ascii="Arial" w:eastAsia="EB Garamond" w:hAnsi="Arial" w:cs="Arial"/>
        </w:rPr>
        <w:t>The conventional financial literacy rate of only 49.68% and the much lower Sharia financial literacy at 9.14% is evidence that the government and related institutions still need to work harder to ensure that all people, especially in rural areas, can better understand financial products and services. Goyal &amp; Kumar explain that financial literacy is very crucial to empower individuals to manage their finances effectively, such as setting aside emergency funds, saving for education, and preparing for retirement</w:t>
      </w:r>
      <w:r w:rsidR="006C5AC5" w:rsidRPr="00D82747">
        <w:rPr>
          <w:rFonts w:ascii="Arial" w:eastAsia="EB Garamond" w:hAnsi="Arial" w:cs="Arial"/>
        </w:rPr>
        <w:t xml:space="preserve"> </w:t>
      </w:r>
      <w:r w:rsidR="00184115" w:rsidRPr="00D82747">
        <w:rPr>
          <w:rFonts w:ascii="Arial" w:eastAsia="EB Garamond" w:hAnsi="Arial" w:cs="Arial"/>
        </w:rPr>
        <w:fldChar w:fldCharType="begin" w:fldLock="1"/>
      </w:r>
      <w:r w:rsidR="00184115" w:rsidRPr="00D82747">
        <w:rPr>
          <w:rFonts w:ascii="Arial" w:eastAsia="EB Garamond" w:hAnsi="Arial" w:cs="Arial"/>
        </w:rPr>
        <w:instrText>ADDIN CSL_CITATION {"citationItems":[{"id":"ITEM-1","itemData":{"DOI":"10.1111/ijcs.12605","ISSN":"14706431","abstract":"Given the paucity of comprehensive summaries in the extant literature, this systematic review, coupled with bibliometric analysis, endeavours to take a meticulous approach intended at presenting quantitative and qualitative knowledge on the ever-emerging subject of financial literacy. The study comprises a review of 502 articles - published in peer-reviewed journals from 2000 to 2019. Citation network, page-rank analysis, co-citation analysis, content analysis and publication trends have been employed to identify influential work, delineate the intellectual structure of the field and identify gaps. The most prominent journals, authors, countries, articles and themes have been identified using bibliometric analysis, followed by a comprehensive analysis of the content of 107 papers in the identified clusters. The three major themes enumerated are—levels of financial literacy amongst distinct cohorts, the influence that financial literacy exerts on financial planning and behaviour, and the impact of financial education. Additionally, content analysis of 175 papers has been conducted for the last four years’ articles that were not covered in the co-citation analysis. Emerging themes identified include financial capability, financial inclusion, gender gap, tax &amp; insurance literacy, and digital financial education. A conceptual framework has been modelled portraying the complete picture, following which potential areas of research have been suggested. This study will help policy-makers, regulators and academic researchers know the nuts and bolts of financial literacy, and identify the relevant areas that need investigation.","author":[{"dropping-particle":"","family":"Goyal","given":"Kirti","non-dropping-particle":"","parse-names":false,"suffix":""},{"dropping-particle":"","family":"Kumar","given":"Satish","non-dropping-particle":"","parse-names":false,"suffix":""}],"container-title":"International Journal of Consumer Studies","id":"ITEM-1","issue":"1","issued":{"date-parts":[["2021"]]},"title":"Financial literacy: A systematic review and bibliometric analysis","type":"article-journal","volume":"45"},"uris":["http://www.mendeley.com/documents/?uuid=ca994b0a-ac76-30d3-babd-7965a0b3b342"]}],"mendeley":{"formattedCitation":"(Goyal &amp; Kumar, 2021)","plainTextFormattedCitation":"(Goyal &amp; Kumar, 2021)","previouslyFormattedCitation":"(Goyal &amp; Kumar, 2021)"},"properties":{"noteIndex":0},"schema":"https://github.com/citation-style-language/schema/raw/master/csl-citation.json"}</w:instrText>
      </w:r>
      <w:r w:rsidR="00184115" w:rsidRPr="00D82747">
        <w:rPr>
          <w:rFonts w:ascii="Arial" w:eastAsia="EB Garamond" w:hAnsi="Arial" w:cs="Arial"/>
        </w:rPr>
        <w:fldChar w:fldCharType="separate"/>
      </w:r>
      <w:r w:rsidR="00184115" w:rsidRPr="00D82747">
        <w:rPr>
          <w:rFonts w:ascii="Arial" w:eastAsia="EB Garamond" w:hAnsi="Arial" w:cs="Arial"/>
          <w:noProof/>
        </w:rPr>
        <w:t>(Goyal &amp; Kumar, 2021)</w:t>
      </w:r>
      <w:r w:rsidR="00184115" w:rsidRPr="00D82747">
        <w:rPr>
          <w:rFonts w:ascii="Arial" w:eastAsia="EB Garamond" w:hAnsi="Arial" w:cs="Arial"/>
        </w:rPr>
        <w:fldChar w:fldCharType="end"/>
      </w:r>
      <w:r w:rsidRPr="00D82747">
        <w:rPr>
          <w:rFonts w:ascii="Arial" w:eastAsia="EB Garamond" w:hAnsi="Arial" w:cs="Arial"/>
        </w:rPr>
        <w:t>.</w:t>
      </w:r>
      <w:r w:rsidR="001E24E4" w:rsidRPr="00D82747">
        <w:rPr>
          <w:rFonts w:ascii="Arial" w:eastAsia="EB Garamond" w:hAnsi="Arial" w:cs="Arial"/>
        </w:rPr>
        <w:t xml:space="preserve"> In line with the findings of OJK  increasing Sharia financial literacy is also very important, Individuals with adequate financial literacy can objectively assess the benefits and risks of financial products so that they can make better financial decisions and believe that financial products can improve their quality of life</w:t>
      </w:r>
      <w:r w:rsidR="00184115" w:rsidRPr="00D82747">
        <w:rPr>
          <w:rFonts w:ascii="Arial" w:eastAsia="EB Garamond" w:hAnsi="Arial" w:cs="Arial"/>
        </w:rPr>
        <w:t xml:space="preserve"> </w:t>
      </w:r>
      <w:r w:rsidR="00184115" w:rsidRPr="00D82747">
        <w:rPr>
          <w:rFonts w:ascii="Arial" w:eastAsia="EB Garamond" w:hAnsi="Arial" w:cs="Arial"/>
        </w:rPr>
        <w:fldChar w:fldCharType="begin" w:fldLock="1"/>
      </w:r>
      <w:r w:rsidR="00184115" w:rsidRPr="00D82747">
        <w:rPr>
          <w:rFonts w:ascii="Arial" w:eastAsia="EB Garamond" w:hAnsi="Arial" w:cs="Arial"/>
        </w:rPr>
        <w:instrText>ADDIN CSL_CITATION {"citationItems":[{"id":"ITEM-1","itemData":{"URL":"https://sikapiuangmu.ojk.go.id/FrontEnd/CMS/Article/40780","accessed":{"date-parts":[["2024","10","18"]]},"author":[{"dropping-particle":"","family":"Otoritas Jasa Keuangan (OJK)","given":"","non-dropping-particle":"","parse-names":false,"suffix":""}],"id":"ITEM-1","issued":{"date-parts":[["2022","11","21"]]},"title":"Pentingnya Literasi Dan Inklusi Keuangan Bagi Kita Semua!‟, Sikapiuangmu","type":"webpage"},"uris":["http://www.mendeley.com/documents/?uuid=b7197c75-15dc-38cf-9af5-f6f3fa84cf45"]}],"mendeley":{"formattedCitation":"(Otoritas Jasa Keuangan (OJK), 2022b)","manualFormatting":"(Otoritas Jasa Keuangan (OJK), 2022)","plainTextFormattedCitation":"(Otoritas Jasa Keuangan (OJK), 2022b)","previouslyFormattedCitation":"(Otoritas Jasa Keuangan (OJK), 2022b)"},"properties":{"noteIndex":0},"schema":"https://github.com/citation-style-language/schema/raw/master/csl-citation.json"}</w:instrText>
      </w:r>
      <w:r w:rsidR="00184115" w:rsidRPr="00D82747">
        <w:rPr>
          <w:rFonts w:ascii="Arial" w:eastAsia="EB Garamond" w:hAnsi="Arial" w:cs="Arial"/>
        </w:rPr>
        <w:fldChar w:fldCharType="separate"/>
      </w:r>
      <w:r w:rsidR="00184115" w:rsidRPr="00D82747">
        <w:rPr>
          <w:rFonts w:ascii="Arial" w:eastAsia="EB Garamond" w:hAnsi="Arial" w:cs="Arial"/>
          <w:noProof/>
        </w:rPr>
        <w:t>(Otoritas Jasa Keuangan (OJK), 2022)</w:t>
      </w:r>
      <w:r w:rsidR="00184115" w:rsidRPr="00D82747">
        <w:rPr>
          <w:rFonts w:ascii="Arial" w:eastAsia="EB Garamond" w:hAnsi="Arial" w:cs="Arial"/>
        </w:rPr>
        <w:fldChar w:fldCharType="end"/>
      </w:r>
      <w:r w:rsidR="00862772" w:rsidRPr="00D82747">
        <w:rPr>
          <w:rFonts w:ascii="Arial" w:eastAsia="EB Garamond" w:hAnsi="Arial" w:cs="Arial"/>
        </w:rPr>
        <w:t>. Menkhoff emphasized that increasing financial literacy not only benefits individuals but also contributes to wider financial inclusion and economic development</w:t>
      </w:r>
      <w:r w:rsidR="00184115" w:rsidRPr="00D82747">
        <w:rPr>
          <w:rFonts w:ascii="Arial" w:eastAsia="EB Garamond" w:hAnsi="Arial" w:cs="Arial"/>
        </w:rPr>
        <w:t xml:space="preserve"> </w:t>
      </w:r>
      <w:r w:rsidR="00184115" w:rsidRPr="00D82747">
        <w:rPr>
          <w:rFonts w:ascii="Arial" w:eastAsia="EB Garamond" w:hAnsi="Arial" w:cs="Arial"/>
        </w:rPr>
        <w:fldChar w:fldCharType="begin" w:fldLock="1"/>
      </w:r>
      <w:r w:rsidR="00184115" w:rsidRPr="00D82747">
        <w:rPr>
          <w:rFonts w:ascii="Arial" w:eastAsia="EB Garamond" w:hAnsi="Arial" w:cs="Arial"/>
        </w:rPr>
        <w:instrText>ADDIN CSL_CITATION {"citationItems":[{"id":"ITEM-1","itemData":{"author":[{"dropping-particle":"","family":"Grohmann","given":"Antonia","non-dropping-particle":"","parse-names":false,"suffix":""},{"dropping-particle":"","family":"Menkhoff","given":"Lukas","non-dropping-particle":"","parse-names":false,"suffix":""}],"container-title":"Deutsches Institut für Wirtschaftsforschung","id":"ITEM-1","issued":{"date-parts":[["2020"]]},"title":"The Relationship between Financial Literacy and Financial Inclusion","type":"article-journal"},"uris":["http://www.mendeley.com/documents/?uuid=b5c87340-7d64-3ed2-ba27-15dbfb4a27c0"]}],"mendeley":{"formattedCitation":"(Grohmann &amp; Menkhoff, 2020)","plainTextFormattedCitation":"(Grohmann &amp; Menkhoff, 2020)","previouslyFormattedCitation":"(Grohmann &amp; Menkhoff, 2020)"},"properties":{"noteIndex":0},"schema":"https://github.com/citation-style-language/schema/raw/master/csl-citation.json"}</w:instrText>
      </w:r>
      <w:r w:rsidR="00184115" w:rsidRPr="00D82747">
        <w:rPr>
          <w:rFonts w:ascii="Arial" w:eastAsia="EB Garamond" w:hAnsi="Arial" w:cs="Arial"/>
        </w:rPr>
        <w:fldChar w:fldCharType="separate"/>
      </w:r>
      <w:r w:rsidR="00184115" w:rsidRPr="00D82747">
        <w:rPr>
          <w:rFonts w:ascii="Arial" w:eastAsia="EB Garamond" w:hAnsi="Arial" w:cs="Arial"/>
          <w:noProof/>
        </w:rPr>
        <w:t>(Grohmann &amp; Menkhoff, 2020)</w:t>
      </w:r>
      <w:r w:rsidR="00184115" w:rsidRPr="00D82747">
        <w:rPr>
          <w:rFonts w:ascii="Arial" w:eastAsia="EB Garamond" w:hAnsi="Arial" w:cs="Arial"/>
        </w:rPr>
        <w:fldChar w:fldCharType="end"/>
      </w:r>
      <w:r w:rsidR="00862772" w:rsidRPr="00D82747">
        <w:rPr>
          <w:rFonts w:ascii="Arial" w:eastAsia="EB Garamond" w:hAnsi="Arial" w:cs="Arial"/>
        </w:rPr>
        <w:t>.</w:t>
      </w:r>
      <w:r w:rsidR="00EB5C93" w:rsidRPr="00EB5C93">
        <w:t xml:space="preserve"> </w:t>
      </w:r>
      <w:r w:rsidR="00EB5C93" w:rsidRPr="00EB5C93">
        <w:rPr>
          <w:rFonts w:ascii="Arial" w:eastAsia="EB Garamond" w:hAnsi="Arial" w:cs="Arial"/>
        </w:rPr>
        <w:t xml:space="preserve">therefore financial literacy has an important role in increasing financial inclusion and financial behavior. Unfortunately, research results </w:t>
      </w:r>
      <w:r w:rsidR="00EB5C93" w:rsidRPr="00EB5C93">
        <w:rPr>
          <w:rFonts w:ascii="Arial" w:eastAsia="EB Garamond" w:hAnsi="Arial" w:cs="Arial"/>
        </w:rPr>
        <w:lastRenderedPageBreak/>
        <w:t>show that the level of financial literacy in Indonesia, even in developed cou</w:t>
      </w:r>
      <w:r w:rsidR="00EB5C93">
        <w:rPr>
          <w:rFonts w:ascii="Arial" w:eastAsia="EB Garamond" w:hAnsi="Arial" w:cs="Arial"/>
        </w:rPr>
        <w:t xml:space="preserve">ntries, is still relatively low </w:t>
      </w:r>
      <w:r w:rsidR="00EB5C93">
        <w:rPr>
          <w:rFonts w:ascii="Arial" w:eastAsia="EB Garamond" w:hAnsi="Arial" w:cs="Arial"/>
        </w:rPr>
        <w:fldChar w:fldCharType="begin" w:fldLock="1"/>
      </w:r>
      <w:r w:rsidR="00081DBD">
        <w:rPr>
          <w:rFonts w:ascii="Arial" w:eastAsia="EB Garamond" w:hAnsi="Arial" w:cs="Arial"/>
        </w:rPr>
        <w:instrText>ADDIN CSL_CITATION {"citationItems":[{"id":"ITEM-1","itemData":{"DOI":"10.36418/syntax-idea.v2i1.119","abstract":"Bank syariah menjadi alternatif yang paling sesuai dengan pilihan umat Islam. \r\nMenurut (Indonesia, 1998), yang dimaksud dengan bank\r\ndikembangkan sebagai suatu respon dari kelompok ekonomi dan praktisi perbankan \r\nmuslim yang berupaya mengakomodasi desakan dari berbagai pihak yang \r\nmenginginkan agar tersedia jasa transaksi keuangan yang dilaksanakan sejalan dengan \r\nnilai moral dan prinsip-prinsip syariah Islam (Agus Marimin, n.d.). Hal ini dapat \r\ndisimak dari data di bawah ini","author":[{"dropping-particle":"","family":"Ahmad Munajim","given":"","non-dropping-particle":"","parse-names":false,"suffix":""}],"container-title":"Syntax Idea","id":"ITEM-1","issued":{"date-parts":[["2022","1"]]},"page":"1-10","title":"Pengaruh Tingkat Literasi Keuangan Terhadap \rKepercayaan Pada Produk Perbankan Syariah","type":"article-journal","volume":"Vol. 2, No. 1"},"uris":["http://www.mendeley.com/documents/?uuid=fe9ae544-7415-3bcb-a0b5-cdb5b86655d6"]}],"mendeley":{"formattedCitation":"(Ahmad Munajim, 2022)","plainTextFormattedCitation":"(Ahmad Munajim, 2022)","previouslyFormattedCitation":"(Ahmad Munajim, 2022)"},"properties":{"noteIndex":0},"schema":"https://github.com/citation-style-language/schema/raw/master/csl-citation.json"}</w:instrText>
      </w:r>
      <w:r w:rsidR="00EB5C93">
        <w:rPr>
          <w:rFonts w:ascii="Arial" w:eastAsia="EB Garamond" w:hAnsi="Arial" w:cs="Arial"/>
        </w:rPr>
        <w:fldChar w:fldCharType="separate"/>
      </w:r>
      <w:r w:rsidR="00EB5C93" w:rsidRPr="00EB5C93">
        <w:rPr>
          <w:rFonts w:ascii="Arial" w:eastAsia="EB Garamond" w:hAnsi="Arial" w:cs="Arial"/>
          <w:noProof/>
        </w:rPr>
        <w:t>(Ahmad Munajim, 2022)</w:t>
      </w:r>
      <w:r w:rsidR="00EB5C93">
        <w:rPr>
          <w:rFonts w:ascii="Arial" w:eastAsia="EB Garamond" w:hAnsi="Arial" w:cs="Arial"/>
        </w:rPr>
        <w:fldChar w:fldCharType="end"/>
      </w:r>
      <w:r w:rsidR="00EB5C93">
        <w:rPr>
          <w:rFonts w:ascii="Arial" w:eastAsia="EB Garamond" w:hAnsi="Arial" w:cs="Arial"/>
        </w:rPr>
        <w:t xml:space="preserve">. </w:t>
      </w:r>
    </w:p>
    <w:p w14:paraId="53961F4C" w14:textId="21059B22" w:rsidR="00E873FE" w:rsidRPr="00D82747" w:rsidRDefault="0038244B" w:rsidP="005C23AF">
      <w:pPr>
        <w:pBdr>
          <w:top w:val="nil"/>
          <w:left w:val="nil"/>
          <w:bottom w:val="nil"/>
          <w:right w:val="nil"/>
          <w:between w:val="nil"/>
        </w:pBdr>
        <w:spacing w:after="0" w:line="240" w:lineRule="auto"/>
        <w:ind w:firstLine="567"/>
        <w:jc w:val="both"/>
        <w:rPr>
          <w:rFonts w:ascii="Arial" w:eastAsia="EB Garamond" w:hAnsi="Arial" w:cs="Arial"/>
        </w:rPr>
      </w:pPr>
      <w:r w:rsidRPr="00D82747">
        <w:rPr>
          <w:rFonts w:ascii="Arial" w:eastAsia="EB Garamond" w:hAnsi="Arial" w:cs="Arial"/>
        </w:rPr>
        <w:t>In addition to the long distance from the financial service center, transaction costs that are considered expensive are also an additional obstacle to people’s access to formal financial services. This shows that there are still many people, especially in rural areas, who are not yet connected to the modern financial system. For financial inclusion to be achieved evenly, both in urban and rural areas, people need to follow technological developments, especially e-banking.</w:t>
      </w:r>
      <w:r w:rsidR="00184115" w:rsidRPr="00D82747">
        <w:rPr>
          <w:rFonts w:ascii="Arial" w:eastAsia="EB Garamond" w:hAnsi="Arial" w:cs="Arial"/>
        </w:rPr>
        <w:t xml:space="preserve"> </w:t>
      </w:r>
      <w:r w:rsidR="00DE242E" w:rsidRPr="00D82747">
        <w:rPr>
          <w:rFonts w:ascii="Arial" w:eastAsia="EB Garamond" w:hAnsi="Arial" w:cs="Arial"/>
        </w:rPr>
        <w:t>The rapid advancement of technology has transformed the order of people’s lives towards a more modern era, marked by the use of information technology, telecommunications, and the internet.</w:t>
      </w:r>
    </w:p>
    <w:p w14:paraId="4F498562" w14:textId="31E742B9" w:rsidR="005E4178" w:rsidRPr="00D82747" w:rsidRDefault="005E4178" w:rsidP="005C23AF">
      <w:pPr>
        <w:pBdr>
          <w:top w:val="nil"/>
          <w:left w:val="nil"/>
          <w:bottom w:val="nil"/>
          <w:right w:val="nil"/>
          <w:between w:val="nil"/>
        </w:pBdr>
        <w:spacing w:after="0" w:line="240" w:lineRule="auto"/>
        <w:ind w:firstLine="567"/>
        <w:jc w:val="both"/>
        <w:rPr>
          <w:rFonts w:ascii="Arial" w:eastAsia="EB Garamond" w:hAnsi="Arial" w:cs="Arial"/>
        </w:rPr>
      </w:pPr>
      <w:r w:rsidRPr="00D82747">
        <w:rPr>
          <w:rFonts w:ascii="Arial" w:eastAsia="EB Garamond" w:hAnsi="Arial" w:cs="Arial"/>
        </w:rPr>
        <w:t>Several complex factors contribute to the low adoption of e-banking in rural areas, including limited digital infrastructure. The lack of internet networks, cellular signals, and digital devices such as smartphones are major obstacles for rural communities in accessing digital banking services. In addition, the lack of trust in the security of digital financial services is also a significant factor. Incidents of online fraud and loss of personal data have made people increasingly skeptical of digital transactions. This is the same as the finding</w:t>
      </w:r>
      <w:r w:rsidR="00184115" w:rsidRPr="00D82747">
        <w:rPr>
          <w:rFonts w:ascii="Arial" w:eastAsia="EB Garamond" w:hAnsi="Arial" w:cs="Arial"/>
        </w:rPr>
        <w:t>s of Nasution &amp; Suprayitno</w:t>
      </w:r>
      <w:r w:rsidRPr="00D82747">
        <w:rPr>
          <w:rFonts w:ascii="Arial" w:eastAsia="EB Garamond" w:hAnsi="Arial" w:cs="Arial"/>
        </w:rPr>
        <w:t xml:space="preserve"> who highlighted the importance of the trust factor in the adoption of e-banking because incidents of online fraud and loss of personal data have made people more skeptical of the security of digital transactions</w:t>
      </w:r>
      <w:r w:rsidR="00184115" w:rsidRPr="00D82747">
        <w:rPr>
          <w:rFonts w:ascii="Arial" w:eastAsia="EB Garamond" w:hAnsi="Arial" w:cs="Arial"/>
        </w:rPr>
        <w:t xml:space="preserve"> </w:t>
      </w:r>
      <w:r w:rsidR="00184115" w:rsidRPr="00D82747">
        <w:rPr>
          <w:rFonts w:ascii="Arial" w:eastAsia="EB Garamond" w:hAnsi="Arial" w:cs="Arial"/>
        </w:rPr>
        <w:fldChar w:fldCharType="begin" w:fldLock="1"/>
      </w:r>
      <w:r w:rsidR="00184115" w:rsidRPr="00D82747">
        <w:rPr>
          <w:rFonts w:ascii="Arial" w:eastAsia="EB Garamond" w:hAnsi="Arial" w:cs="Arial"/>
        </w:rPr>
        <w:instrText>ADDIN CSL_CITATION {"citationItems":[{"id":"ITEM-1","itemData":{"ISSN":"2579-6534","abstract":"Penelitian ini bertujuan menguji pengaruh penggunaan e-banking dan perlindungan nasabah pengguna e-banking terhadap kepercayaan nasabah dengan literasi keuangan sebagai variabel moderasi. Metode yang digunakan ialah kuantitatif deskriptif dengan pengumpulan data yang diambil melalui penyebaran kuesioner sebanyak 90 responden kepada nasabah Bank Syariah (BSI dan Muamalat) di Malang. Data yang diperoleh kemudian akan diuji melalui analisis pendekatan Partial Least Square melalui bantuan software SmartPls versi 3.0. Adapun hasil temuan pada penelitian ini, diperoleh bahwa variabel penggunaan e-banking berpengaruh negatif dan tidak signifikan terhadap kepercayaan nasabah sedangkan variabel perlindungan nasabah berpengaruh positif dan signifikan terhadap kepercayaan nasabah. Variabel literasi keuangan tidak mampu memoderasi penggunaan e-banking terhadap kepercayaan nasabah dengan pengaruh negatif dan tidak signifikan. Variabel literasi keuangan tidak mampu memoderasi perlindungan nasabah terhadap kepercayaan nasabah. Hasil pengujian R Square, secara simultan variabel kepercayaan nasabah dan literasi keuangan mampu menjelaskan variabel independen sebesar 82% dan 44% sisanya sebesar 18% dan 56% dijelaskan pada penelitian yang lain dengan variabel yang berbeda.","author":[{"dropping-particle":"","family":"Madaniah","given":"","non-dropping-particle":"","parse-names":false,"suffix":""},{"dropping-particle":"","family":"Suprayitno","given":"","non-dropping-particle":"","parse-names":false,"suffix":""}],"container-title":"Jurnal Ilmiah Ekonomi Islam","id":"ITEM-1","issue":"02","issued":{"date-parts":[["2022"]]},"title":"Pengaruh Penggunaan E-Banking dan Perlindungan Nasabah Terhadap Kepercayaan Nasabah dengan Literasi Keuangan sebagai Variabel Moderasi","type":"article-journal","volume":"8"},"uris":["http://www.mendeley.com/documents/?uuid=7be6d12b-1e32-3b23-8bae-61fe0109570b"]}],"mendeley":{"formattedCitation":"(Madaniah &amp; Suprayitno, 2022)","plainTextFormattedCitation":"(Madaniah &amp; Suprayitno, 2022)","previouslyFormattedCitation":"(Madaniah &amp; Suprayitno, 2022)"},"properties":{"noteIndex":0},"schema":"https://github.com/citation-style-language/schema/raw/master/csl-citation.json"}</w:instrText>
      </w:r>
      <w:r w:rsidR="00184115" w:rsidRPr="00D82747">
        <w:rPr>
          <w:rFonts w:ascii="Arial" w:eastAsia="EB Garamond" w:hAnsi="Arial" w:cs="Arial"/>
        </w:rPr>
        <w:fldChar w:fldCharType="separate"/>
      </w:r>
      <w:r w:rsidR="00184115" w:rsidRPr="00D82747">
        <w:rPr>
          <w:rFonts w:ascii="Arial" w:eastAsia="EB Garamond" w:hAnsi="Arial" w:cs="Arial"/>
          <w:noProof/>
        </w:rPr>
        <w:t>(Madaniah &amp; Suprayitno, 2022)</w:t>
      </w:r>
      <w:r w:rsidR="00184115" w:rsidRPr="00D82747">
        <w:rPr>
          <w:rFonts w:ascii="Arial" w:eastAsia="EB Garamond" w:hAnsi="Arial" w:cs="Arial"/>
        </w:rPr>
        <w:fldChar w:fldCharType="end"/>
      </w:r>
      <w:r w:rsidRPr="00D82747">
        <w:rPr>
          <w:rFonts w:ascii="Arial" w:eastAsia="EB Garamond" w:hAnsi="Arial" w:cs="Arial"/>
        </w:rPr>
        <w:t>.</w:t>
      </w:r>
    </w:p>
    <w:p w14:paraId="3499E297" w14:textId="097B07FD" w:rsidR="00617E4F" w:rsidRPr="00D82747" w:rsidRDefault="005E4178" w:rsidP="000A0F61">
      <w:pPr>
        <w:pBdr>
          <w:top w:val="nil"/>
          <w:left w:val="nil"/>
          <w:bottom w:val="nil"/>
          <w:right w:val="nil"/>
          <w:between w:val="nil"/>
        </w:pBdr>
        <w:spacing w:after="0" w:line="240" w:lineRule="auto"/>
        <w:ind w:firstLine="567"/>
        <w:jc w:val="both"/>
        <w:rPr>
          <w:rFonts w:ascii="Arial" w:eastAsia="EB Garamond" w:hAnsi="Arial" w:cs="Arial"/>
        </w:rPr>
      </w:pPr>
      <w:r w:rsidRPr="00D82747">
        <w:rPr>
          <w:rFonts w:ascii="Arial" w:eastAsia="EB Garamond" w:hAnsi="Arial" w:cs="Arial"/>
        </w:rPr>
        <w:t xml:space="preserve">However, the results of previous studies on factors influencing e-banking adoption are quite diverse, sometimes even contradictory. This indicates a gap in our understanding of the key factors that encourage or inhibit the use of e-banking. Financial Literacy: Research by </w:t>
      </w:r>
      <w:r w:rsidR="00184115" w:rsidRPr="00D82747">
        <w:rPr>
          <w:rFonts w:ascii="Arial" w:eastAsia="EB Garamond" w:hAnsi="Arial" w:cs="Arial"/>
        </w:rPr>
        <w:fldChar w:fldCharType="begin" w:fldLock="1"/>
      </w:r>
      <w:r w:rsidR="008264A0" w:rsidRPr="00D82747">
        <w:rPr>
          <w:rFonts w:ascii="Arial" w:eastAsia="EB Garamond" w:hAnsi="Arial" w:cs="Arial"/>
        </w:rPr>
        <w:instrText>ADDIN CSL_CITATION {"citationItems":[{"id":"ITEM-1","itemData":{"DOI":"10.36418/syntax-idea.v2i1.119","abstract":"Bank syariah menjadi alternatif yang paling sesuai dengan pilihan umat Islam. \r\nMenurut (Indonesia, 1998), yang dimaksud dengan bank\r\ndikembangkan sebagai suatu respon dari kelompok ekonomi dan praktisi perbankan \r\nmuslim yang berupaya mengakomodasi desakan dari berbagai pihak yang \r\nmenginginkan agar tersedia jasa transaksi keuangan yang dilaksanakan sejalan dengan \r\nnilai moral dan prinsip-prinsip syariah Islam (Agus Marimin, n.d.). Hal ini dapat \r\ndisimak dari data di bawah ini","author":[{"dropping-particle":"","family":"Ahmad Munajim","given":"","non-dropping-particle":"","parse-names":false,"suffix":""}],"container-title":"Syntax Idea","id":"ITEM-1","issued":{"date-parts":[["2022","1"]]},"page":"1-10","title":"Pengaruh Tingkat Literasi Keuangan Terhadap \rKepercayaan Pada Produk Perbankan Syariah","type":"article-journal","volume":"Vol. 2, No. 1"},"uris":["http://www.mendeley.com/documents/?uuid=fe9ae544-7415-3bcb-a0b5-cdb5b86655d6"]}],"mendeley":{"formattedCitation":"(Ahmad Munajim, 2022)","plainTextFormattedCitation":"(Ahmad Munajim, 2022)","previouslyFormattedCitation":"(Ahmad Munajim, 2022)"},"properties":{"noteIndex":0},"schema":"https://github.com/citation-style-language/schema/raw/master/csl-citation.json"}</w:instrText>
      </w:r>
      <w:r w:rsidR="00184115" w:rsidRPr="00D82747">
        <w:rPr>
          <w:rFonts w:ascii="Arial" w:eastAsia="EB Garamond" w:hAnsi="Arial" w:cs="Arial"/>
        </w:rPr>
        <w:fldChar w:fldCharType="separate"/>
      </w:r>
      <w:r w:rsidR="00184115" w:rsidRPr="00D82747">
        <w:rPr>
          <w:rFonts w:ascii="Arial" w:eastAsia="EB Garamond" w:hAnsi="Arial" w:cs="Arial"/>
          <w:noProof/>
        </w:rPr>
        <w:t>(Ahmad Munajim, 2022)</w:t>
      </w:r>
      <w:r w:rsidR="00184115" w:rsidRPr="00D82747">
        <w:rPr>
          <w:rFonts w:ascii="Arial" w:eastAsia="EB Garamond" w:hAnsi="Arial" w:cs="Arial"/>
        </w:rPr>
        <w:fldChar w:fldCharType="end"/>
      </w:r>
      <w:r w:rsidR="00184115" w:rsidRPr="00D82747">
        <w:rPr>
          <w:rFonts w:ascii="Arial" w:eastAsia="EB Garamond" w:hAnsi="Arial" w:cs="Arial"/>
        </w:rPr>
        <w:t xml:space="preserve"> </w:t>
      </w:r>
      <w:r w:rsidRPr="00D82747">
        <w:rPr>
          <w:rFonts w:ascii="Arial" w:eastAsia="EB Garamond" w:hAnsi="Arial" w:cs="Arial"/>
        </w:rPr>
        <w:t xml:space="preserve">and </w:t>
      </w:r>
      <w:r w:rsidR="00081DBD">
        <w:rPr>
          <w:rFonts w:ascii="Arial" w:eastAsia="EB Garamond" w:hAnsi="Arial" w:cs="Arial"/>
        </w:rPr>
        <w:fldChar w:fldCharType="begin" w:fldLock="1"/>
      </w:r>
      <w:r w:rsidR="00081DBD">
        <w:rPr>
          <w:rFonts w:ascii="Arial" w:eastAsia="EB Garamond" w:hAnsi="Arial" w:cs="Arial"/>
        </w:rPr>
        <w:instrText>ADDIN CSL_CITATION {"citationItems":[{"id":"ITEM-1","itemData":{"ISSN":"2528-0163","abstract":"… Berdasarkan beberapa penelitian terhadap pelaku usaha, masih terlihat rendahnya literasi keuangan para pelaku usaha. Rendahnya literasi keuangan membuat seseorang lebih …","author":[{"dropping-particle":"","family":"Budyastuti","given":"Triyani","non-dropping-particle":"","parse-names":false,"suffix":""}],"container-title":"Jurnal Online Insan Akuntan","id":"ITEM-1","issued":{"date-parts":[["2021"]]},"page":"167-178","title":"Pengaruh financial technology dan literasi keuangan terhadap keberlangsungan usaha","type":"article-journal","volume":"6(2)"},"uris":["http://www.mendeley.com/documents/?uuid=0c1ae5a6-922a-3aac-b80a-73b12b71c394"]}],"mendeley":{"formattedCitation":"(Budyastuti, 2021)","plainTextFormattedCitation":"(Budyastuti, 2021)","previouslyFormattedCitation":"(Budyastuti, 2021)"},"properties":{"noteIndex":0},"schema":"https://github.com/citation-style-language/schema/raw/master/csl-citation.json"}</w:instrText>
      </w:r>
      <w:r w:rsidR="00081DBD">
        <w:rPr>
          <w:rFonts w:ascii="Arial" w:eastAsia="EB Garamond" w:hAnsi="Arial" w:cs="Arial"/>
        </w:rPr>
        <w:fldChar w:fldCharType="separate"/>
      </w:r>
      <w:r w:rsidR="00081DBD" w:rsidRPr="00081DBD">
        <w:rPr>
          <w:rFonts w:ascii="Arial" w:eastAsia="EB Garamond" w:hAnsi="Arial" w:cs="Arial"/>
          <w:noProof/>
        </w:rPr>
        <w:t>(Budyastuti, 2021)</w:t>
      </w:r>
      <w:r w:rsidR="00081DBD">
        <w:rPr>
          <w:rFonts w:ascii="Arial" w:eastAsia="EB Garamond" w:hAnsi="Arial" w:cs="Arial"/>
        </w:rPr>
        <w:fldChar w:fldCharType="end"/>
      </w:r>
      <w:r w:rsidR="008264A0" w:rsidRPr="00D82747">
        <w:rPr>
          <w:rFonts w:ascii="Arial" w:eastAsia="EB Garamond" w:hAnsi="Arial" w:cs="Arial"/>
        </w:rPr>
        <w:t xml:space="preserve"> </w:t>
      </w:r>
      <w:r w:rsidRPr="00D82747">
        <w:rPr>
          <w:rFonts w:ascii="Arial" w:eastAsia="EB Garamond" w:hAnsi="Arial" w:cs="Arial"/>
        </w:rPr>
        <w:t xml:space="preserve">shows that high financial literacy can increase customer trust and encourage the use of e-banking. However, the findings of </w:t>
      </w:r>
      <w:r w:rsidR="008264A0" w:rsidRPr="00D82747">
        <w:rPr>
          <w:rFonts w:ascii="Arial" w:eastAsia="EB Garamond" w:hAnsi="Arial" w:cs="Arial"/>
        </w:rPr>
        <w:fldChar w:fldCharType="begin" w:fldLock="1"/>
      </w:r>
      <w:r w:rsidR="008264A0" w:rsidRPr="00D82747">
        <w:rPr>
          <w:rFonts w:ascii="Arial" w:eastAsia="EB Garamond" w:hAnsi="Arial" w:cs="Arial"/>
        </w:rPr>
        <w:instrText>ADDIN CSL_CITATION {"citationItems":[{"id":"ITEM-1","itemData":{"ISSN":"2579-6534","abstract":"Penelitian ini bertujuan menguji pengaruh penggunaan e-banking dan perlindungan nasabah pengguna e-banking terhadap kepercayaan nasabah dengan literasi keuangan sebagai variabel moderasi. Metode yang digunakan ialah kuantitatif deskriptif dengan pengumpulan data yang diambil melalui penyebaran kuesioner sebanyak 90 responden kepada nasabah Bank Syariah (BSI dan Muamalat) di Malang. Data yang diperoleh kemudian akan diuji melalui analisis pendekatan Partial Least Square melalui bantuan software SmartPls versi 3.0. Adapun hasil temuan pada penelitian ini, diperoleh bahwa variabel penggunaan e-banking berpengaruh negatif dan tidak signifikan terhadap kepercayaan nasabah sedangkan variabel perlindungan nasabah berpengaruh positif dan signifikan terhadap kepercayaan nasabah. Variabel literasi keuangan tidak mampu memoderasi penggunaan e-banking terhadap kepercayaan nasabah dengan pengaruh negatif dan tidak signifikan. Variabel literasi keuangan tidak mampu memoderasi perlindungan nasabah terhadap kepercayaan nasabah. Hasil pengujian R Square, secara simultan variabel kepercayaan nasabah dan literasi keuangan mampu menjelaskan variabel independen sebesar 82% dan 44% sisanya sebesar 18% dan 56% dijelaskan pada penelitian yang lain dengan variabel yang berbeda.","author":[{"dropping-particle":"","family":"Madaniah","given":"","non-dropping-particle":"","parse-names":false,"suffix":""},{"dropping-particle":"","family":"Suprayitno","given":"","non-dropping-particle":"","parse-names":false,"suffix":""}],"container-title":"Jurnal Ilmiah Ekonomi Islam","id":"ITEM-1","issue":"02","issued":{"date-parts":[["2022"]]},"title":"Pengaruh Penggunaan E-Banking dan Perlindungan Nasabah Terhadap Kepercayaan Nasabah dengan Literasi Keuangan sebagai Variabel Moderasi","type":"article-journal","volume":"8"},"uris":["http://www.mendeley.com/documents/?uuid=7be6d12b-1e32-3b23-8bae-61fe0109570b"]}],"mendeley":{"formattedCitation":"(Madaniah &amp; Suprayitno, 2022)","plainTextFormattedCitation":"(Madaniah &amp; Suprayitno, 2022)","previouslyFormattedCitation":"(Madaniah &amp; Suprayitno, 2022)"},"properties":{"noteIndex":0},"schema":"https://github.com/citation-style-language/schema/raw/master/csl-citation.json"}</w:instrText>
      </w:r>
      <w:r w:rsidR="008264A0" w:rsidRPr="00D82747">
        <w:rPr>
          <w:rFonts w:ascii="Arial" w:eastAsia="EB Garamond" w:hAnsi="Arial" w:cs="Arial"/>
        </w:rPr>
        <w:fldChar w:fldCharType="separate"/>
      </w:r>
      <w:r w:rsidR="008264A0" w:rsidRPr="00D82747">
        <w:rPr>
          <w:rFonts w:ascii="Arial" w:eastAsia="EB Garamond" w:hAnsi="Arial" w:cs="Arial"/>
          <w:noProof/>
        </w:rPr>
        <w:t>(Madaniah &amp; Suprayitno, 2022)</w:t>
      </w:r>
      <w:r w:rsidR="008264A0" w:rsidRPr="00D82747">
        <w:rPr>
          <w:rFonts w:ascii="Arial" w:eastAsia="EB Garamond" w:hAnsi="Arial" w:cs="Arial"/>
        </w:rPr>
        <w:fldChar w:fldCharType="end"/>
      </w:r>
      <w:r w:rsidR="008264A0" w:rsidRPr="00D82747">
        <w:rPr>
          <w:rFonts w:ascii="Arial" w:eastAsia="EB Garamond" w:hAnsi="Arial" w:cs="Arial"/>
        </w:rPr>
        <w:t xml:space="preserve"> </w:t>
      </w:r>
      <w:r w:rsidRPr="00D82747">
        <w:rPr>
          <w:rFonts w:ascii="Arial" w:eastAsia="EB Garamond" w:hAnsi="Arial" w:cs="Arial"/>
        </w:rPr>
        <w:t xml:space="preserve">are different, increasing financial literacy </w:t>
      </w:r>
      <w:r w:rsidRPr="00D82747">
        <w:rPr>
          <w:rFonts w:ascii="Arial" w:eastAsia="EB Garamond" w:hAnsi="Arial" w:cs="Arial"/>
        </w:rPr>
        <w:lastRenderedPageBreak/>
        <w:t xml:space="preserve">does not always guarantee increased customer trust in digital banking services. </w:t>
      </w:r>
      <w:r w:rsidR="00AB6ADE" w:rsidRPr="00AB6ADE">
        <w:rPr>
          <w:rFonts w:ascii="Arial" w:eastAsia="EB Garamond" w:hAnsi="Arial" w:cs="Arial"/>
        </w:rPr>
        <w:t xml:space="preserve">Availability of Infrastructure: </w:t>
      </w:r>
      <w:r w:rsidR="005B5BE9">
        <w:rPr>
          <w:rFonts w:ascii="Arial" w:eastAsia="EB Garamond" w:hAnsi="Arial" w:cs="Arial"/>
        </w:rPr>
        <w:fldChar w:fldCharType="begin" w:fldLock="1"/>
      </w:r>
      <w:r w:rsidR="005B5BE9">
        <w:rPr>
          <w:rFonts w:ascii="Arial" w:eastAsia="EB Garamond" w:hAnsi="Arial" w:cs="Arial"/>
        </w:rPr>
        <w:instrText>ADDIN CSL_CITATION {"citationItems":[{"id":"ITEM-1","itemData":{"DOI":"10.32722/acc.v8i1.3879","ISSN":"2338-9753","abstract":"ABSTRACT  \r In 2019, the number of BCA mobile banking transactions has increased by 99.2% and the number of BCA Mobile banking users has increased by 28.57%. This shows that the BCA mobile banking application is accepted by the majority of BCA bank customers, but in fact there are still many complaints from BCA Mobile users. Research aims to understand the effect of Service Feature Availability and Service Quality on Customers Interest in Using BCA Mobile in the Jabodetabek Area. The sample taken is 100 customers of Bank Central Asia. The analyze technique used is multiple linear regression with SPSS Version 26.0. The results shows that the Service Feature Availibility and Service Quality partially effect significantly of interest customers in using BCA Mobile in the Jabodetabek Area. All independent variables, have a joint contribution of 49.2% to the customers interest in using the BCA Mobile in the Jabodetabek Area.  \r  \r Keywords: Service Feature, Service Quality, Customer Interest, BCA Mobile, Jabodetabek. \r ABSTRAK \r Pada tahun 2019, jumlah transaksi BCA mobile banking mengalami kenaikan sebesar 99,2%  dan jumlah pengguna BCA mobile banking mengalami kenaikan sebesar 28,57%. Hal ini menunjukkan bahwa aplikasi BCA mobile banking diterima dan diminati oleh sebagian besar nasabah bank BCA, tetapi kenyataannya masih banyak diterima keluhan dari pengguna BCA Mobile. Penelitian ini bertujuan untuk menganalisis pengaruh ketersediaan fitur layanan dan kualitas pelayanan terhadap minat nasabah dalam menggunakan BCA Mobile di wilayah Jabodetabek Sampel dalam penelitian ini terdiri dari 100 nasabah Bank Central Asia. Teknik analisis yang digunakan adalah regresi linear berganda dengan alat bantu analisis yaitu SPSS Versi 26.0. Hasil penelitian ini menunjukkan bahwa variabel ketersediaan fitur layanan dan kualitas pelayanan secara parsial berpengaruh signifikan terhadap minat nasabah dalam menggunakan BCA Mobile di wilayah Jabodetabek. Seluruh variabel bebas yaitu, ketersediaan fitur layanan dan kualitas pelayanan mempunyai kontribusi secara bersama-sama sebesar 49,2% terhadap minat nasabah dalam menggunakan BCA Mobile di wilayah Jabodetabek.  \r  \r Kata kunci: Fitur Layanan, Kualitas Pelayanan, Minat Nasabah, BCA Mobile, Jabodetabek","author":[{"dropping-particle":"","family":"Marthauli","given":"Marthauli","non-dropping-particle":"","parse-names":false,"suffix":""},{"dropping-particle":"","family":"Mirati","given":"Elly","non-dropping-particle":"","parse-names":false,"suffix":""},{"dropping-particle":"","family":"Vidyasari","given":"Rahmanita","non-dropping-particle":"","parse-names":false,"suffix":""}],"container-title":"account","id":"ITEM-1","issue":"1","issued":{"date-parts":[["2021"]]},"title":"PENGARUH KETERSEDIAAN FITUR LAYANAN DAN KUALITAS PELAYANAN TERHADAP MINAT NASABAH DALAM MENGGUNAKAN BCA MOBILE DI WILAYAH JABODETABEK","type":"article-journal","volume":"8"},"uris":["http://www.mendeley.com/documents/?uuid=7a97d68f-71ed-3d03-84fd-7514b8970921"]}],"mendeley":{"formattedCitation":"(Marthauli et al., 2021)","plainTextFormattedCitation":"(Marthauli et al., 2021)","previouslyFormattedCitation":"(Marthauli et al., 2021)"},"properties":{"noteIndex":0},"schema":"https://github.com/citation-style-language/schema/raw/master/csl-citation.json"}</w:instrText>
      </w:r>
      <w:r w:rsidR="005B5BE9">
        <w:rPr>
          <w:rFonts w:ascii="Arial" w:eastAsia="EB Garamond" w:hAnsi="Arial" w:cs="Arial"/>
        </w:rPr>
        <w:fldChar w:fldCharType="separate"/>
      </w:r>
      <w:r w:rsidR="005B5BE9" w:rsidRPr="005B5BE9">
        <w:rPr>
          <w:rFonts w:ascii="Arial" w:eastAsia="EB Garamond" w:hAnsi="Arial" w:cs="Arial"/>
          <w:noProof/>
        </w:rPr>
        <w:t>(Marthauli et al., 2021)</w:t>
      </w:r>
      <w:r w:rsidR="005B5BE9">
        <w:rPr>
          <w:rFonts w:ascii="Arial" w:eastAsia="EB Garamond" w:hAnsi="Arial" w:cs="Arial"/>
        </w:rPr>
        <w:fldChar w:fldCharType="end"/>
      </w:r>
      <w:r w:rsidR="00AB6ADE" w:rsidRPr="00AB6ADE">
        <w:rPr>
          <w:rFonts w:ascii="Arial" w:eastAsia="EB Garamond" w:hAnsi="Arial" w:cs="Arial"/>
        </w:rPr>
        <w:t xml:space="preserve">, and </w:t>
      </w:r>
      <w:r w:rsidR="005B5BE9">
        <w:rPr>
          <w:rFonts w:ascii="Arial" w:eastAsia="EB Garamond" w:hAnsi="Arial" w:cs="Arial"/>
        </w:rPr>
        <w:fldChar w:fldCharType="begin" w:fldLock="1"/>
      </w:r>
      <w:r w:rsidR="00A36BE6">
        <w:rPr>
          <w:rFonts w:ascii="Arial" w:eastAsia="EB Garamond" w:hAnsi="Arial" w:cs="Arial"/>
        </w:rPr>
        <w:instrText>ADDIN CSL_CITATION {"citationItems":[{"id":"ITEM-1","itemData":{"abstract":"Research was conducted to analyze factors that \r\naffect interest in using Mobile Banking. Research \r\nconducted on the use of Wow Aps in central Java \r\nusing the Technology Acceptance Model (TAM) \r\ntheory developed by Fred Davis in 1989 which was \r\nlater updated by Davis and Venkatesh in 1996. It \r\nwas a theory that was often used by researchers \r\nregarding public confidence in new technology and \r\nacceptance of technology. Sampling method used \r\nconvenience sampling method. The data collection \r\ntechnique used by researchers was questionnaire \r\ndeployments aimed at users of the Wow Aps \r\nMobile Banking application located in central Java \r\nas respondents. Relationships and/or influences \r\nbetween variables were described using multiple \r\nregression analysis methods. The results of the \r\nanalysis of this study stated that the perceived \r\nusefullness, the Perceived Ease of Use, the \r\nFeature Availability has a significant effect on \r\nBehavioral Intention to Use .","author":[{"dropping-particle":"","family":"Alfina Eka Mutiara Sari1","given":"","non-dropping-particle":"","parse-names":false,"suffix":""},{"dropping-particle":"","family":"Batara Daniel Bagana","given":"","non-dropping-particle":"","parse-names":false,"suffix":""}],"container-title":"JURNAL ILMIAH KOMPUTERISASI AKUNTANS","id":"ITEM-1","issued":{"date-parts":[["2022"]]},"page":"299-307","title":"Analisis Faktor-Faktor Yang Mempengaruhi Minat Menggunakan Mobile Banking","type":"article-journal","volume":"Vol. 15, No. 2"},"uris":["http://www.mendeley.com/documents/?uuid=5e447df1-6c73-36cf-8e2a-e279871e6e72"]}],"mendeley":{"formattedCitation":"(Alfina Eka Mutiara Sari1 &amp; Batara Daniel Bagana, 2022)","manualFormatting":"(Alfina &amp; Batara, 2022)","plainTextFormattedCitation":"(Alfina Eka Mutiara Sari1 &amp; Batara Daniel Bagana, 2022)","previouslyFormattedCitation":"(Alfina Eka Mutiara Sari1 &amp; Batara Daniel Bagana, 2022)"},"properties":{"noteIndex":0},"schema":"https://github.com/citation-style-language/schema/raw/master/csl-citation.json"}</w:instrText>
      </w:r>
      <w:r w:rsidR="005B5BE9">
        <w:rPr>
          <w:rFonts w:ascii="Arial" w:eastAsia="EB Garamond" w:hAnsi="Arial" w:cs="Arial"/>
        </w:rPr>
        <w:fldChar w:fldCharType="separate"/>
      </w:r>
      <w:r w:rsidR="00A36BE6">
        <w:rPr>
          <w:rFonts w:ascii="Arial" w:eastAsia="EB Garamond" w:hAnsi="Arial" w:cs="Arial"/>
          <w:noProof/>
        </w:rPr>
        <w:t>(Alfina &amp; Batara</w:t>
      </w:r>
      <w:r w:rsidR="005B5BE9" w:rsidRPr="005B5BE9">
        <w:rPr>
          <w:rFonts w:ascii="Arial" w:eastAsia="EB Garamond" w:hAnsi="Arial" w:cs="Arial"/>
          <w:noProof/>
        </w:rPr>
        <w:t>, 2022)</w:t>
      </w:r>
      <w:r w:rsidR="005B5BE9">
        <w:rPr>
          <w:rFonts w:ascii="Arial" w:eastAsia="EB Garamond" w:hAnsi="Arial" w:cs="Arial"/>
        </w:rPr>
        <w:fldChar w:fldCharType="end"/>
      </w:r>
      <w:r w:rsidR="00A36BE6">
        <w:rPr>
          <w:rFonts w:ascii="Arial" w:eastAsia="EB Garamond" w:hAnsi="Arial" w:cs="Arial"/>
        </w:rPr>
        <w:t xml:space="preserve"> </w:t>
      </w:r>
      <w:r w:rsidR="00AB6ADE" w:rsidRPr="00AB6ADE">
        <w:rPr>
          <w:rFonts w:ascii="Arial" w:eastAsia="EB Garamond" w:hAnsi="Arial" w:cs="Arial"/>
        </w:rPr>
        <w:t xml:space="preserve">argue that the existence of financial technology, facilitation and features is not enough to attract someone's interest in using digital financial services such as e-banking. However, the results of research </w:t>
      </w:r>
      <w:r w:rsidR="00A36BE6">
        <w:rPr>
          <w:rFonts w:ascii="Arial" w:eastAsia="EB Garamond" w:hAnsi="Arial" w:cs="Arial"/>
        </w:rPr>
        <w:fldChar w:fldCharType="begin" w:fldLock="1"/>
      </w:r>
      <w:r w:rsidR="00A36BE6">
        <w:rPr>
          <w:rFonts w:ascii="Arial" w:eastAsia="EB Garamond" w:hAnsi="Arial" w:cs="Arial"/>
        </w:rPr>
        <w:instrText>ADDIN CSL_CITATION {"citationItems":[{"id":"ITEM-1","itemData":{"author":[{"dropping-particle":"","family":"Adi Saputra Hsb","given":"","non-dropping-particle":"","parse-names":false,"suffix":""},{"dropping-particle":"","family":"Ismi Andari","given":"","non-dropping-particle":"","parse-names":false,"suffix":""}],"container-title":"NUSANTARA: Jurnal Ilmu Pengetahuan Sosial","id":"ITEM-1","issued":{"date-parts":[["2023"]]},"page":"1138-1136","title":"KAJIAN MINAT GUNA LAYANAN MOBILE  BANKING DI KALANGAN MAHASISWA1","type":"article-journal","volume":"Vol 10 No 3"},"uris":["http://www.mendeley.com/documents/?uuid=9e4ceb39-5660-3b75-93ad-141de6618bed"]}],"mendeley":{"formattedCitation":"(Adi Saputra Hsb &amp; Ismi Andari, 2023)","manualFormatting":"(Adi.S.P &amp; Ismi.A, 2023)","plainTextFormattedCitation":"(Adi Saputra Hsb &amp; Ismi Andari, 2023)","previouslyFormattedCitation":"(Adi Saputra Hsb &amp; Ismi Andari, 2023)"},"properties":{"noteIndex":0},"schema":"https://github.com/citation-style-language/schema/raw/master/csl-citation.json"}</w:instrText>
      </w:r>
      <w:r w:rsidR="00A36BE6">
        <w:rPr>
          <w:rFonts w:ascii="Arial" w:eastAsia="EB Garamond" w:hAnsi="Arial" w:cs="Arial"/>
        </w:rPr>
        <w:fldChar w:fldCharType="separate"/>
      </w:r>
      <w:r w:rsidR="00A36BE6">
        <w:rPr>
          <w:rFonts w:ascii="Arial" w:eastAsia="EB Garamond" w:hAnsi="Arial" w:cs="Arial"/>
          <w:noProof/>
        </w:rPr>
        <w:t>(Adi.S.P &amp; Ismi.A</w:t>
      </w:r>
      <w:r w:rsidR="00A36BE6" w:rsidRPr="00A36BE6">
        <w:rPr>
          <w:rFonts w:ascii="Arial" w:eastAsia="EB Garamond" w:hAnsi="Arial" w:cs="Arial"/>
          <w:noProof/>
        </w:rPr>
        <w:t>, 2023)</w:t>
      </w:r>
      <w:r w:rsidR="00A36BE6">
        <w:rPr>
          <w:rFonts w:ascii="Arial" w:eastAsia="EB Garamond" w:hAnsi="Arial" w:cs="Arial"/>
        </w:rPr>
        <w:fldChar w:fldCharType="end"/>
      </w:r>
      <w:r w:rsidR="00AB6ADE" w:rsidRPr="00AB6ADE">
        <w:rPr>
          <w:rFonts w:ascii="Arial" w:eastAsia="EB Garamond" w:hAnsi="Arial" w:cs="Arial"/>
        </w:rPr>
        <w:t xml:space="preserve">, </w:t>
      </w:r>
      <w:r w:rsidR="00A36BE6">
        <w:rPr>
          <w:rFonts w:ascii="Arial" w:eastAsia="EB Garamond" w:hAnsi="Arial" w:cs="Arial"/>
        </w:rPr>
        <w:fldChar w:fldCharType="begin" w:fldLock="1"/>
      </w:r>
      <w:r w:rsidR="00A36BE6">
        <w:rPr>
          <w:rFonts w:ascii="Arial" w:eastAsia="EB Garamond" w:hAnsi="Arial" w:cs="Arial"/>
        </w:rPr>
        <w:instrText>ADDIN CSL_CITATION {"citationItems":[{"id":"ITEM-1","itemData":{"ISSN":"2528-0163","abstract":"… Berdasarkan beberapa penelitian terhadap pelaku usaha, masih terlihat rendahnya literasi keuangan para pelaku usaha. Rendahnya literasi keuangan membuat seseorang lebih …","author":[{"dropping-particle":"","family":"Budyastuti","given":"Triyani","non-dropping-particle":"","parse-names":false,"suffix":""}],"container-title":"Jurnal Online Insan Akuntan","id":"ITEM-1","issued":{"date-parts":[["2021"]]},"page":"167-178","title":"Pengaruh financial technology dan literasi keuangan terhadap keberlangsungan usaha","type":"article-journal","volume":"6(2)"},"uris":["http://www.mendeley.com/documents/?uuid=0c1ae5a6-922a-3aac-b80a-73b12b71c394"]}],"mendeley":{"formattedCitation":"(Budyastuti, 2021)","plainTextFormattedCitation":"(Budyastuti, 2021)","previouslyFormattedCitation":"(Budyastuti, 2021)"},"properties":{"noteIndex":0},"schema":"https://github.com/citation-style-language/schema/raw/master/csl-citation.json"}</w:instrText>
      </w:r>
      <w:r w:rsidR="00A36BE6">
        <w:rPr>
          <w:rFonts w:ascii="Arial" w:eastAsia="EB Garamond" w:hAnsi="Arial" w:cs="Arial"/>
        </w:rPr>
        <w:fldChar w:fldCharType="separate"/>
      </w:r>
      <w:r w:rsidR="00A36BE6" w:rsidRPr="00A36BE6">
        <w:rPr>
          <w:rFonts w:ascii="Arial" w:eastAsia="EB Garamond" w:hAnsi="Arial" w:cs="Arial"/>
          <w:noProof/>
        </w:rPr>
        <w:t>(Budyastuti, 2021)</w:t>
      </w:r>
      <w:r w:rsidR="00A36BE6">
        <w:rPr>
          <w:rFonts w:ascii="Arial" w:eastAsia="EB Garamond" w:hAnsi="Arial" w:cs="Arial"/>
        </w:rPr>
        <w:fldChar w:fldCharType="end"/>
      </w:r>
      <w:r w:rsidR="00AB6ADE" w:rsidRPr="00AB6ADE">
        <w:rPr>
          <w:rFonts w:ascii="Arial" w:eastAsia="EB Garamond" w:hAnsi="Arial" w:cs="Arial"/>
        </w:rPr>
        <w:t xml:space="preserve"> and </w:t>
      </w:r>
      <w:r w:rsidR="00A36BE6">
        <w:rPr>
          <w:rFonts w:ascii="Arial" w:eastAsia="EB Garamond" w:hAnsi="Arial" w:cs="Arial"/>
        </w:rPr>
        <w:fldChar w:fldCharType="begin" w:fldLock="1"/>
      </w:r>
      <w:r w:rsidR="00EC4D73">
        <w:rPr>
          <w:rFonts w:ascii="Arial" w:eastAsia="EB Garamond" w:hAnsi="Arial" w:cs="Arial"/>
        </w:rPr>
        <w:instrText>ADDIN CSL_CITATION {"citationItems":[{"id":"ITEM-1","itemData":{"abstract":"This study aims to determine how financial inclusion, financial literacy and financial technology affect the sustainability of micro, small and medium enterprises. The sample selection in this study used the Slovin formula. The data collection technique was carried out using a questionnaire, the object of this research was MSMEs in the City of Tidore Islands. Hypothesis testing in this study used Multiple Linear Regression Analysis with the help of SPSS. The results of this study found that: (1) financial inclusion affects the sustainability of MSMEs; (2) financial literacy affects the sustainability of MSMEs; (3) financial technology has no effect on the sustainability of MSMEs.","author":[{"dropping-particle":"","family":"Sahdan","given":"Rinto","non-dropping-particle":"","parse-names":false,"suffix":""},{"dropping-particle":"","family":"Sardju","given":"Fitriani","non-dropping-particle":"","parse-names":false,"suffix":""}],"container-title":"International Journal of Economics Development Research","id":"ITEM-1","issued":{"date-parts":[["2023"]]},"page":"1814-1825","title":"Financial Inclusion, Financial Literacy, And Financial Technology Impact On The Sustainability Of Micro, Small, And Medium Enterprises: A Study In The SMES Of Tidore Islands, Indonesia","type":"article-journal","volume":"4(3)"},"uris":["http://www.mendeley.com/documents/?uuid=8fa41954-9040-3985-8432-1e39c0c3e780"]}],"mendeley":{"formattedCitation":"(Sahdan &amp; Sardju, 2023)","plainTextFormattedCitation":"(Sahdan &amp; Sardju, 2023)","previouslyFormattedCitation":"(Sahdan &amp; Sardju, 2023)"},"properties":{"noteIndex":0},"schema":"https://github.com/citation-style-language/schema/raw/master/csl-citation.json"}</w:instrText>
      </w:r>
      <w:r w:rsidR="00A36BE6">
        <w:rPr>
          <w:rFonts w:ascii="Arial" w:eastAsia="EB Garamond" w:hAnsi="Arial" w:cs="Arial"/>
        </w:rPr>
        <w:fldChar w:fldCharType="separate"/>
      </w:r>
      <w:r w:rsidR="00A36BE6" w:rsidRPr="00A36BE6">
        <w:rPr>
          <w:rFonts w:ascii="Arial" w:eastAsia="EB Garamond" w:hAnsi="Arial" w:cs="Arial"/>
          <w:noProof/>
        </w:rPr>
        <w:t>(Sahdan &amp; Sardju, 2023)</w:t>
      </w:r>
      <w:r w:rsidR="00A36BE6">
        <w:rPr>
          <w:rFonts w:ascii="Arial" w:eastAsia="EB Garamond" w:hAnsi="Arial" w:cs="Arial"/>
        </w:rPr>
        <w:fldChar w:fldCharType="end"/>
      </w:r>
      <w:r w:rsidR="00A36BE6">
        <w:rPr>
          <w:rFonts w:ascii="Arial" w:eastAsia="EB Garamond" w:hAnsi="Arial" w:cs="Arial"/>
        </w:rPr>
        <w:t xml:space="preserve"> </w:t>
      </w:r>
      <w:r w:rsidR="00AB6ADE" w:rsidRPr="00AB6ADE">
        <w:rPr>
          <w:rFonts w:ascii="Arial" w:eastAsia="EB Garamond" w:hAnsi="Arial" w:cs="Arial"/>
        </w:rPr>
        <w:t>show that the existence of financial technology and supporting facilities and adequate features can attract someone's interest in using digital financial services such as e-banking</w:t>
      </w:r>
      <w:r w:rsidR="00EC4D73">
        <w:rPr>
          <w:rFonts w:ascii="Arial" w:eastAsia="EB Garamond" w:hAnsi="Arial" w:cs="Arial"/>
        </w:rPr>
        <w:t>.</w:t>
      </w:r>
      <w:r w:rsidR="00EC4D73" w:rsidRPr="00EC4D73">
        <w:rPr>
          <w:rFonts w:ascii="Arial" w:eastAsia="EB Garamond" w:hAnsi="Arial" w:cs="Arial"/>
        </w:rPr>
        <w:t xml:space="preserve">Security Perception: three studies conducted by </w:t>
      </w:r>
      <w:r w:rsidR="00EC4D73">
        <w:rPr>
          <w:rFonts w:ascii="Arial" w:eastAsia="EB Garamond" w:hAnsi="Arial" w:cs="Arial"/>
        </w:rPr>
        <w:fldChar w:fldCharType="begin" w:fldLock="1"/>
      </w:r>
      <w:r w:rsidR="00EC4D73">
        <w:rPr>
          <w:rFonts w:ascii="Arial" w:eastAsia="EB Garamond" w:hAnsi="Arial" w:cs="Arial"/>
        </w:rPr>
        <w:instrText>ADDIN CSL_CITATION {"citationItems":[{"id":"ITEM-1","itemData":{"DOI":"10.37385/ijedr.v1i2.70","ISSN":"2715-7903","abstract":"The Internet has been widely used in various business fields. The function of the Internet in this modern era is not only for giving information but it also handles banking transactions anytime and anywhere without being limited by time and distance. This study aims to determine and analyze the influence of Perceived Value, Perceived Ease of Use and Perceived Risk to Customer intention to use Internet Banking. The respondents in this study were 100 respondents who visited BCA KCP A.Yani Pekanbaru. The data analysis technique used is multiple linear regression analysis using the t-test and F test for hypothesis testing. The results of this study indicate that not all variables are influential, in Perceived Ease of Use there is no influence, while the variables of Perceived Value and Perceived Risk have an influence on customer intention. The variables of Perceived Value and Perceived Risk have a significant effect, while Perceived Ease of Use variables that do not significantly influence customer intention for using Internet Banking.  \r Keywords : Perceived Value, Perceived Ease of Use, Perceived Risk, Customer Intention\r  ","author":[{"dropping-particle":"","family":"Purwati","given":"Astri Ayu","non-dropping-particle":"","parse-names":false,"suffix":""},{"dropping-particle":"","family":"Libara","given":"Farenc","non-dropping-particle":"","parse-names":false,"suffix":""},{"dropping-particle":"","family":"Hamzah","given":"Muhammad Luthfi","non-dropping-particle":"","parse-names":false,"suffix":""}],"container-title":"International Journal of Economics Development Research (IJEDR)","id":"ITEM-1","issue":"2","issued":{"date-parts":[["2020"]]},"title":"AN ANALYSIS OF CUSTOMER INTENTION IN USING INTERNET BANKING","type":"article-journal","volume":"1"},"uris":["http://www.mendeley.com/documents/?uuid=a7a4e555-226f-3a7b-bc37-463d1b455d6b"]}],"mendeley":{"formattedCitation":"(Purwati et al., 2020)","plainTextFormattedCitation":"(Purwati et al., 2020)","previouslyFormattedCitation":"(Purwati et al., 2020)"},"properties":{"noteIndex":0},"schema":"https://github.com/citation-style-language/schema/raw/master/csl-citation.json"}</w:instrText>
      </w:r>
      <w:r w:rsidR="00EC4D73">
        <w:rPr>
          <w:rFonts w:ascii="Arial" w:eastAsia="EB Garamond" w:hAnsi="Arial" w:cs="Arial"/>
        </w:rPr>
        <w:fldChar w:fldCharType="separate"/>
      </w:r>
      <w:r w:rsidR="00EC4D73" w:rsidRPr="00EC4D73">
        <w:rPr>
          <w:rFonts w:ascii="Arial" w:eastAsia="EB Garamond" w:hAnsi="Arial" w:cs="Arial"/>
          <w:noProof/>
        </w:rPr>
        <w:t>(Purwati et al., 2020)</w:t>
      </w:r>
      <w:r w:rsidR="00EC4D73">
        <w:rPr>
          <w:rFonts w:ascii="Arial" w:eastAsia="EB Garamond" w:hAnsi="Arial" w:cs="Arial"/>
        </w:rPr>
        <w:fldChar w:fldCharType="end"/>
      </w:r>
      <w:r w:rsidR="00EC4D73" w:rsidRPr="00EC4D73">
        <w:rPr>
          <w:rFonts w:ascii="Arial" w:eastAsia="EB Garamond" w:hAnsi="Arial" w:cs="Arial"/>
        </w:rPr>
        <w:t xml:space="preserve">, </w:t>
      </w:r>
      <w:r w:rsidR="00EC4D73">
        <w:rPr>
          <w:rFonts w:ascii="Arial" w:eastAsia="EB Garamond" w:hAnsi="Arial" w:cs="Arial"/>
        </w:rPr>
        <w:fldChar w:fldCharType="begin" w:fldLock="1"/>
      </w:r>
      <w:r w:rsidR="00EC4D73">
        <w:rPr>
          <w:rFonts w:ascii="Arial" w:eastAsia="EB Garamond" w:hAnsi="Arial" w:cs="Arial"/>
        </w:rPr>
        <w:instrText>ADDIN CSL_CITATION {"citationItems":[{"id":"ITEM-1","itemData":{"DOI":"10.30872/jfor.v24i2.10330","ISSN":"1411-1713","abstract":"Penelitian ini bertujuan untuk memberikan hasil pengujian secara empiris faktor – faktor yang mempengaruhi minat generasi milenial di provinsi Bali dalam menggunakan fintech. Teori yang digunakan dalam menganalisis minat penggunaan fintech adalah kombinasi dari teori Technology Accaptence Model (TAM) dan Theory Planned Behavior (TPB) sebagai acuan teroritis penelitian. Jenis penelitian ini adalah kuantitatif dengan probability sampling dan teknik pengambilan sampel simple random sampling menggunakan metode survei melalui penyebaran kuesioner kepada 140 responden. Kemudian alat analisis yang digunakan menggunakan software SmartPLS 3.2.9. hasil pengujian secara empiris menunjukan minat generasi milenial untuk menggunakan fintech dipengaruhi secara positif dan signifikan oleh literasi keuangan, persepsi manfaat, persepsi kemudahan penggunaan, pengaruh sosial dan persepsi keamanan. Bukti lain menunjukan bahwa persepsi keamanan memiliki skor path coefficient yang tertinggi yang diikuti dengan persepsi kemudahan. Hal tersebut mengindikasikan bahwa generasi milenial lebih mementingkan sistem keamanan fintech yang menjamin informasi pribadi mereka, juga aman ketika melakukan transaksi. Kemudian generasi milenial lebih suka melakukan sesuatu dengan praktis dan tidak memakan waktu, dalam hal ini bertransaksi menggunakan fintech. Penting bagi perushaan fintech untuk memberikan jaminan kemanan sistem dan kemudahan dalam bertransaksi menggunakan fintech.","author":[{"dropping-particle":"","family":"Aditya","given":"Trisna","non-dropping-particle":"","parse-names":false,"suffix":""},{"dropping-particle":"","family":"Mahyuni","given":"Luh Putu","non-dropping-particle":"","parse-names":false,"suffix":""}],"container-title":"FORUM EKONOMI","id":"ITEM-1","issue":"2","issued":{"date-parts":[["2022"]]},"title":"Pengaruh literasi keuangan, persepsi kemudahan, manfaat, keamanan dan pengaruh sosial terhadap minat penggunaan fintech","type":"article-journal","volume":"24"},"uris":["http://www.mendeley.com/documents/?uuid=5e1eb809-b237-3c48-8b2e-df21313b61f2"]}],"mendeley":{"formattedCitation":"(Aditya &amp; Mahyuni, 2022)","plainTextFormattedCitation":"(Aditya &amp; Mahyuni, 2022)","previouslyFormattedCitation":"(Aditya &amp; Mahyuni, 2022)"},"properties":{"noteIndex":0},"schema":"https://github.com/citation-style-language/schema/raw/master/csl-citation.json"}</w:instrText>
      </w:r>
      <w:r w:rsidR="00EC4D73">
        <w:rPr>
          <w:rFonts w:ascii="Arial" w:eastAsia="EB Garamond" w:hAnsi="Arial" w:cs="Arial"/>
        </w:rPr>
        <w:fldChar w:fldCharType="separate"/>
      </w:r>
      <w:r w:rsidR="00EC4D73" w:rsidRPr="00EC4D73">
        <w:rPr>
          <w:rFonts w:ascii="Arial" w:eastAsia="EB Garamond" w:hAnsi="Arial" w:cs="Arial"/>
          <w:noProof/>
        </w:rPr>
        <w:t>(Aditya &amp; Mahyuni, 2022)</w:t>
      </w:r>
      <w:r w:rsidR="00EC4D73">
        <w:rPr>
          <w:rFonts w:ascii="Arial" w:eastAsia="EB Garamond" w:hAnsi="Arial" w:cs="Arial"/>
        </w:rPr>
        <w:fldChar w:fldCharType="end"/>
      </w:r>
      <w:r w:rsidR="00EC4D73" w:rsidRPr="00EC4D73">
        <w:rPr>
          <w:rFonts w:ascii="Arial" w:eastAsia="EB Garamond" w:hAnsi="Arial" w:cs="Arial"/>
        </w:rPr>
        <w:t xml:space="preserve"> and </w:t>
      </w:r>
      <w:r w:rsidR="00EC4D73">
        <w:rPr>
          <w:rFonts w:ascii="Arial" w:eastAsia="EB Garamond" w:hAnsi="Arial" w:cs="Arial"/>
        </w:rPr>
        <w:fldChar w:fldCharType="begin" w:fldLock="1"/>
      </w:r>
      <w:r w:rsidR="00EC4D73">
        <w:rPr>
          <w:rFonts w:ascii="Arial" w:eastAsia="EB Garamond" w:hAnsi="Arial" w:cs="Arial"/>
        </w:rPr>
        <w:instrText>ADDIN CSL_CITATION {"citationItems":[{"id":"ITEM-1","itemData":{"DOI":"10.32507/ajei.v12i2.892","ISSN":"2087-2178","abstract":"Mobile Banking or commonly known as m-banking is treated as one of the most important banking information system services capable of producing financial information, which includes balance checks, fund transfers, credit card bill information, bill payments, and so on through a capable tool. Wireless internet. It is important for customers to have facilities in obtaining financial information and making transactions online, without having to visit the bank where they are customers. When customers feel satisfied by two things, namely the speed in obtaining financial information as well as the accuracy and ease in carrying out mobile banking transaction activities, the purpose of m-banking services as a value-added banking information system will be achieved. Conversely, if customers do not feel satisfied in terms of the privacy security of the mobile banking application, it can lead to negative perceptions of customers about the services that are available, so that it can be said to be one of the risks of using mobile banking services. Therefore, it is important to maintain and improve the confidentiality of customers through the privacy of the mobile banking application so that customers can remain calm in using the service.","author":[{"dropping-particle":"","family":"Sari","given":"Dwi Mutiara","non-dropping-particle":"","parse-names":false,"suffix":""},{"dropping-particle":"","family":"Fasa","given":"Muhammad Iqbal","non-dropping-particle":"","parse-names":false,"suffix":""},{"dropping-particle":"","family":"Suharto","given":"Suharto","non-dropping-particle":"","parse-names":false,"suffix":""}],"container-title":"Al-Infaq: Jurnal Ekonomi Islam","id":"ITEM-1","issue":"2","issued":{"date-parts":[["2021"]]},"title":"MANFAAT DAN RISIKO PENGGUNAAN LAYANAN PERBANKAN MELALUI APLIKASI MOBILE BANKING","type":"article-journal","volume":"12"},"uris":["http://www.mendeley.com/documents/?uuid=d04bd0d4-99b1-3c43-8760-3fc46d70e47f"]}],"mendeley":{"formattedCitation":"(Sari et al., 2021)","plainTextFormattedCitation":"(Sari et al., 2021)","previouslyFormattedCitation":"(Sari et al., 2021)"},"properties":{"noteIndex":0},"schema":"https://github.com/citation-style-language/schema/raw/master/csl-citation.json"}</w:instrText>
      </w:r>
      <w:r w:rsidR="00EC4D73">
        <w:rPr>
          <w:rFonts w:ascii="Arial" w:eastAsia="EB Garamond" w:hAnsi="Arial" w:cs="Arial"/>
        </w:rPr>
        <w:fldChar w:fldCharType="separate"/>
      </w:r>
      <w:r w:rsidR="00EC4D73" w:rsidRPr="00EC4D73">
        <w:rPr>
          <w:rFonts w:ascii="Arial" w:eastAsia="EB Garamond" w:hAnsi="Arial" w:cs="Arial"/>
          <w:noProof/>
        </w:rPr>
        <w:t>(Sari et al., 2021)</w:t>
      </w:r>
      <w:r w:rsidR="00EC4D73">
        <w:rPr>
          <w:rFonts w:ascii="Arial" w:eastAsia="EB Garamond" w:hAnsi="Arial" w:cs="Arial"/>
        </w:rPr>
        <w:fldChar w:fldCharType="end"/>
      </w:r>
      <w:r w:rsidR="00EC4D73">
        <w:rPr>
          <w:rFonts w:ascii="Arial" w:eastAsia="EB Garamond" w:hAnsi="Arial" w:cs="Arial"/>
        </w:rPr>
        <w:t xml:space="preserve"> </w:t>
      </w:r>
      <w:r w:rsidR="00EC4D73" w:rsidRPr="00EC4D73">
        <w:rPr>
          <w:rFonts w:ascii="Arial" w:eastAsia="EB Garamond" w:hAnsi="Arial" w:cs="Arial"/>
        </w:rPr>
        <w:t>The results of the research show that the level of customer concern about risk greatly influences their interest in using banking services via cell phone.</w:t>
      </w:r>
      <w:r w:rsidR="00304C56" w:rsidRPr="00D82747">
        <w:rPr>
          <w:rFonts w:ascii="Arial" w:eastAsia="EB Garamond" w:hAnsi="Arial" w:cs="Arial"/>
        </w:rPr>
        <w:t xml:space="preserve"> </w:t>
      </w:r>
      <w:r w:rsidR="00EC4D73" w:rsidRPr="00EC4D73">
        <w:rPr>
          <w:rFonts w:ascii="Arial" w:eastAsia="EB Garamond" w:hAnsi="Arial" w:cs="Arial"/>
        </w:rPr>
        <w:t xml:space="preserve">User Experience: </w:t>
      </w:r>
      <w:r w:rsidR="00EC4D73">
        <w:rPr>
          <w:rFonts w:ascii="Arial" w:eastAsia="EB Garamond" w:hAnsi="Arial" w:cs="Arial"/>
        </w:rPr>
        <w:fldChar w:fldCharType="begin" w:fldLock="1"/>
      </w:r>
      <w:r w:rsidR="00341AE6">
        <w:rPr>
          <w:rFonts w:ascii="Arial" w:eastAsia="EB Garamond" w:hAnsi="Arial" w:cs="Arial"/>
        </w:rPr>
        <w:instrText>ADDIN CSL_CITATION {"citationItems":[{"id":"ITEM-1","itemData":{"ISSN":"2614-8838","abstract":"Indonesia is ranked third in the 2022 GIFT Index Score, Indonesia continues to develop sharia fintech to maintain that, even though the development of domestic sharia fintech is categorized as good, the capitalization scale of sharia fintech in Indonesia is smaller compared to other countries. The purpose of conducting this research is to analyze the influence of financial literacy, perceived usefulness, and ease of use partially and simultaneously on people's interest in using sharia digital wallets. This research is quantitative. Retrieval research data using a closed questionnaire which is distributed online through social media. The number of samples used is 150 respondents, determined using the non-probability sampling technique purposive sampling method. The data obtained were analyzed using multiple linear regression analysis. The results of this study are that financial literacy and perceived usefulness have a partially significant effect on interest in using sharia digital wallets, ease of use has no partial effect on interest on using sharia digital wallets, and simultaneously financial literacy, perceived usefulness, and ease of use have an effect on interest in using sharia digital wallets. The information obtained is expected to provide an overview of sharia digital wallets service provider companies so they are more innovative in providing financial services.","author":[{"dropping-particle":"","family":"Muthi'ah","given":"Farichatul","non-dropping-particle":"","parse-names":false,"suffix":""},{"dropping-particle":"","family":"Indrarini","given":"Rachma","non-dropping-particle":"","parse-names":false,"suffix":""}],"container-title":"Jurnal Ekonomi dan Bisnis Islam","id":"ITEM-1","issue":"1","issued":{"date-parts":[["2023"]]},"title":"Pengaruh Literasi, Kegunaan, dan Kemudahan Terhadap Minat Masyarakat Menggunakan Dompet Digital Syariah","type":"article-journal","volume":"7"},"uris":["http://www.mendeley.com/documents/?uuid=8a055986-5732-350b-b883-8a25dc05c111"]}],"mendeley":{"formattedCitation":"(Muthi’ah &amp; Indrarini, 2023)","plainTextFormattedCitation":"(Muthi’ah &amp; Indrarini, 2023)","previouslyFormattedCitation":"(Muthi’ah &amp; Indrarini, 2023)"},"properties":{"noteIndex":0},"schema":"https://github.com/citation-style-language/schema/raw/master/csl-citation.json"}</w:instrText>
      </w:r>
      <w:r w:rsidR="00EC4D73">
        <w:rPr>
          <w:rFonts w:ascii="Arial" w:eastAsia="EB Garamond" w:hAnsi="Arial" w:cs="Arial"/>
        </w:rPr>
        <w:fldChar w:fldCharType="separate"/>
      </w:r>
      <w:r w:rsidR="00EC4D73" w:rsidRPr="00EC4D73">
        <w:rPr>
          <w:rFonts w:ascii="Arial" w:eastAsia="EB Garamond" w:hAnsi="Arial" w:cs="Arial"/>
          <w:noProof/>
        </w:rPr>
        <w:t>(Muthi’ah &amp; Indrarini, 2023)</w:t>
      </w:r>
      <w:r w:rsidR="00EC4D73">
        <w:rPr>
          <w:rFonts w:ascii="Arial" w:eastAsia="EB Garamond" w:hAnsi="Arial" w:cs="Arial"/>
        </w:rPr>
        <w:fldChar w:fldCharType="end"/>
      </w:r>
      <w:r w:rsidR="00EC4D73" w:rsidRPr="00EC4D73">
        <w:rPr>
          <w:rFonts w:ascii="Arial" w:eastAsia="EB Garamond" w:hAnsi="Arial" w:cs="Arial"/>
        </w:rPr>
        <w:t xml:space="preserve">, </w:t>
      </w:r>
      <w:r w:rsidR="00341AE6">
        <w:rPr>
          <w:rFonts w:ascii="Arial" w:eastAsia="EB Garamond" w:hAnsi="Arial" w:cs="Arial"/>
        </w:rPr>
        <w:fldChar w:fldCharType="begin" w:fldLock="1"/>
      </w:r>
      <w:r w:rsidR="00341AE6">
        <w:rPr>
          <w:rFonts w:ascii="Arial" w:eastAsia="EB Garamond" w:hAnsi="Arial" w:cs="Arial"/>
        </w:rPr>
        <w:instrText>ADDIN CSL_CITATION {"citationItems":[{"id":"ITEM-1","itemData":{"author":[{"dropping-particle":"","family":"Maulidini Adha","given":"Syuryatman Desri, Suci Humaira, Rian Septa Hadi","non-dropping-particle":"","parse-names":false,"suffix":""}],"container-title":"JURNAL ILMIAH MANAJEMEN, EKONOMI BISNIS, KEWIRAUSAHAAN","id":"ITEM-1","issued":{"date-parts":[["2024"]]},"page":"1112-1117","title":"Analisis Faktor –Faktor yang Mempengaruhi Minat Penggunaan Mobile  Banking pada Mahasiswa Manajemen Universitas Andalas Kampus  Payakumbuh","type":"article-journal","volume":"Vol 11 No. 2"},"uris":["http://www.mendeley.com/documents/?uuid=d53d061f-ad42-30f8-a3e5-ac73e368382f"]}],"mendeley":{"formattedCitation":"(Maulidini Adha, 2024)","plainTextFormattedCitation":"(Maulidini Adha, 2024)","previouslyFormattedCitation":"(Maulidini Adha, 2024)"},"properties":{"noteIndex":0},"schema":"https://github.com/citation-style-language/schema/raw/master/csl-citation.json"}</w:instrText>
      </w:r>
      <w:r w:rsidR="00341AE6">
        <w:rPr>
          <w:rFonts w:ascii="Arial" w:eastAsia="EB Garamond" w:hAnsi="Arial" w:cs="Arial"/>
        </w:rPr>
        <w:fldChar w:fldCharType="separate"/>
      </w:r>
      <w:r w:rsidR="00341AE6" w:rsidRPr="00341AE6">
        <w:rPr>
          <w:rFonts w:ascii="Arial" w:eastAsia="EB Garamond" w:hAnsi="Arial" w:cs="Arial"/>
          <w:noProof/>
        </w:rPr>
        <w:t>(Maulidini Adha, 2024)</w:t>
      </w:r>
      <w:r w:rsidR="00341AE6">
        <w:rPr>
          <w:rFonts w:ascii="Arial" w:eastAsia="EB Garamond" w:hAnsi="Arial" w:cs="Arial"/>
        </w:rPr>
        <w:fldChar w:fldCharType="end"/>
      </w:r>
      <w:r w:rsidR="00341AE6">
        <w:rPr>
          <w:rFonts w:ascii="Arial" w:eastAsia="EB Garamond" w:hAnsi="Arial" w:cs="Arial"/>
        </w:rPr>
        <w:t xml:space="preserve"> </w:t>
      </w:r>
      <w:r w:rsidR="00EC4D73" w:rsidRPr="00EC4D73">
        <w:rPr>
          <w:rFonts w:ascii="Arial" w:eastAsia="EB Garamond" w:hAnsi="Arial" w:cs="Arial"/>
        </w:rPr>
        <w:t xml:space="preserve">and </w:t>
      </w:r>
      <w:r w:rsidR="00341AE6">
        <w:rPr>
          <w:rFonts w:ascii="Arial" w:eastAsia="EB Garamond" w:hAnsi="Arial" w:cs="Arial"/>
        </w:rPr>
        <w:fldChar w:fldCharType="begin" w:fldLock="1"/>
      </w:r>
      <w:r w:rsidR="00341AE6">
        <w:rPr>
          <w:rFonts w:ascii="Arial" w:eastAsia="EB Garamond" w:hAnsi="Arial" w:cs="Arial"/>
        </w:rPr>
        <w:instrText>ADDIN CSL_CITATION {"citationItems":[{"id":"ITEM-1","itemData":{"abstract":"The development of information technology is increasing along with the times. The development of information technology can encourage digital economic growth because it will be more effective and efficient in terms of time. One form of implementation between technology and information with digital economic growth is the payment of non-cash transactions. This study aims to find out how the effect of ease of Islamic financial literacy on students' interest in using DANA electronic money as a transaction tool, to find out how convenience influences interest in using DANA electronic money as a transaction tool. And to find out how the influence of Islamic financial literacy and convenience simultaneously on the interest in using DANA electronic money as a transaction tool. In this study, researchers used the theory of financial literacy according to the OECD (2013) to build Islamic financial literacy requires knowledge, skills, attitudes and beliefs. The convenience theory according to Jogiyanto (2015) is that several indicators are easy to learn, controllable, clear and understandable, flexible, easy to master and use. The theory of interest according to Muklish Muhammad nur Zulfahmi (2018) there are three indicators that can be used to encourage interest, namely, encouragement within the individual, social motives and emotional factors. This study uses a quantitative approach and primary data. The population in this study were 112 students of STEBI Global Mulia Cikarang Islamic Economics Study Program with ages 19 to 35 years. The sample in this study was taken from the population using the slovin formula, so there were 88 respondents. The results of this study partially show that Islamic financial literacy has a significant effect on students' interest in using DANA electronic money as a transaction tool, because the t-value is 6.372 &gt; the t-table value is 1.988 with sig 0.001 &lt;0.05. Convenience has a significant effect on students' interest in using DANA as a transaction tool, because the t-value is 8.766 &gt; the t-table value is 1.988 with sig 0.001 &lt;0.05. Whereas Islamic financial literacy and convenience simultaneously have a significant effect on students' interest in using DANA electronic money as a transaction tool, because the calculated F value is 238.377 &gt; table F value of 3.10 with sig 0.001 &gt; 0.05.","author":[{"dropping-particle":"","family":"Ayuningrum Febrima","given":"","non-dropping-particle":"","parse-names":false,"suffix":""},{"dropping-particle":"","family":"Sadiyah Siti","given":"","non-dropping-particle":"","parse-names":false,"suffix":""}],"container-title":"Jurnal Al-Fatih Global Mulia","id":"ITEM-1","issued":{"date-parts":[["2022"]]},"language":"Indonesia","page":"2746-7058","title":"PENGARUH LITERASI KEUANGAN SYARIAH DAN KEMUDAHAN \r\nTERHADAP MINAT PENGGUNAAN UANG ELEKTRONIK DANA \r\nSEBAGAI ALAT TRANSAKS","type":"article-journal","volume":"4"},"uris":["http://www.mendeley.com/documents/?uuid=689ee870-4720-33fb-8fc7-8c72eab613e1"]}],"mendeley":{"formattedCitation":"(Ayuningrum Febrima &amp; Sadiyah Siti, 2022)","plainTextFormattedCitation":"(Ayuningrum Febrima &amp; Sadiyah Siti, 2022)","previouslyFormattedCitation":"(Ayuningrum Febrima &amp; Sadiyah Siti, 2022)"},"properties":{"noteIndex":0},"schema":"https://github.com/citation-style-language/schema/raw/master/csl-citation.json"}</w:instrText>
      </w:r>
      <w:r w:rsidR="00341AE6">
        <w:rPr>
          <w:rFonts w:ascii="Arial" w:eastAsia="EB Garamond" w:hAnsi="Arial" w:cs="Arial"/>
        </w:rPr>
        <w:fldChar w:fldCharType="separate"/>
      </w:r>
      <w:r w:rsidR="00341AE6" w:rsidRPr="00341AE6">
        <w:rPr>
          <w:rFonts w:ascii="Arial" w:eastAsia="EB Garamond" w:hAnsi="Arial" w:cs="Arial"/>
          <w:noProof/>
        </w:rPr>
        <w:t>(Ayuningrum Febrima &amp; Sadiyah Siti, 2022)</w:t>
      </w:r>
      <w:r w:rsidR="00341AE6">
        <w:rPr>
          <w:rFonts w:ascii="Arial" w:eastAsia="EB Garamond" w:hAnsi="Arial" w:cs="Arial"/>
        </w:rPr>
        <w:fldChar w:fldCharType="end"/>
      </w:r>
      <w:r w:rsidR="00341AE6">
        <w:rPr>
          <w:rFonts w:ascii="Arial" w:eastAsia="EB Garamond" w:hAnsi="Arial" w:cs="Arial"/>
        </w:rPr>
        <w:t xml:space="preserve"> </w:t>
      </w:r>
      <w:r w:rsidR="00EC4D73" w:rsidRPr="00EC4D73">
        <w:rPr>
          <w:rFonts w:ascii="Arial" w:eastAsia="EB Garamond" w:hAnsi="Arial" w:cs="Arial"/>
        </w:rPr>
        <w:t xml:space="preserve">in their research found that perceived ease of use can increase interest in using mobile banking. However, research conducted by </w:t>
      </w:r>
      <w:r w:rsidR="00341AE6">
        <w:rPr>
          <w:rFonts w:ascii="Arial" w:eastAsia="EB Garamond" w:hAnsi="Arial" w:cs="Arial"/>
        </w:rPr>
        <w:fldChar w:fldCharType="begin" w:fldLock="1"/>
      </w:r>
      <w:r w:rsidR="00341AE6">
        <w:rPr>
          <w:rFonts w:ascii="Arial" w:eastAsia="EB Garamond" w:hAnsi="Arial" w:cs="Arial"/>
        </w:rPr>
        <w:instrText>ADDIN CSL_CITATION {"citationItems":[{"id":"ITEM-1","itemData":{"ISSN":"2477-8079","abstract":"Abstrak Sebuah organisasi pasti memiliki tiga hal, yaitu tempat, pekerja, dan sebuah operasi ataupun sistem yang dapat membantu pekerjaan. Pada awalnya sebuah organisasi masih mengerjakan segala sesuatu secara manual sehingga dibutuhkan sebuah teknologi agar dalam proses mengumpulkan informasi, pengambilan keputusan, dan menjalankan pekerjaan dapat berjalan dengan baik. Abstract An organization must have three things, namely a place, workers, and an operation or system that can help work. Initially an organization is still doing everything manually so it needs technology so that the process of gathering information, making decisions, and carrying out work can run well. The needs of workers in organizations such as payroll and payment transactions in personal life with technology there is no need to queue long when they want to pay something or wait a long time to receive wages. The technology that is needed nowadays is called mobile banking. This study aims to analyze the use of mobile banking for payment transactions for priests and workers of the DKI Jakarta Conference using themethod Extended Technology Acceptance Model (TAM). In obtaining results using Structural Equation Modeling (SEM) analysis using SPSS and AMOS version 22 programs.The results of this study indicate that the TAM model construct is significantly related and in other parts there is no influence so thatusers mobile banking can be expected to be more thorough in using mobile banking to facilitate all payment transaction activities.","author":[{"dropping-particle":"","family":"Eudora","given":"Danielle","non-dropping-particle":"","parse-names":false,"suffix":""},{"dropping-particle":"","family":"Rampen","given":"Crystle","non-dropping-particle":"","parse-names":false,"suffix":""},{"dropping-particle":"","family":"Sihotang","given":"Jay Idoan","non-dropping-particle":"","parse-names":false,"suffix":""}],"container-title":"Cogito Smart Journal |","id":"ITEM-1","issue":"1","issued":{"date-parts":[["2021"]]},"title":"Analisis Penggunaan Layanan Mobile Banking Terhadap Transaksi Pembayaran Menggunakan Metode Extended TAM Analysis of Mobile Banking Service Usage Towards Payment Transactions Using Extended TAM","type":"article-journal","volume":"7"},"uris":["http://www.mendeley.com/documents/?uuid=ab482d63-f1de-397d-96ae-15c5715ca765"]}],"mendeley":{"formattedCitation":"(Eudora et al., 2021)","plainTextFormattedCitation":"(Eudora et al., 2021)","previouslyFormattedCitation":"(Eudora et al., 2021)"},"properties":{"noteIndex":0},"schema":"https://github.com/citation-style-language/schema/raw/master/csl-citation.json"}</w:instrText>
      </w:r>
      <w:r w:rsidR="00341AE6">
        <w:rPr>
          <w:rFonts w:ascii="Arial" w:eastAsia="EB Garamond" w:hAnsi="Arial" w:cs="Arial"/>
        </w:rPr>
        <w:fldChar w:fldCharType="separate"/>
      </w:r>
      <w:r w:rsidR="00341AE6" w:rsidRPr="00341AE6">
        <w:rPr>
          <w:rFonts w:ascii="Arial" w:eastAsia="EB Garamond" w:hAnsi="Arial" w:cs="Arial"/>
          <w:noProof/>
        </w:rPr>
        <w:t>(Eudora et al., 2021)</w:t>
      </w:r>
      <w:r w:rsidR="00341AE6">
        <w:rPr>
          <w:rFonts w:ascii="Arial" w:eastAsia="EB Garamond" w:hAnsi="Arial" w:cs="Arial"/>
        </w:rPr>
        <w:fldChar w:fldCharType="end"/>
      </w:r>
      <w:r w:rsidR="00341AE6">
        <w:rPr>
          <w:rFonts w:ascii="Arial" w:eastAsia="EB Garamond" w:hAnsi="Arial" w:cs="Arial"/>
        </w:rPr>
        <w:t xml:space="preserve">, </w:t>
      </w:r>
      <w:r w:rsidR="00341AE6">
        <w:rPr>
          <w:rFonts w:ascii="Arial" w:eastAsia="EB Garamond" w:hAnsi="Arial" w:cs="Arial"/>
        </w:rPr>
        <w:fldChar w:fldCharType="begin" w:fldLock="1"/>
      </w:r>
      <w:r w:rsidR="00341AE6">
        <w:rPr>
          <w:rFonts w:ascii="Arial" w:eastAsia="EB Garamond" w:hAnsi="Arial" w:cs="Arial"/>
        </w:rPr>
        <w:instrText>ADDIN CSL_CITATION {"citationItems":[{"id":"ITEM-1","itemData":{"ISSN":"2614-8838","abstract":"Indonesia is ranked third in the 2022 GIFT Index Score, Indonesia continues to develop sharia fintech to maintain that, even though the development of domestic sharia fintech is categorized as good, the capitalization scale of sharia fintech in Indonesia is smaller compared to other countries. The purpose of conducting this research is to analyze the influence of financial literacy, perceived usefulness, and ease of use partially and simultaneously on people's interest in using sharia digital wallets. This research is quantitative. Retrieval research data using a closed questionnaire which is distributed online through social media. The number of samples used is 150 respondents, determined using the non-probability sampling technique purposive sampling method. The data obtained were analyzed using multiple linear regression analysis. The results of this study are that financial literacy and perceived usefulness have a partially significant effect on interest in using sharia digital wallets, ease of use has no partial effect on interest on using sharia digital wallets, and simultaneously financial literacy, perceived usefulness, and ease of use have an effect on interest in using sharia digital wallets. The information obtained is expected to provide an overview of sharia digital wallets service provider companies so they are more innovative in providing financial services.","author":[{"dropping-particle":"","family":"Muthi'ah","given":"Farichatul","non-dropping-particle":"","parse-names":false,"suffix":""},{"dropping-particle":"","family":"Indrarini","given":"Rachma","non-dropping-particle":"","parse-names":false,"suffix":""}],"container-title":"Jurnal Ekonomi dan Bisnis Islam","id":"ITEM-1","issue":"1","issued":{"date-parts":[["2023"]]},"title":"Pengaruh Literasi, Kegunaan, dan Kemudahan Terhadap Minat Masyarakat Menggunakan Dompet Digital Syariah","type":"article-journal","volume":"7"},"uris":["http://www.mendeley.com/documents/?uuid=8a055986-5732-350b-b883-8a25dc05c111"]}],"mendeley":{"formattedCitation":"(Muthi’ah &amp; Indrarini, 2023)","plainTextFormattedCitation":"(Muthi’ah &amp; Indrarini, 2023)","previouslyFormattedCitation":"(Muthi’ah &amp; Indrarini, 2023)"},"properties":{"noteIndex":0},"schema":"https://github.com/citation-style-language/schema/raw/master/csl-citation.json"}</w:instrText>
      </w:r>
      <w:r w:rsidR="00341AE6">
        <w:rPr>
          <w:rFonts w:ascii="Arial" w:eastAsia="EB Garamond" w:hAnsi="Arial" w:cs="Arial"/>
        </w:rPr>
        <w:fldChar w:fldCharType="separate"/>
      </w:r>
      <w:r w:rsidR="00341AE6" w:rsidRPr="00341AE6">
        <w:rPr>
          <w:rFonts w:ascii="Arial" w:eastAsia="EB Garamond" w:hAnsi="Arial" w:cs="Arial"/>
          <w:noProof/>
        </w:rPr>
        <w:t>(Muthi’ah &amp; Indrarini, 2023)</w:t>
      </w:r>
      <w:r w:rsidR="00341AE6">
        <w:rPr>
          <w:rFonts w:ascii="Arial" w:eastAsia="EB Garamond" w:hAnsi="Arial" w:cs="Arial"/>
        </w:rPr>
        <w:fldChar w:fldCharType="end"/>
      </w:r>
      <w:r w:rsidR="00341AE6">
        <w:rPr>
          <w:rFonts w:ascii="Arial" w:eastAsia="EB Garamond" w:hAnsi="Arial" w:cs="Arial"/>
        </w:rPr>
        <w:t xml:space="preserve"> </w:t>
      </w:r>
      <w:r w:rsidR="00EC4D73" w:rsidRPr="00EC4D73">
        <w:rPr>
          <w:rFonts w:ascii="Arial" w:eastAsia="EB Garamond" w:hAnsi="Arial" w:cs="Arial"/>
        </w:rPr>
        <w:t xml:space="preserve">and </w:t>
      </w:r>
      <w:r w:rsidR="00341AE6">
        <w:rPr>
          <w:rFonts w:ascii="Arial" w:eastAsia="EB Garamond" w:hAnsi="Arial" w:cs="Arial"/>
        </w:rPr>
        <w:fldChar w:fldCharType="begin" w:fldLock="1"/>
      </w:r>
      <w:r w:rsidR="000A0F61">
        <w:rPr>
          <w:rFonts w:ascii="Arial" w:eastAsia="EB Garamond" w:hAnsi="Arial" w:cs="Arial"/>
        </w:rPr>
        <w:instrText>ADDIN CSL_CITATION {"citationItems":[{"id":"ITEM-1","itemData":{"ISSN":"2477-8079","abstract":"Abstrak Sebuah organisasi pasti memiliki tiga hal, yaitu tempat, pekerja, dan sebuah operasi ataupun sistem yang dapat membantu pekerjaan. Pada awalnya sebuah organisasi masih mengerjakan segala sesuatu secara manual sehingga dibutuhkan sebuah teknologi agar dalam proses mengumpulkan informasi, pengambilan keputusan, dan menjalankan pekerjaan dapat berjalan dengan baik. Abstract An organization must have three things, namely a place, workers, and an operation or system that can help work. Initially an organization is still doing everything manually so it needs technology so that the process of gathering information, making decisions, and carrying out work can run well. The needs of workers in organizations such as payroll and payment transactions in personal life with technology there is no need to queue long when they want to pay something or wait a long time to receive wages. The technology that is needed nowadays is called mobile banking. This study aims to analyze the use of mobile banking for payment transactions for priests and workers of the DKI Jakarta Conference using themethod Extended Technology Acceptance Model (TAM). In obtaining results using Structural Equation Modeling (SEM) analysis using SPSS and AMOS version 22 programs.The results of this study indicate that the TAM model construct is significantly related and in other parts there is no influence so thatusers mobile banking can be expected to be more thorough in using mobile banking to facilitate all payment transaction activities.","author":[{"dropping-particle":"","family":"Eudora","given":"Danielle","non-dropping-particle":"","parse-names":false,"suffix":""},{"dropping-particle":"","family":"Rampen","given":"Crystle","non-dropping-particle":"","parse-names":false,"suffix":""},{"dropping-particle":"","family":"Sihotang","given":"Jay Idoan","non-dropping-particle":"","parse-names":false,"suffix":""}],"container-title":"Cogito Smart Journal |","id":"ITEM-1","issue":"1","issued":{"date-parts":[["2021"]]},"title":"Analisis Penggunaan Layanan Mobile Banking Terhadap Transaksi Pembayaran Menggunakan Metode Extended TAM Analysis of Mobile Banking Service Usage Towards Payment Transactions Using Extended TAM","type":"article-journal","volume":"7"},"uris":["http://www.mendeley.com/documents/?uuid=ab482d63-f1de-397d-96ae-15c5715ca765"]}],"mendeley":{"formattedCitation":"(Eudora et al., 2021)","plainTextFormattedCitation":"(Eudora et al., 2021)","previouslyFormattedCitation":"(Eudora et al., 2021)"},"properties":{"noteIndex":0},"schema":"https://github.com/citation-style-language/schema/raw/master/csl-citation.json"}</w:instrText>
      </w:r>
      <w:r w:rsidR="00341AE6">
        <w:rPr>
          <w:rFonts w:ascii="Arial" w:eastAsia="EB Garamond" w:hAnsi="Arial" w:cs="Arial"/>
        </w:rPr>
        <w:fldChar w:fldCharType="separate"/>
      </w:r>
      <w:r w:rsidR="00341AE6" w:rsidRPr="00341AE6">
        <w:rPr>
          <w:rFonts w:ascii="Arial" w:eastAsia="EB Garamond" w:hAnsi="Arial" w:cs="Arial"/>
          <w:noProof/>
        </w:rPr>
        <w:t>(Eudora et al., 2021)</w:t>
      </w:r>
      <w:r w:rsidR="00341AE6">
        <w:rPr>
          <w:rFonts w:ascii="Arial" w:eastAsia="EB Garamond" w:hAnsi="Arial" w:cs="Arial"/>
        </w:rPr>
        <w:fldChar w:fldCharType="end"/>
      </w:r>
      <w:r w:rsidR="00341AE6">
        <w:rPr>
          <w:rFonts w:ascii="Arial" w:eastAsia="EB Garamond" w:hAnsi="Arial" w:cs="Arial"/>
        </w:rPr>
        <w:t xml:space="preserve"> </w:t>
      </w:r>
      <w:r w:rsidR="00EC4D73" w:rsidRPr="00EC4D73">
        <w:rPr>
          <w:rFonts w:ascii="Arial" w:eastAsia="EB Garamond" w:hAnsi="Arial" w:cs="Arial"/>
        </w:rPr>
        <w:t>shows different results, where perceived ease of use, level of usability, and user attitude do not always have a significant effect on customers' intentions to use internet banking.</w:t>
      </w:r>
      <w:r w:rsidR="00304C56" w:rsidRPr="00D82747">
        <w:rPr>
          <w:rFonts w:ascii="Arial" w:eastAsia="EB Garamond" w:hAnsi="Arial" w:cs="Arial"/>
        </w:rPr>
        <w:t>Advantages and Benefits:</w:t>
      </w:r>
      <w:r w:rsidR="000A0F61">
        <w:rPr>
          <w:rFonts w:ascii="Arial" w:eastAsia="EB Garamond" w:hAnsi="Arial" w:cs="Arial"/>
        </w:rPr>
        <w:t xml:space="preserve">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{"citationItems":[{"id":"ITEM-1","itemData":{"abstract":"Abstrak This study aims to analyse and determine the variables perceived benefits, perceived ease of use, perceived risk can influence people's interest in using electronic wallet services. This research was conducted using a quantitative method using a questionnaire distributed online. The number of respondents in this study was 265 in the people of Medan City. This study uses data analysis with Structural Equation Modelling analysis with the Partial Least Square (PLS) method assisted by SmartPLS 3.0 software. The results of this study indicate that perceived benefits, perceived ease of use, and perceived risks have a positive and significant impact on the intention to use electronic wallets.","author":[{"dropping-particle":"","family":"Farid","given":"Muhammad","non-dropping-particle":"","parse-names":false,"suffix":""},{"dropping-particle":"","family":"Laksmi","given":"Ayu Chairina","non-dropping-particle":"","parse-names":false,"suffix":""}],"container-title":"Jurnal UII","id":"ITEM-1","issued":{"date-parts":[["2023"]]},"title":"Pengaruh persepsi manfaat, kemudahan penggunaan, risiko terhadap minat menggunakan dompet elektronik","type":"article-journal","volume":"5"},"uris":["http://www.mendeley.com/documents/?uuid=50bf21e0-862e-356c-ac02-9da4d5769fe2"]}],"mendeley":{"formattedCitation":"(Farid &amp; Laksmi, 2023)","plainTextFormattedCitation":"(Farid &amp; Laksmi, 2023)","previouslyFormattedCitation":"(Farid &amp; Laksmi, 2023)"},"properties":{"noteIndex":0},"schema":"https://github.com/citation-style-language/schema/raw/master/csl-citation.json"}</w:instrText>
      </w:r>
      <w:r w:rsidR="000A0F61">
        <w:rPr>
          <w:rFonts w:ascii="Arial" w:eastAsia="EB Garamond" w:hAnsi="Arial" w:cs="Arial"/>
        </w:rPr>
        <w:fldChar w:fldCharType="separate"/>
      </w:r>
      <w:r w:rsidR="000A0F61" w:rsidRPr="000A0F61">
        <w:rPr>
          <w:rFonts w:ascii="Arial" w:eastAsia="EB Garamond" w:hAnsi="Arial" w:cs="Arial"/>
          <w:noProof/>
        </w:rPr>
        <w:t>(Farid &amp; Laksmi, 2023)</w:t>
      </w:r>
      <w:r w:rsidR="000A0F61">
        <w:rPr>
          <w:rFonts w:ascii="Arial" w:eastAsia="EB Garamond" w:hAnsi="Arial" w:cs="Arial"/>
        </w:rPr>
        <w:fldChar w:fldCharType="end"/>
      </w:r>
      <w:r w:rsidR="000A0F61">
        <w:rPr>
          <w:rFonts w:ascii="Arial" w:eastAsia="EB Garamond" w:hAnsi="Arial" w:cs="Arial"/>
        </w:rPr>
        <w:t xml:space="preserve">,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{"citationItems":[{"id":"ITEM-1","itemData":{"DOI":"10.35969/interkom.v15i2.87","ISSN":"1907-8420","abstract":"Abstrak\r Penelitian ini bertujuan untuk (1) Untuk menjelaskan bagaimana pengaruh antaraPerceived Benefit terhadap Intention to use dompet digital. (2) Untuk menjelaskanbagaimana pengaruh antara Intention to used terhadap behaviour use dompet digital. Jenispenelitian yang digunakan adalah penelitian penjelasan dengan pendekatan kuantitatif.Variabel penelitian ini meliputi Perceived Benefit, Intention to use dan behaviour use .Populasi dalam penelitian ini adalah kaum Milenial dengan rentang umur 17-37 tahun danpernah menggunakan dompet digital. Sampel yang digunakan dalam penelitian inisebanyak 116 orang responden yang diambil dengan menggunakan teknik purposivesampling dan metode pengumpulan data menggunakan metode survei dan kuesioner.Data dikumpulkan dengan menggunakan teknik purposive sampling dan denganinstrumen angket dan pengukuran menggunakan skala semantic deferensial. Pendekatananalisis jalur yang diolah dengan persamaan model struktural menggunakan Lisrel 8.7.Hasil penelitian menunjukkan bahwa perceived benefit berpengaruh signifikan terhadapIntention to use dompet digital dan Behaviour use. Penelitian ini menyimpulkan bahwafaktor manfaat dalam menggunakan dompet digital pada kaum milenial tetap menjadipertimbangan keputusan.","author":[{"dropping-particle":"","family":"Effendy","given":"Femmy","non-dropping-particle":"","parse-names":false,"suffix":""}],"container-title":"Jurnal Interkom: Jurnal Publikasi Ilmiah Bidang Teknologi Informasi dan Komunikasi","id":"ITEM-1","issue":"2","issued":{"date-parts":[["2021"]]},"title":"PENGARUH PERCEIVED OF BENEFIT TERHADAP NIAT UNTUK MENGGUNAKAN LAYANAN DOMPET DIGITAL DI KALANGAN MILENIAL","type":"article-journal","volume":"15"},"uris":["http://www.mendeley.com/documents/?uuid=0c54bc94-eea4-3c51-89d6-3914862fbd37"]}],"mendeley":{"formattedCitation":"(Effendy, 2021)","plainTextFormattedCitation":"(Effendy, 2021)","previouslyFormattedCitation":"(Effendy, 2021)"},"properties":{"noteIndex":0},"schema":"https://github.com/citation-style-language/schema/raw/master/csl-citation.json"}</w:instrText>
      </w:r>
      <w:r w:rsidR="000A0F61">
        <w:rPr>
          <w:rFonts w:ascii="Arial" w:eastAsia="EB Garamond" w:hAnsi="Arial" w:cs="Arial"/>
        </w:rPr>
        <w:fldChar w:fldCharType="separate"/>
      </w:r>
      <w:r w:rsidR="000A0F61" w:rsidRPr="000A0F61">
        <w:rPr>
          <w:rFonts w:ascii="Arial" w:eastAsia="EB Garamond" w:hAnsi="Arial" w:cs="Arial"/>
          <w:noProof/>
        </w:rPr>
        <w:t>(Effendy, 2021)</w:t>
      </w:r>
      <w:r w:rsidR="000A0F61">
        <w:rPr>
          <w:rFonts w:ascii="Arial" w:eastAsia="EB Garamond" w:hAnsi="Arial" w:cs="Arial"/>
        </w:rPr>
        <w:fldChar w:fldCharType="end"/>
      </w:r>
      <w:r w:rsidR="000A0F61">
        <w:rPr>
          <w:rFonts w:ascii="Arial" w:eastAsia="EB Garamond" w:hAnsi="Arial" w:cs="Arial"/>
        </w:rPr>
        <w:t xml:space="preserve"> and </w:t>
      </w:r>
      <w:r w:rsidR="00304C56" w:rsidRPr="00D82747">
        <w:rPr>
          <w:rFonts w:ascii="Arial" w:eastAsia="EB Garamond" w:hAnsi="Arial" w:cs="Arial"/>
        </w:rPr>
        <w:t xml:space="preserve">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{"citationItems":[{"id":"ITEM-1","itemData":{"DOI":"10.30872/jakt.v19i1.10711","ISSN":"0216-7743","abstract":"Mobile banking merupakan fasilitas perbankan dengan menggunakan alat komunikasi seluler seperti ponsel. Layanan mobile banking memberikan kemudahan bagi pelanggan untuk melakukan transaksi perbankan seperti cek saldo, transfer antar rekening dan pembayaran tagihan. Penelitian ini bertujuan untuk mengukur seberapa besar pengaruh persepsi kemudahan penggunaan, persepsi manfaat dan persepsi keamanan terhadap minat menggunakan. Variabel yang digunakan dalam penelitian ini yaitu persepsi kemudahan penggunaan (X1), persepsi manfaat (X2), persepsi keamanan (X3) dan minat menggunakan (Y). Adapun metode yang digunakan dalam penelitian ini menggunakan metode purposive sampling dengan melakukan penyebaran kuesioner kepada 100 responden nasabah Bank Rakyat Indonesia Kabupaten Mamuju Tengah. Teknik Analisa yang digunakan yaitu regresi linear berganda untuk mengukur pengaruh secara parsial dan simultan . Hasil yang didapatkan menunjukkan adanya pengaruh yang positif dan signifikan antara persepsi kemudahan penggunaan, persepsi manfaat dan persepsi keamanan terhadap minat menggunakan","author":[{"dropping-particle":"","family":"Nursiah","given":"Nursiah","non-dropping-particle":"","parse-names":false,"suffix":""},{"dropping-particle":"","family":"Ferils","given":"Muh.","non-dropping-particle":"","parse-names":false,"suffix":""},{"dropping-particle":"","family":"Kamarudin","given":"Jamaludin","non-dropping-particle":"","parse-names":false,"suffix":""}],"container-title":"AKUNTABEL","id":"ITEM-1","issue":"1","issued":{"date-parts":[["2022"]]},"title":"Analisis minat menggunakan mobile banking","type":"article-journal","volume":"19"},"uris":["http://www.mendeley.com/documents/?uuid=ace85415-2c7e-3145-a711-b4dc2f8e5c79"]}],"mendeley":{"formattedCitation":"(Nursiah et al., 2022)","plainTextFormattedCitation":"(Nursiah et al., 2022)","previouslyFormattedCitation":"(Nursiah et al., 2022)"},"properties":{"noteIndex":0},"schema":"https://github.com/citation-style-language/schema/raw/master/csl-citation.json"}</w:instrText>
      </w:r>
      <w:r w:rsidR="000A0F61">
        <w:rPr>
          <w:rFonts w:ascii="Arial" w:eastAsia="EB Garamond" w:hAnsi="Arial" w:cs="Arial"/>
        </w:rPr>
        <w:fldChar w:fldCharType="separate"/>
      </w:r>
      <w:r w:rsidR="000A0F61" w:rsidRPr="000A0F61">
        <w:rPr>
          <w:rFonts w:ascii="Arial" w:eastAsia="EB Garamond" w:hAnsi="Arial" w:cs="Arial"/>
          <w:noProof/>
        </w:rPr>
        <w:t>(Nursiah et al., 2022)</w:t>
      </w:r>
      <w:r w:rsidR="000A0F61">
        <w:rPr>
          <w:rFonts w:ascii="Arial" w:eastAsia="EB Garamond" w:hAnsi="Arial" w:cs="Arial"/>
        </w:rPr>
        <w:fldChar w:fldCharType="end"/>
      </w:r>
      <w:r w:rsidR="000A0F61">
        <w:rPr>
          <w:rFonts w:ascii="Arial" w:eastAsia="EB Garamond" w:hAnsi="Arial" w:cs="Arial"/>
        </w:rPr>
        <w:t xml:space="preserve"> </w:t>
      </w:r>
      <w:r w:rsidR="00304C56" w:rsidRPr="00D82747">
        <w:rPr>
          <w:rFonts w:ascii="Arial" w:eastAsia="EB Garamond" w:hAnsi="Arial" w:cs="Arial"/>
        </w:rPr>
        <w:t xml:space="preserve">research concluded that advantages and benefits can increase a person's interest in using a product or service. However, the results of research by </w:t>
      </w:r>
      <w:r w:rsidR="008264A0" w:rsidRPr="00D82747">
        <w:rPr>
          <w:rFonts w:ascii="Arial" w:eastAsia="EB Garamond" w:hAnsi="Arial" w:cs="Arial"/>
        </w:rPr>
        <w:fldChar w:fldCharType="begin" w:fldLock="1"/>
      </w:r>
      <w:r w:rsidR="00104B04">
        <w:rPr>
          <w:rFonts w:ascii="Arial" w:eastAsia="EB Garamond" w:hAnsi="Arial" w:cs="Arial"/>
        </w:rPr>
        <w:instrText>ADDIN CSL_CITATION {"citationItems":[{"id":"ITEM-1","itemData":{"author":[{"dropping-particle":"","family":"REZZA RESITA HIMAWATI","given":"","non-dropping-particle":"","parse-names":false,"suffix":""}],"id":"ITEM-1","issued":{"date-parts":[["2018"]]},"title":"PENGARUH PERSEPSI MANFAAT DAN PERSEPSI KEMUDAHAN TERHADAP MINAT MENGGUNAKAN MOBILE BANKING DENGAN SIKAP SEBAGAI VARIABEL INTERVENING","type":"report"},"uris":["http://www.mendeley.com/documents/?uuid=1fe91a86-93a1-37ee-9cb2-42f4de5b3c69"]}],"mendeley":{"formattedCitation":"(REZZA RESITA HIMAWATI, 2018)","manualFormatting":"(Rezza Resita Himawati, 2018)","plainTextFormattedCitation":"(REZZA RESITA HIMAWATI, 2018)","previouslyFormattedCitation":"(REZZA RESITA HIMAWATI, 2018)"},"properties":{"noteIndex":0},"schema":"https://github.com/citation-style-language/schema/raw/master/csl-citation.json"}</w:instrText>
      </w:r>
      <w:r w:rsidR="008264A0" w:rsidRPr="00D82747">
        <w:rPr>
          <w:rFonts w:ascii="Arial" w:eastAsia="EB Garamond" w:hAnsi="Arial" w:cs="Arial"/>
        </w:rPr>
        <w:fldChar w:fldCharType="separate"/>
      </w:r>
      <w:r w:rsidR="008264A0" w:rsidRPr="00D82747">
        <w:rPr>
          <w:rFonts w:ascii="Arial" w:eastAsia="EB Garamond" w:hAnsi="Arial" w:cs="Arial"/>
          <w:noProof/>
        </w:rPr>
        <w:t xml:space="preserve">(Rezza </w:t>
      </w:r>
      <w:r w:rsidR="008E63C2" w:rsidRPr="00D82747">
        <w:rPr>
          <w:rFonts w:ascii="Arial" w:eastAsia="EB Garamond" w:hAnsi="Arial" w:cs="Arial"/>
          <w:noProof/>
        </w:rPr>
        <w:t>R</w:t>
      </w:r>
      <w:r w:rsidR="008264A0" w:rsidRPr="00D82747">
        <w:rPr>
          <w:rFonts w:ascii="Arial" w:eastAsia="EB Garamond" w:hAnsi="Arial" w:cs="Arial"/>
          <w:noProof/>
        </w:rPr>
        <w:t xml:space="preserve">esita </w:t>
      </w:r>
      <w:r w:rsidR="008E63C2" w:rsidRPr="00D82747">
        <w:rPr>
          <w:rFonts w:ascii="Arial" w:eastAsia="EB Garamond" w:hAnsi="Arial" w:cs="Arial"/>
          <w:noProof/>
        </w:rPr>
        <w:t>H</w:t>
      </w:r>
      <w:r w:rsidR="008264A0" w:rsidRPr="00D82747">
        <w:rPr>
          <w:rFonts w:ascii="Arial" w:eastAsia="EB Garamond" w:hAnsi="Arial" w:cs="Arial"/>
          <w:noProof/>
        </w:rPr>
        <w:t>imawati, 2018)</w:t>
      </w:r>
      <w:r w:rsidR="008264A0" w:rsidRPr="00D82747">
        <w:rPr>
          <w:rFonts w:ascii="Arial" w:eastAsia="EB Garamond" w:hAnsi="Arial" w:cs="Arial"/>
        </w:rPr>
        <w:fldChar w:fldCharType="end"/>
      </w:r>
      <w:r w:rsidR="00304C56" w:rsidRPr="00D82747">
        <w:rPr>
          <w:rFonts w:ascii="Arial" w:eastAsia="EB Garamond" w:hAnsi="Arial" w:cs="Arial"/>
        </w:rPr>
        <w:t xml:space="preserve"> and </w:t>
      </w:r>
      <w:r w:rsidR="008264A0" w:rsidRPr="00D82747">
        <w:rPr>
          <w:rFonts w:ascii="Arial" w:eastAsia="EB Garamond" w:hAnsi="Arial" w:cs="Arial"/>
        </w:rPr>
        <w:fldChar w:fldCharType="begin" w:fldLock="1"/>
      </w:r>
      <w:r w:rsidR="00B069B4" w:rsidRPr="00D82747">
        <w:rPr>
          <w:rFonts w:ascii="Arial" w:eastAsia="EB Garamond" w:hAnsi="Arial" w:cs="Arial"/>
        </w:rPr>
        <w:instrText>ADDIN CSL_CITATION {"citationItems":[{"id":"ITEM-1","itemData":{"DOI":"https://doi.org/10.37301/jmubh.v16i2.19032","author":[{"dropping-particle":"","family":"Jhon Fernos ;Mairizal Alfadino","given":"","non-dropping-particle":"","parse-names":false,"suffix":""}],"container-title":"Jurnal Manajemen Universitas Bung Hatta","id":"ITEM-1","issued":{"date-parts":[["2021","7","27"]]},"page":"115-125","title":"Pengaruh Manfaat, Kepercayaan, Dan Kemudahan Penggunaan Terhadap Minat Nasabah Menggunakan Layanan Mobile Banking Pada Pt. Bank Pembangunan Daerah Sumatera Barat Cabang Koto Baru, Dharmasraya","type":"article-journal","volume":"Jil. 16 No.2"},"uris":["http://www.mendeley.com/documents/?uuid=1158f8e7-ec8a-3e28-92a9-afc067a534a5"]}],"mendeley":{"formattedCitation":"(Jhon Fernos ;Mairizal Alfadino, 2021)","manualFormatting":"(Jhon Fernos, 2021)","plainTextFormattedCitation":"(Jhon Fernos ;Mairizal Alfadino, 2021)","previouslyFormattedCitation":"(Jhon Fernos ;Mairizal Alfadino, 2021)"},"properties":{"noteIndex":0},"schema":"https://github.com/citation-style-language/schema/raw/master/csl-citation.json"}</w:instrText>
      </w:r>
      <w:r w:rsidR="008264A0" w:rsidRPr="00D82747">
        <w:rPr>
          <w:rFonts w:ascii="Arial" w:eastAsia="EB Garamond" w:hAnsi="Arial" w:cs="Arial"/>
        </w:rPr>
        <w:fldChar w:fldCharType="separate"/>
      </w:r>
      <w:r w:rsidR="008264A0" w:rsidRPr="00D82747">
        <w:rPr>
          <w:rFonts w:ascii="Arial" w:eastAsia="EB Garamond" w:hAnsi="Arial" w:cs="Arial"/>
          <w:noProof/>
        </w:rPr>
        <w:t>(Jhon Fernos, 2021)</w:t>
      </w:r>
      <w:r w:rsidR="008264A0" w:rsidRPr="00D82747">
        <w:rPr>
          <w:rFonts w:ascii="Arial" w:eastAsia="EB Garamond" w:hAnsi="Arial" w:cs="Arial"/>
        </w:rPr>
        <w:fldChar w:fldCharType="end"/>
      </w:r>
      <w:r w:rsidR="00304C56" w:rsidRPr="00D82747">
        <w:rPr>
          <w:rFonts w:ascii="Arial" w:eastAsia="EB Garamond" w:hAnsi="Arial" w:cs="Arial"/>
        </w:rPr>
        <w:t>showed that perceived benefits were not always a determining factor in the use of mobile banking.</w:t>
      </w:r>
    </w:p>
    <w:p w14:paraId="3896B129" w14:textId="1F9A07FE" w:rsidR="008218AE" w:rsidRPr="00D82747" w:rsidRDefault="008D3871" w:rsidP="00F829CF">
      <w:pPr>
        <w:pStyle w:val="ListParagraph"/>
        <w:numPr>
          <w:ilvl w:val="0"/>
          <w:numId w:val="34"/>
        </w:numPr>
        <w:pBdr>
          <w:top w:val="nil"/>
          <w:left w:val="nil"/>
          <w:bottom w:val="nil"/>
          <w:right w:val="nil"/>
          <w:between w:val="nil"/>
        </w:pBdr>
        <w:spacing w:after="0" w:line="240" w:lineRule="auto"/>
        <w:jc w:val="both"/>
        <w:rPr>
          <w:rFonts w:ascii="Arial" w:hAnsi="Arial" w:cs="Arial"/>
        </w:rPr>
      </w:pPr>
      <w:r w:rsidRPr="00D82747">
        <w:rPr>
          <w:rFonts w:ascii="Arial" w:hAnsi="Arial" w:cs="Arial"/>
        </w:rPr>
        <w:t>Research Problem Statement/Statement of Problem</w:t>
      </w:r>
      <w:r w:rsidR="00627B84" w:rsidRPr="00D82747">
        <w:rPr>
          <w:rFonts w:ascii="Arial" w:hAnsi="Arial" w:cs="Arial"/>
        </w:rPr>
        <w:t xml:space="preserve"> </w:t>
      </w:r>
    </w:p>
    <w:p w14:paraId="49A4B142" w14:textId="59D338A4" w:rsidR="008218AE" w:rsidRPr="00D82747" w:rsidRDefault="00322CE5" w:rsidP="00F829CF">
      <w:pPr>
        <w:pBdr>
          <w:top w:val="nil"/>
          <w:left w:val="nil"/>
          <w:bottom w:val="nil"/>
          <w:right w:val="nil"/>
          <w:between w:val="nil"/>
        </w:pBdr>
        <w:spacing w:after="0" w:line="240" w:lineRule="auto"/>
        <w:ind w:firstLine="567"/>
        <w:jc w:val="both"/>
        <w:rPr>
          <w:rFonts w:ascii="Arial" w:eastAsia="EB Garamond" w:hAnsi="Arial" w:cs="Arial"/>
        </w:rPr>
      </w:pPr>
      <w:r w:rsidRPr="00D82747">
        <w:rPr>
          <w:rFonts w:ascii="Arial" w:eastAsia="EB Garamond" w:hAnsi="Arial" w:cs="Arial"/>
        </w:rPr>
        <w:t xml:space="preserve">The low level of financial literacy in rural communities in Batang Kuis is a significant challenge in efforts to increase e-banking adoption. People who do not understand the concept of digital finance tend to hesitate to use this service. In addition, limited access to digital </w:t>
      </w:r>
      <w:r w:rsidRPr="00D82747">
        <w:rPr>
          <w:rFonts w:ascii="Arial" w:eastAsia="EB Garamond" w:hAnsi="Arial" w:cs="Arial"/>
        </w:rPr>
        <w:lastRenderedPageBreak/>
        <w:t>infrastructure, low ability to utilize digital technology, and concerns about transaction security, adequate infrastructure, and the attitudes of the community itself further complicate efforts to adopt e-banking.</w:t>
      </w:r>
    </w:p>
    <w:p w14:paraId="4D2AA68F" w14:textId="7D2073E3" w:rsidR="008218AE" w:rsidRPr="00D82747" w:rsidRDefault="005214FD" w:rsidP="00F829CF">
      <w:pPr>
        <w:pStyle w:val="ListParagraph"/>
        <w:numPr>
          <w:ilvl w:val="0"/>
          <w:numId w:val="34"/>
        </w:numPr>
        <w:pBdr>
          <w:top w:val="nil"/>
          <w:left w:val="nil"/>
          <w:bottom w:val="nil"/>
          <w:right w:val="nil"/>
          <w:between w:val="nil"/>
        </w:pBdr>
        <w:spacing w:after="0" w:line="240" w:lineRule="auto"/>
        <w:jc w:val="both"/>
        <w:rPr>
          <w:rFonts w:ascii="Arial" w:eastAsia="EB Garamond" w:hAnsi="Arial" w:cs="Arial"/>
        </w:rPr>
      </w:pPr>
      <w:r w:rsidRPr="00D82747">
        <w:rPr>
          <w:rFonts w:ascii="Arial" w:hAnsi="Arial" w:cs="Arial"/>
        </w:rPr>
        <w:t>Research Objectives</w:t>
      </w:r>
      <w:r w:rsidR="00627B84" w:rsidRPr="00D82747">
        <w:rPr>
          <w:rFonts w:ascii="Arial" w:eastAsia="EB Garamond" w:hAnsi="Arial" w:cs="Arial"/>
        </w:rPr>
        <w:t xml:space="preserve"> </w:t>
      </w:r>
    </w:p>
    <w:p w14:paraId="1E7DB5A8" w14:textId="594F89BA" w:rsidR="008218AE" w:rsidRPr="00D82747" w:rsidRDefault="00F9054B" w:rsidP="00A36BE6">
      <w:pPr>
        <w:pBdr>
          <w:top w:val="nil"/>
          <w:left w:val="nil"/>
          <w:bottom w:val="nil"/>
          <w:right w:val="nil"/>
          <w:between w:val="nil"/>
        </w:pBdr>
        <w:spacing w:after="0" w:line="240" w:lineRule="auto"/>
        <w:ind w:firstLine="567"/>
        <w:jc w:val="both"/>
        <w:rPr>
          <w:rFonts w:ascii="Arial" w:hAnsi="Arial" w:cs="Arial"/>
        </w:rPr>
      </w:pPr>
      <w:r w:rsidRPr="00D82747">
        <w:rPr>
          <w:rFonts w:ascii="Arial" w:eastAsia="EB Garamond" w:hAnsi="Arial" w:cs="Arial"/>
        </w:rPr>
        <w:t xml:space="preserve">This study aims to explore the factors that influence the adoption of e-banking in the Batang Kuis community. In addition, this study will also formulate effective strategies to increase the adoption of e-banking in the region. By understanding the local context and specific needs of the Batang Kuis community, it is hoped that relevant and sustainable educational programs can be designed. This strategy will be adjusted to the unique characteristics of the Batang Kuis community. The community needs to be invited to feel the direct benefits of using e-banking in everyday life, as explained by the OJK the benefits of digital banking services are balance information, account mutations, fund transfers, payments (credit cards, top-up </w:t>
      </w:r>
      <w:r w:rsidRPr="00D82747">
        <w:rPr>
          <w:rFonts w:ascii="Arial" w:eastAsia="EB Garamond" w:hAnsi="Arial" w:cs="Arial"/>
        </w:rPr>
        <w:lastRenderedPageBreak/>
        <w:t>credit, PLN, telephone, internet quota, insurance, electricity), and many more</w:t>
      </w:r>
    </w:p>
    <w:p w14:paraId="617F6982" w14:textId="0E969705" w:rsidR="008218AE" w:rsidRPr="00617E4F" w:rsidRDefault="00627B84" w:rsidP="00617E4F">
      <w:pPr>
        <w:pBdr>
          <w:top w:val="nil"/>
          <w:left w:val="nil"/>
          <w:bottom w:val="nil"/>
          <w:right w:val="nil"/>
          <w:between w:val="nil"/>
        </w:pBdr>
        <w:spacing w:after="0" w:line="240" w:lineRule="auto"/>
        <w:jc w:val="both"/>
        <w:rPr>
          <w:rFonts w:ascii="Arial" w:eastAsia="Corbel" w:hAnsi="Arial" w:cs="Arial"/>
          <w:b/>
        </w:rPr>
      </w:pPr>
      <w:r w:rsidRPr="0047203B">
        <w:rPr>
          <w:rFonts w:ascii="Arial" w:hAnsi="Arial" w:cs="Arial"/>
          <w:b/>
        </w:rPr>
        <w:t>Research Method and Materials</w:t>
      </w:r>
      <w:r w:rsidRPr="0047203B">
        <w:rPr>
          <w:rFonts w:ascii="Arial" w:eastAsia="Corbel" w:hAnsi="Arial" w:cs="Arial"/>
          <w:b/>
        </w:rPr>
        <w:t xml:space="preserve"> </w:t>
      </w:r>
    </w:p>
    <w:p w14:paraId="54B8B278" w14:textId="0C12A811" w:rsidR="003B6A5E" w:rsidRPr="0047203B" w:rsidRDefault="003B6A5E" w:rsidP="005C23AF">
      <w:pPr>
        <w:pBdr>
          <w:top w:val="nil"/>
          <w:left w:val="nil"/>
          <w:bottom w:val="nil"/>
          <w:right w:val="nil"/>
          <w:between w:val="nil"/>
        </w:pBdr>
        <w:spacing w:after="0" w:line="240" w:lineRule="auto"/>
        <w:ind w:firstLine="567"/>
        <w:jc w:val="both"/>
        <w:rPr>
          <w:rFonts w:ascii="Arial" w:eastAsia="EB Garamond" w:hAnsi="Arial" w:cs="Arial"/>
        </w:rPr>
      </w:pPr>
      <w:r w:rsidRPr="0047203B">
        <w:rPr>
          <w:rFonts w:ascii="Arial" w:eastAsia="EB Garamond" w:hAnsi="Arial" w:cs="Arial"/>
        </w:rPr>
        <w:t>This study applies a quantitative method with purposive sampling to obtain data from the Batang Kuis community population who actively use e-banking. The number of samples set was 60 respondents, referring to the Roscoe (1975) guidelines which suggest a sample size of 10 times the number of variables. Primary data were collected through a questionnaire using a 5-point Likert scale. This scale has five answer options: Strongly Disagree (STS), Disagree (TS), Less Agree (KS), Agree (S), and Strongly Agree (SS). The research variables consist of one variable</w:t>
      </w:r>
      <w:r w:rsidR="00774B91" w:rsidRPr="0047203B">
        <w:rPr>
          <w:rFonts w:ascii="Arial" w:eastAsia="EB Garamond" w:hAnsi="Arial" w:cs="Arial"/>
        </w:rPr>
        <w:t xml:space="preserve"> dependent variable, namely Interest in Using E-banking (Y), and five independent variables, namely Financial Literacy (X1), Infrastructure (X2), Security (X3), User Experience (X4), and Benefits and Advantages (X5). Table 2 shows the indicators of each variable.</w:t>
      </w:r>
    </w:p>
    <w:p w14:paraId="601F4319" w14:textId="77777777" w:rsidR="0047203B" w:rsidRDefault="0047203B" w:rsidP="00A36BE6">
      <w:pPr>
        <w:pBdr>
          <w:top w:val="nil"/>
          <w:left w:val="nil"/>
          <w:bottom w:val="nil"/>
          <w:right w:val="nil"/>
          <w:between w:val="nil"/>
        </w:pBdr>
        <w:spacing w:after="0" w:line="240" w:lineRule="auto"/>
        <w:jc w:val="both"/>
        <w:rPr>
          <w:rFonts w:ascii="Arial" w:eastAsia="EB Garamond" w:hAnsi="Arial" w:cs="Arial"/>
          <w:color w:val="000000" w:themeColor="text1"/>
        </w:rPr>
        <w:sectPr w:rsidR="0047203B" w:rsidSect="0047203B">
          <w:type w:val="continuous"/>
          <w:pgSz w:w="11906" w:h="16838"/>
          <w:pgMar w:top="1440" w:right="1440" w:bottom="1440" w:left="1440" w:header="397" w:footer="708" w:gutter="0"/>
          <w:cols w:num="2" w:space="720"/>
        </w:sectPr>
      </w:pPr>
    </w:p>
    <w:tbl>
      <w:tblPr>
        <w:tblStyle w:val="TableGrid"/>
        <w:tblpPr w:leftFromText="180" w:rightFromText="180" w:vertAnchor="text" w:horzAnchor="margin" w:tblpX="108" w:tblpY="24"/>
        <w:tblOverlap w:val="never"/>
        <w:tblW w:w="9072" w:type="dxa"/>
        <w:shd w:val="clear" w:color="auto" w:fill="FFFFFF" w:themeFill="background1"/>
        <w:tblLook w:val="04A0" w:firstRow="1" w:lastRow="0" w:firstColumn="1" w:lastColumn="0" w:noHBand="0" w:noVBand="1"/>
      </w:tblPr>
      <w:tblGrid>
        <w:gridCol w:w="3119"/>
        <w:gridCol w:w="5953"/>
      </w:tblGrid>
      <w:tr w:rsidR="00B43DDD" w:rsidRPr="0047203B" w14:paraId="66386095" w14:textId="77777777" w:rsidTr="00B43DDD">
        <w:tc>
          <w:tcPr>
            <w:tcW w:w="9072" w:type="dxa"/>
            <w:gridSpan w:val="2"/>
            <w:tcBorders>
              <w:top w:val="nil"/>
              <w:left w:val="nil"/>
              <w:bottom w:val="single" w:sz="4" w:space="0" w:color="auto"/>
              <w:right w:val="nil"/>
            </w:tcBorders>
            <w:shd w:val="clear" w:color="auto" w:fill="FFFFFF" w:themeFill="background1"/>
          </w:tcPr>
          <w:p w14:paraId="7D9112F1" w14:textId="77777777" w:rsidR="00B43DDD" w:rsidRDefault="00B43DDD" w:rsidP="00B43DDD">
            <w:pPr>
              <w:spacing w:line="259" w:lineRule="auto"/>
              <w:jc w:val="center"/>
              <w:rPr>
                <w:rFonts w:ascii="Arial" w:eastAsia="EB Garamond" w:hAnsi="Arial" w:cs="Arial"/>
                <w:b/>
                <w:color w:val="000000" w:themeColor="text1"/>
              </w:rPr>
            </w:pPr>
            <w:r w:rsidRPr="0047203B">
              <w:rPr>
                <w:rFonts w:ascii="Arial" w:eastAsia="EB Garamond" w:hAnsi="Arial" w:cs="Arial"/>
                <w:b/>
                <w:color w:val="000000" w:themeColor="text1"/>
              </w:rPr>
              <w:t>Table 2.</w:t>
            </w:r>
          </w:p>
          <w:p w14:paraId="4190AC8C" w14:textId="77777777" w:rsidR="00B43DDD" w:rsidRPr="0047203B" w:rsidRDefault="00B43DDD" w:rsidP="00B43DDD">
            <w:pPr>
              <w:spacing w:line="259" w:lineRule="auto"/>
              <w:jc w:val="center"/>
              <w:rPr>
                <w:rFonts w:ascii="Arial" w:eastAsia="EB Garamond" w:hAnsi="Arial" w:cs="Arial"/>
                <w:b/>
                <w:color w:val="000000" w:themeColor="text1"/>
              </w:rPr>
            </w:pPr>
            <w:r w:rsidRPr="0047203B">
              <w:rPr>
                <w:rFonts w:ascii="Arial" w:eastAsia="EB Garamond" w:hAnsi="Arial" w:cs="Arial"/>
                <w:b/>
                <w:bCs/>
                <w:color w:val="000000" w:themeColor="text1"/>
              </w:rPr>
              <w:t>Research Indicators</w:t>
            </w:r>
          </w:p>
        </w:tc>
      </w:tr>
      <w:tr w:rsidR="00B43DDD" w:rsidRPr="0047203B" w14:paraId="770E1214" w14:textId="77777777" w:rsidTr="00B43DDD">
        <w:tc>
          <w:tcPr>
            <w:tcW w:w="3119" w:type="dxa"/>
            <w:tcBorders>
              <w:top w:val="single" w:sz="4" w:space="0" w:color="auto"/>
              <w:left w:val="nil"/>
              <w:bottom w:val="single" w:sz="4" w:space="0" w:color="auto"/>
              <w:right w:val="nil"/>
            </w:tcBorders>
            <w:shd w:val="clear" w:color="auto" w:fill="FFFFFF" w:themeFill="background1"/>
          </w:tcPr>
          <w:p w14:paraId="1BDE1949" w14:textId="77777777" w:rsidR="00B43DDD" w:rsidRPr="0047203B" w:rsidRDefault="00B43DDD" w:rsidP="00B43DDD">
            <w:pPr>
              <w:jc w:val="center"/>
              <w:rPr>
                <w:rFonts w:ascii="Arial" w:eastAsia="EB Garamond" w:hAnsi="Arial" w:cs="Arial"/>
                <w:b/>
                <w:bCs/>
                <w:color w:val="000000" w:themeColor="text1"/>
              </w:rPr>
            </w:pPr>
            <w:r w:rsidRPr="0047203B">
              <w:rPr>
                <w:rFonts w:ascii="Arial" w:eastAsia="EB Garamond" w:hAnsi="Arial" w:cs="Arial"/>
                <w:b/>
                <w:bCs/>
                <w:color w:val="000000" w:themeColor="text1"/>
              </w:rPr>
              <w:t>Variable</w:t>
            </w:r>
          </w:p>
        </w:tc>
        <w:tc>
          <w:tcPr>
            <w:tcW w:w="5953" w:type="dxa"/>
            <w:tcBorders>
              <w:top w:val="nil"/>
              <w:left w:val="nil"/>
              <w:bottom w:val="single" w:sz="18" w:space="0" w:color="auto"/>
              <w:right w:val="nil"/>
            </w:tcBorders>
            <w:shd w:val="clear" w:color="auto" w:fill="FFFFFF" w:themeFill="background1"/>
          </w:tcPr>
          <w:p w14:paraId="327CC13D" w14:textId="77777777" w:rsidR="00B43DDD" w:rsidRPr="0047203B" w:rsidRDefault="00B43DDD" w:rsidP="00B43DDD">
            <w:pPr>
              <w:jc w:val="center"/>
              <w:rPr>
                <w:rFonts w:ascii="Arial" w:eastAsia="EB Garamond" w:hAnsi="Arial" w:cs="Arial"/>
                <w:b/>
                <w:bCs/>
                <w:color w:val="000000" w:themeColor="text1"/>
              </w:rPr>
            </w:pPr>
            <w:r w:rsidRPr="0047203B">
              <w:rPr>
                <w:rFonts w:ascii="Arial" w:eastAsia="EB Garamond" w:hAnsi="Arial" w:cs="Arial"/>
                <w:b/>
                <w:bCs/>
                <w:color w:val="000000" w:themeColor="text1"/>
              </w:rPr>
              <w:t>Indicator</w:t>
            </w:r>
          </w:p>
        </w:tc>
      </w:tr>
      <w:tr w:rsidR="00B43DDD" w:rsidRPr="0047203B" w14:paraId="67155A6A" w14:textId="77777777" w:rsidTr="00B43DDD">
        <w:tc>
          <w:tcPr>
            <w:tcW w:w="3119" w:type="dxa"/>
            <w:vMerge w:val="restart"/>
            <w:tcBorders>
              <w:top w:val="single" w:sz="18" w:space="0" w:color="auto"/>
              <w:left w:val="nil"/>
              <w:bottom w:val="single" w:sz="4" w:space="0" w:color="auto"/>
              <w:right w:val="nil"/>
            </w:tcBorders>
            <w:shd w:val="clear" w:color="auto" w:fill="FFFFFF" w:themeFill="background1"/>
            <w:vAlign w:val="center"/>
          </w:tcPr>
          <w:p w14:paraId="71D8900F"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Interest in Using E-Banking(Y)</w:t>
            </w:r>
          </w:p>
        </w:tc>
        <w:tc>
          <w:tcPr>
            <w:tcW w:w="5953" w:type="dxa"/>
            <w:tcBorders>
              <w:top w:val="single" w:sz="18" w:space="0" w:color="auto"/>
              <w:left w:val="nil"/>
              <w:bottom w:val="nil"/>
              <w:right w:val="nil"/>
            </w:tcBorders>
            <w:shd w:val="clear" w:color="auto" w:fill="FFFFFF" w:themeFill="background1"/>
          </w:tcPr>
          <w:p w14:paraId="1C1B86F6"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 xml:space="preserve">Perception of ease of using e-banking. </w:t>
            </w:r>
          </w:p>
        </w:tc>
      </w:tr>
      <w:tr w:rsidR="00B43DDD" w:rsidRPr="0047203B" w14:paraId="1C6B8070"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393A868D"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1548943C"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Perception of security in transactions via e-banking.</w:t>
            </w:r>
          </w:p>
        </w:tc>
      </w:tr>
      <w:tr w:rsidR="00B43DDD" w:rsidRPr="0047203B" w14:paraId="3401E42E"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632B1CD5"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07FDF08C"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Perception of benefits felt from e-banking.</w:t>
            </w:r>
          </w:p>
        </w:tc>
      </w:tr>
      <w:tr w:rsidR="00B43DDD" w:rsidRPr="0047203B" w14:paraId="1A0C3319"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479B90D4"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single" w:sz="4" w:space="0" w:color="auto"/>
              <w:right w:val="nil"/>
            </w:tcBorders>
            <w:shd w:val="clear" w:color="auto" w:fill="FFFFFF" w:themeFill="background1"/>
          </w:tcPr>
          <w:p w14:paraId="360FDFDF"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 xml:space="preserve">How big is the motivation to use e-banking. </w:t>
            </w:r>
          </w:p>
        </w:tc>
      </w:tr>
      <w:tr w:rsidR="00B43DDD" w:rsidRPr="0047203B" w14:paraId="4FA82AB1" w14:textId="77777777" w:rsidTr="00B43DDD">
        <w:tc>
          <w:tcPr>
            <w:tcW w:w="3119" w:type="dxa"/>
            <w:vMerge w:val="restart"/>
            <w:tcBorders>
              <w:top w:val="single" w:sz="4" w:space="0" w:color="auto"/>
              <w:left w:val="nil"/>
              <w:bottom w:val="single" w:sz="4" w:space="0" w:color="auto"/>
              <w:right w:val="nil"/>
            </w:tcBorders>
            <w:shd w:val="clear" w:color="auto" w:fill="FFFFFF" w:themeFill="background1"/>
            <w:vAlign w:val="center"/>
          </w:tcPr>
          <w:p w14:paraId="61110BB0"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Financial Literacy (X1)</w:t>
            </w:r>
          </w:p>
        </w:tc>
        <w:tc>
          <w:tcPr>
            <w:tcW w:w="5953" w:type="dxa"/>
            <w:tcBorders>
              <w:top w:val="single" w:sz="4" w:space="0" w:color="auto"/>
              <w:left w:val="nil"/>
              <w:bottom w:val="nil"/>
              <w:right w:val="nil"/>
            </w:tcBorders>
            <w:shd w:val="clear" w:color="auto" w:fill="FFFFFF" w:themeFill="background1"/>
          </w:tcPr>
          <w:p w14:paraId="65FA5552"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Knowledge of financial products and services.</w:t>
            </w:r>
          </w:p>
        </w:tc>
      </w:tr>
      <w:tr w:rsidR="00B43DDD" w:rsidRPr="0047203B" w14:paraId="103541C1" w14:textId="77777777" w:rsidTr="00B43DDD">
        <w:tc>
          <w:tcPr>
            <w:tcW w:w="3119" w:type="dxa"/>
            <w:vMerge/>
            <w:tcBorders>
              <w:top w:val="single" w:sz="4" w:space="0" w:color="auto"/>
              <w:left w:val="nil"/>
              <w:bottom w:val="single" w:sz="4" w:space="0" w:color="auto"/>
              <w:right w:val="nil"/>
            </w:tcBorders>
            <w:shd w:val="clear" w:color="auto" w:fill="FFFFFF" w:themeFill="background1"/>
          </w:tcPr>
          <w:p w14:paraId="017AA477"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59042CBD"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Understanding of financial risk.</w:t>
            </w:r>
          </w:p>
        </w:tc>
      </w:tr>
      <w:tr w:rsidR="00B43DDD" w:rsidRPr="0047203B" w14:paraId="4FE5E3B4" w14:textId="77777777" w:rsidTr="00B43DDD">
        <w:tc>
          <w:tcPr>
            <w:tcW w:w="3119" w:type="dxa"/>
            <w:vMerge/>
            <w:tcBorders>
              <w:top w:val="single" w:sz="4" w:space="0" w:color="auto"/>
              <w:left w:val="nil"/>
              <w:bottom w:val="single" w:sz="4" w:space="0" w:color="auto"/>
              <w:right w:val="nil"/>
            </w:tcBorders>
            <w:shd w:val="clear" w:color="auto" w:fill="FFFFFF" w:themeFill="background1"/>
          </w:tcPr>
          <w:p w14:paraId="6628480D"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32610ABE"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Knowledge of consumer rights and obligations.</w:t>
            </w:r>
          </w:p>
        </w:tc>
      </w:tr>
      <w:tr w:rsidR="00B43DDD" w:rsidRPr="0047203B" w14:paraId="47DAED7C" w14:textId="77777777" w:rsidTr="00B43DDD">
        <w:tc>
          <w:tcPr>
            <w:tcW w:w="3119" w:type="dxa"/>
            <w:vMerge/>
            <w:tcBorders>
              <w:top w:val="single" w:sz="4" w:space="0" w:color="auto"/>
              <w:left w:val="nil"/>
              <w:bottom w:val="single" w:sz="4" w:space="0" w:color="auto"/>
              <w:right w:val="nil"/>
            </w:tcBorders>
            <w:shd w:val="clear" w:color="auto" w:fill="FFFFFF" w:themeFill="background1"/>
          </w:tcPr>
          <w:p w14:paraId="415D5193"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single" w:sz="4" w:space="0" w:color="auto"/>
              <w:right w:val="nil"/>
            </w:tcBorders>
            <w:shd w:val="clear" w:color="auto" w:fill="FFFFFF" w:themeFill="background1"/>
          </w:tcPr>
          <w:p w14:paraId="340F3E6F"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Skills regarding personal financial management.</w:t>
            </w:r>
          </w:p>
        </w:tc>
      </w:tr>
      <w:tr w:rsidR="00B43DDD" w:rsidRPr="0047203B" w14:paraId="097C9E76" w14:textId="77777777" w:rsidTr="00B43DDD">
        <w:tc>
          <w:tcPr>
            <w:tcW w:w="3119" w:type="dxa"/>
            <w:vMerge w:val="restart"/>
            <w:tcBorders>
              <w:top w:val="single" w:sz="4" w:space="0" w:color="auto"/>
              <w:left w:val="nil"/>
              <w:bottom w:val="single" w:sz="4" w:space="0" w:color="auto"/>
              <w:right w:val="nil"/>
            </w:tcBorders>
            <w:shd w:val="clear" w:color="auto" w:fill="FFFFFF" w:themeFill="background1"/>
            <w:vAlign w:val="center"/>
          </w:tcPr>
          <w:p w14:paraId="34D57AA0"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Infrastructure (X2)</w:t>
            </w:r>
          </w:p>
        </w:tc>
        <w:tc>
          <w:tcPr>
            <w:tcW w:w="5953" w:type="dxa"/>
            <w:tcBorders>
              <w:top w:val="single" w:sz="4" w:space="0" w:color="auto"/>
              <w:left w:val="nil"/>
              <w:bottom w:val="nil"/>
              <w:right w:val="nil"/>
            </w:tcBorders>
            <w:shd w:val="clear" w:color="auto" w:fill="FFFFFF" w:themeFill="background1"/>
          </w:tcPr>
          <w:p w14:paraId="7CCE1806"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Ease of accessing the internet network.</w:t>
            </w:r>
          </w:p>
        </w:tc>
      </w:tr>
      <w:tr w:rsidR="00B43DDD" w:rsidRPr="0047203B" w14:paraId="076B33B9"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0CD7C726"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4CFFABB6"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Availability of the required devices.</w:t>
            </w:r>
          </w:p>
        </w:tc>
      </w:tr>
      <w:tr w:rsidR="00B43DDD" w:rsidRPr="0047203B" w14:paraId="35ACDFF9"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36ABE213"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7B0CD0A2"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Quality of telecommunications services.</w:t>
            </w:r>
          </w:p>
        </w:tc>
      </w:tr>
      <w:tr w:rsidR="00B43DDD" w:rsidRPr="0047203B" w14:paraId="5B93A700"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4419165E"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single" w:sz="4" w:space="0" w:color="auto"/>
              <w:right w:val="nil"/>
            </w:tcBorders>
            <w:shd w:val="clear" w:color="auto" w:fill="FFFFFF" w:themeFill="background1"/>
          </w:tcPr>
          <w:p w14:paraId="117BF5DC"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Availability of supporting facilities (KC Bank).</w:t>
            </w:r>
          </w:p>
        </w:tc>
      </w:tr>
      <w:tr w:rsidR="00B43DDD" w:rsidRPr="0047203B" w14:paraId="715ABAFE" w14:textId="77777777" w:rsidTr="00B43DDD">
        <w:tc>
          <w:tcPr>
            <w:tcW w:w="3119" w:type="dxa"/>
            <w:vMerge w:val="restart"/>
            <w:tcBorders>
              <w:top w:val="single" w:sz="4" w:space="0" w:color="auto"/>
              <w:left w:val="nil"/>
              <w:bottom w:val="single" w:sz="4" w:space="0" w:color="auto"/>
              <w:right w:val="nil"/>
            </w:tcBorders>
            <w:shd w:val="clear" w:color="auto" w:fill="FFFFFF" w:themeFill="background1"/>
            <w:vAlign w:val="center"/>
          </w:tcPr>
          <w:p w14:paraId="4A7AA00A"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Security (X3)</w:t>
            </w:r>
          </w:p>
        </w:tc>
        <w:tc>
          <w:tcPr>
            <w:tcW w:w="5953" w:type="dxa"/>
            <w:tcBorders>
              <w:top w:val="single" w:sz="4" w:space="0" w:color="auto"/>
              <w:left w:val="nil"/>
              <w:bottom w:val="nil"/>
              <w:right w:val="nil"/>
            </w:tcBorders>
            <w:shd w:val="clear" w:color="auto" w:fill="FFFFFF" w:themeFill="background1"/>
          </w:tcPr>
          <w:p w14:paraId="5D5A6ED5"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Perception of personal data security in e-banking.</w:t>
            </w:r>
          </w:p>
        </w:tc>
      </w:tr>
      <w:tr w:rsidR="00B43DDD" w:rsidRPr="0047203B" w14:paraId="547C92F5"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40C48567"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4E3EA63F"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Perception of security when transacting in e-banking.</w:t>
            </w:r>
          </w:p>
        </w:tc>
      </w:tr>
      <w:tr w:rsidR="00B43DDD" w:rsidRPr="0047203B" w14:paraId="6F47679E"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4A1E9333"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1201EF56"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Trust in the bank's security system.</w:t>
            </w:r>
          </w:p>
        </w:tc>
      </w:tr>
      <w:tr w:rsidR="00B43DDD" w:rsidRPr="0047203B" w14:paraId="33794684"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215F0D24"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single" w:sz="4" w:space="0" w:color="auto"/>
              <w:right w:val="nil"/>
            </w:tcBorders>
            <w:shd w:val="clear" w:color="auto" w:fill="FFFFFF" w:themeFill="background1"/>
          </w:tcPr>
          <w:p w14:paraId="5687D167"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Experience with fraud cases.</w:t>
            </w:r>
          </w:p>
        </w:tc>
      </w:tr>
      <w:tr w:rsidR="00B43DDD" w:rsidRPr="0047203B" w14:paraId="2604D6E4" w14:textId="77777777" w:rsidTr="00B43DDD">
        <w:tc>
          <w:tcPr>
            <w:tcW w:w="3119" w:type="dxa"/>
            <w:vMerge w:val="restart"/>
            <w:tcBorders>
              <w:top w:val="single" w:sz="4" w:space="0" w:color="auto"/>
              <w:left w:val="nil"/>
              <w:bottom w:val="single" w:sz="4" w:space="0" w:color="auto"/>
              <w:right w:val="nil"/>
            </w:tcBorders>
            <w:shd w:val="clear" w:color="auto" w:fill="FFFFFF" w:themeFill="background1"/>
            <w:vAlign w:val="center"/>
          </w:tcPr>
          <w:p w14:paraId="4E931796"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User Experience (X4)</w:t>
            </w:r>
          </w:p>
        </w:tc>
        <w:tc>
          <w:tcPr>
            <w:tcW w:w="5953" w:type="dxa"/>
            <w:tcBorders>
              <w:top w:val="single" w:sz="4" w:space="0" w:color="auto"/>
              <w:left w:val="nil"/>
              <w:bottom w:val="nil"/>
              <w:right w:val="nil"/>
            </w:tcBorders>
            <w:shd w:val="clear" w:color="auto" w:fill="FFFFFF" w:themeFill="background1"/>
          </w:tcPr>
          <w:p w14:paraId="7BFCA2F7"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How regularly do you use e-banking services.</w:t>
            </w:r>
          </w:p>
        </w:tc>
      </w:tr>
      <w:tr w:rsidR="00B43DDD" w:rsidRPr="0047203B" w14:paraId="39E64019"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22B4B7BB"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09F93EAE"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How good is the quality of service provided.</w:t>
            </w:r>
          </w:p>
        </w:tc>
      </w:tr>
      <w:tr w:rsidR="00B43DDD" w:rsidRPr="0047203B" w14:paraId="2E9198F9"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5135E356"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1B5F356F"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Satisfaction when using e-banking services.</w:t>
            </w:r>
          </w:p>
        </w:tc>
      </w:tr>
      <w:tr w:rsidR="00B43DDD" w:rsidRPr="0047203B" w14:paraId="43716B7C"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22A66465" w14:textId="77777777" w:rsidR="00B43DDD" w:rsidRPr="0047203B" w:rsidRDefault="00B43DDD" w:rsidP="00B43DDD">
            <w:pPr>
              <w:rPr>
                <w:rFonts w:ascii="Arial" w:eastAsia="EB Garamond" w:hAnsi="Arial" w:cs="Arial"/>
                <w:color w:val="000000" w:themeColor="text1"/>
              </w:rPr>
            </w:pPr>
          </w:p>
        </w:tc>
        <w:tc>
          <w:tcPr>
            <w:tcW w:w="5953" w:type="dxa"/>
            <w:tcBorders>
              <w:top w:val="nil"/>
              <w:left w:val="nil"/>
              <w:bottom w:val="single" w:sz="4" w:space="0" w:color="auto"/>
              <w:right w:val="nil"/>
            </w:tcBorders>
            <w:shd w:val="clear" w:color="auto" w:fill="FFFFFF" w:themeFill="background1"/>
          </w:tcPr>
          <w:p w14:paraId="64664BA8"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Possibility to recommend e-banking.</w:t>
            </w:r>
          </w:p>
        </w:tc>
      </w:tr>
      <w:tr w:rsidR="00B43DDD" w:rsidRPr="0047203B" w14:paraId="286C16D2" w14:textId="77777777" w:rsidTr="00B43DDD">
        <w:tc>
          <w:tcPr>
            <w:tcW w:w="3119" w:type="dxa"/>
            <w:vMerge w:val="restart"/>
            <w:tcBorders>
              <w:top w:val="single" w:sz="4" w:space="0" w:color="auto"/>
              <w:left w:val="nil"/>
              <w:bottom w:val="single" w:sz="4" w:space="0" w:color="auto"/>
              <w:right w:val="nil"/>
            </w:tcBorders>
            <w:shd w:val="clear" w:color="auto" w:fill="FFFFFF" w:themeFill="background1"/>
            <w:vAlign w:val="center"/>
          </w:tcPr>
          <w:p w14:paraId="71354CC2"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Advantages And Benefits (X5)</w:t>
            </w:r>
          </w:p>
        </w:tc>
        <w:tc>
          <w:tcPr>
            <w:tcW w:w="5953" w:type="dxa"/>
            <w:tcBorders>
              <w:top w:val="single" w:sz="4" w:space="0" w:color="auto"/>
              <w:left w:val="nil"/>
              <w:bottom w:val="nil"/>
              <w:right w:val="nil"/>
            </w:tcBorders>
            <w:shd w:val="clear" w:color="auto" w:fill="FFFFFF" w:themeFill="background1"/>
          </w:tcPr>
          <w:p w14:paraId="24CEB114"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Time efficient when using e-banking.</w:t>
            </w:r>
          </w:p>
        </w:tc>
      </w:tr>
      <w:tr w:rsidR="00B43DDD" w:rsidRPr="0047203B" w14:paraId="298028C4"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55B445DD" w14:textId="77777777" w:rsidR="00B43DDD" w:rsidRPr="0047203B" w:rsidRDefault="00B43DDD" w:rsidP="00B43DDD">
            <w:pPr>
              <w:jc w:val="cente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7FE90560"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Accessibility using e-banking services.</w:t>
            </w:r>
          </w:p>
        </w:tc>
      </w:tr>
      <w:tr w:rsidR="00B43DDD" w:rsidRPr="0047203B" w14:paraId="38D69160"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34A8A877" w14:textId="77777777" w:rsidR="00B43DDD" w:rsidRPr="0047203B" w:rsidRDefault="00B43DDD" w:rsidP="00B43DDD">
            <w:pPr>
              <w:jc w:val="center"/>
              <w:rPr>
                <w:rFonts w:ascii="Arial" w:eastAsia="EB Garamond" w:hAnsi="Arial" w:cs="Arial"/>
                <w:color w:val="000000" w:themeColor="text1"/>
              </w:rPr>
            </w:pPr>
          </w:p>
        </w:tc>
        <w:tc>
          <w:tcPr>
            <w:tcW w:w="5953" w:type="dxa"/>
            <w:tcBorders>
              <w:top w:val="nil"/>
              <w:left w:val="nil"/>
              <w:bottom w:val="nil"/>
              <w:right w:val="nil"/>
            </w:tcBorders>
            <w:shd w:val="clear" w:color="auto" w:fill="FFFFFF" w:themeFill="background1"/>
          </w:tcPr>
          <w:p w14:paraId="4553BF16"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Perception of the costs incurred.</w:t>
            </w:r>
          </w:p>
        </w:tc>
      </w:tr>
      <w:tr w:rsidR="00B43DDD" w:rsidRPr="0047203B" w14:paraId="48CF06E0" w14:textId="77777777" w:rsidTr="00B43DDD">
        <w:tc>
          <w:tcPr>
            <w:tcW w:w="3119" w:type="dxa"/>
            <w:vMerge/>
            <w:tcBorders>
              <w:top w:val="single" w:sz="4" w:space="0" w:color="auto"/>
              <w:left w:val="nil"/>
              <w:bottom w:val="single" w:sz="4" w:space="0" w:color="auto"/>
              <w:right w:val="nil"/>
            </w:tcBorders>
            <w:shd w:val="clear" w:color="auto" w:fill="FFFFFF" w:themeFill="background1"/>
            <w:vAlign w:val="center"/>
          </w:tcPr>
          <w:p w14:paraId="1A93D64F" w14:textId="77777777" w:rsidR="00B43DDD" w:rsidRPr="0047203B" w:rsidRDefault="00B43DDD" w:rsidP="00B43DDD">
            <w:pPr>
              <w:jc w:val="center"/>
              <w:rPr>
                <w:rFonts w:ascii="Arial" w:eastAsia="EB Garamond" w:hAnsi="Arial" w:cs="Arial"/>
                <w:color w:val="000000" w:themeColor="text1"/>
              </w:rPr>
            </w:pPr>
          </w:p>
        </w:tc>
        <w:tc>
          <w:tcPr>
            <w:tcW w:w="5953" w:type="dxa"/>
            <w:tcBorders>
              <w:top w:val="nil"/>
              <w:left w:val="nil"/>
              <w:bottom w:val="single" w:sz="4" w:space="0" w:color="auto"/>
              <w:right w:val="nil"/>
            </w:tcBorders>
            <w:shd w:val="clear" w:color="auto" w:fill="FFFFFF" w:themeFill="background1"/>
          </w:tcPr>
          <w:p w14:paraId="349164A6"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Additional benefits (Promos, Gifts, Features).</w:t>
            </w:r>
          </w:p>
        </w:tc>
      </w:tr>
      <w:tr w:rsidR="00B43DDD" w:rsidRPr="0047203B" w14:paraId="29DA06A8" w14:textId="77777777" w:rsidTr="00B43DDD">
        <w:tc>
          <w:tcPr>
            <w:tcW w:w="9072" w:type="dxa"/>
            <w:gridSpan w:val="2"/>
            <w:tcBorders>
              <w:top w:val="single" w:sz="4" w:space="0" w:color="auto"/>
              <w:left w:val="nil"/>
              <w:bottom w:val="nil"/>
              <w:right w:val="nil"/>
            </w:tcBorders>
            <w:shd w:val="clear" w:color="auto" w:fill="FFFFFF" w:themeFill="background1"/>
          </w:tcPr>
          <w:p w14:paraId="49479FA8" w14:textId="77777777" w:rsidR="00B43DDD"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lastRenderedPageBreak/>
              <w:t>Source: Author's Processed Results (2024)</w:t>
            </w:r>
          </w:p>
          <w:p w14:paraId="5BC4D987" w14:textId="77777777" w:rsidR="00B43DDD" w:rsidRPr="0047203B" w:rsidRDefault="00B43DDD" w:rsidP="00B43DDD">
            <w:pPr>
              <w:rPr>
                <w:rFonts w:ascii="Arial" w:eastAsia="EB Garamond" w:hAnsi="Arial" w:cs="Arial"/>
                <w:color w:val="000000" w:themeColor="text1"/>
              </w:rPr>
            </w:pPr>
          </w:p>
        </w:tc>
      </w:tr>
    </w:tbl>
    <w:p w14:paraId="691C52EC" w14:textId="77777777" w:rsidR="007B6FFC" w:rsidRDefault="007B6FFC" w:rsidP="00B43DDD">
      <w:pPr>
        <w:pBdr>
          <w:top w:val="nil"/>
          <w:left w:val="nil"/>
          <w:bottom w:val="nil"/>
          <w:right w:val="nil"/>
          <w:between w:val="nil"/>
        </w:pBdr>
        <w:spacing w:after="0" w:line="240" w:lineRule="auto"/>
        <w:jc w:val="both"/>
        <w:rPr>
          <w:rFonts w:ascii="Arial" w:eastAsia="EB Garamond" w:hAnsi="Arial" w:cs="Arial"/>
          <w:color w:val="000000" w:themeColor="text1"/>
        </w:rPr>
        <w:sectPr w:rsidR="007B6FFC">
          <w:type w:val="continuous"/>
          <w:pgSz w:w="11906" w:h="16838"/>
          <w:pgMar w:top="1440" w:right="1440" w:bottom="1440" w:left="1440" w:header="397" w:footer="708" w:gutter="0"/>
          <w:cols w:space="720"/>
        </w:sectPr>
      </w:pPr>
    </w:p>
    <w:p w14:paraId="47EB3E41" w14:textId="7E83DA7B" w:rsidR="00ED1C7C" w:rsidRPr="0047203B" w:rsidRDefault="00AD0A79" w:rsidP="00F829C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lastRenderedPageBreak/>
        <w:t xml:space="preserve">This study analyzed the data using multiple linear regression method. Before the analysis, the data first went through validity, reliability, and classical assumption tests (normality, multicollinearity, and heteroscedasticity). Then continued with the t-statistic test, F-statistic test, determination coefficient test (r²), and regression model test using the help of </w:t>
      </w:r>
      <w:r w:rsidR="007439B6">
        <w:rPr>
          <w:rFonts w:ascii="Arial" w:eastAsia="EB Garamond" w:hAnsi="Arial" w:cs="Arial"/>
          <w:color w:val="000000" w:themeColor="text1"/>
        </w:rPr>
        <w:t>Statistics</w:t>
      </w:r>
      <w:r w:rsidRPr="0047203B">
        <w:rPr>
          <w:rFonts w:ascii="Arial" w:eastAsia="EB Garamond" w:hAnsi="Arial" w:cs="Arial"/>
          <w:color w:val="000000" w:themeColor="text1"/>
        </w:rPr>
        <w:t xml:space="preserve"> Program For Social Science (SPSS) Software. The regression equation used is:</w:t>
      </w:r>
    </w:p>
    <w:p w14:paraId="2340B1F1" w14:textId="210696DC" w:rsidR="007F3CA9" w:rsidRPr="0047203B" w:rsidRDefault="00CE7D78" w:rsidP="007B6FFC">
      <w:pPr>
        <w:pBdr>
          <w:top w:val="nil"/>
          <w:left w:val="nil"/>
          <w:bottom w:val="nil"/>
          <w:right w:val="nil"/>
          <w:between w:val="nil"/>
        </w:pBdr>
        <w:spacing w:after="0" w:line="240" w:lineRule="auto"/>
        <w:jc w:val="center"/>
        <w:rPr>
          <w:rFonts w:ascii="Arial" w:eastAsia="EB Garamond" w:hAnsi="Arial" w:cs="Arial"/>
          <w:b/>
          <w:bCs/>
          <w:color w:val="000000" w:themeColor="text1"/>
        </w:rPr>
      </w:pPr>
      <w:r w:rsidRPr="0047203B">
        <w:rPr>
          <w:rFonts w:ascii="Arial" w:eastAsia="EB Garamond" w:hAnsi="Arial" w:cs="Arial"/>
          <w:b/>
          <w:bCs/>
          <w:color w:val="000000" w:themeColor="text1"/>
        </w:rPr>
        <w:t>IUE</w:t>
      </w:r>
      <w:r w:rsidR="001C0E73" w:rsidRPr="0047203B">
        <w:rPr>
          <w:rFonts w:ascii="Arial" w:eastAsia="EB Garamond" w:hAnsi="Arial" w:cs="Arial"/>
          <w:b/>
          <w:bCs/>
          <w:color w:val="000000" w:themeColor="text1"/>
        </w:rPr>
        <w:t xml:space="preserve"> = α + </w:t>
      </w:r>
      <w:r w:rsidR="00FE6C16" w:rsidRPr="0047203B">
        <w:rPr>
          <w:rFonts w:ascii="Arial" w:eastAsia="EB Garamond" w:hAnsi="Arial" w:cs="Arial"/>
          <w:b/>
          <w:bCs/>
          <w:color w:val="000000" w:themeColor="text1"/>
        </w:rPr>
        <w:t>β1FL</w:t>
      </w:r>
      <w:r w:rsidR="001C0E73" w:rsidRPr="0047203B">
        <w:rPr>
          <w:rFonts w:ascii="Arial" w:eastAsia="EB Garamond" w:hAnsi="Arial" w:cs="Arial"/>
          <w:b/>
          <w:bCs/>
          <w:color w:val="000000" w:themeColor="text1"/>
        </w:rPr>
        <w:t xml:space="preserve"> + β 2In + β 3</w:t>
      </w:r>
      <w:r w:rsidR="004478C3" w:rsidRPr="0047203B">
        <w:rPr>
          <w:rFonts w:ascii="Arial" w:eastAsia="EB Garamond" w:hAnsi="Arial" w:cs="Arial"/>
          <w:b/>
          <w:bCs/>
          <w:color w:val="000000" w:themeColor="text1"/>
        </w:rPr>
        <w:t>S</w:t>
      </w:r>
      <w:r w:rsidR="001C0E73" w:rsidRPr="0047203B">
        <w:rPr>
          <w:rFonts w:ascii="Arial" w:eastAsia="EB Garamond" w:hAnsi="Arial" w:cs="Arial"/>
          <w:b/>
          <w:bCs/>
          <w:color w:val="000000" w:themeColor="text1"/>
        </w:rPr>
        <w:t>e + β 4</w:t>
      </w:r>
      <w:r w:rsidR="00393F47" w:rsidRPr="0047203B">
        <w:rPr>
          <w:rFonts w:ascii="Arial" w:eastAsia="EB Garamond" w:hAnsi="Arial" w:cs="Arial"/>
          <w:b/>
          <w:bCs/>
          <w:color w:val="000000" w:themeColor="text1"/>
        </w:rPr>
        <w:t xml:space="preserve">UE </w:t>
      </w:r>
      <w:r w:rsidR="001C0E73" w:rsidRPr="0047203B">
        <w:rPr>
          <w:rFonts w:ascii="Arial" w:eastAsia="EB Garamond" w:hAnsi="Arial" w:cs="Arial"/>
          <w:b/>
          <w:bCs/>
          <w:color w:val="000000" w:themeColor="text1"/>
        </w:rPr>
        <w:t>+ β 5</w:t>
      </w:r>
      <w:r w:rsidR="00232BA7" w:rsidRPr="0047203B">
        <w:rPr>
          <w:rFonts w:ascii="Arial" w:eastAsia="EB Garamond" w:hAnsi="Arial" w:cs="Arial"/>
          <w:b/>
          <w:bCs/>
          <w:color w:val="000000" w:themeColor="text1"/>
        </w:rPr>
        <w:t>AB</w:t>
      </w:r>
      <w:r w:rsidR="001C0E73" w:rsidRPr="0047203B">
        <w:rPr>
          <w:rFonts w:ascii="Arial" w:eastAsia="EB Garamond" w:hAnsi="Arial" w:cs="Arial"/>
          <w:b/>
          <w:bCs/>
          <w:color w:val="000000" w:themeColor="text1"/>
        </w:rPr>
        <w:t xml:space="preserve"> + Ԑ</w:t>
      </w:r>
    </w:p>
    <w:p w14:paraId="3F35AB71" w14:textId="1A752CD9" w:rsidR="007F3CA9" w:rsidRPr="0047203B" w:rsidRDefault="00D91EAA"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lastRenderedPageBreak/>
        <w:t>With description:</w:t>
      </w:r>
    </w:p>
    <w:p w14:paraId="2BEB1120" w14:textId="25F39EF4" w:rsidR="004309B0" w:rsidRPr="0047203B" w:rsidRDefault="002C3F8F"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IUE</w:t>
      </w:r>
      <w:r w:rsidR="004309B0" w:rsidRPr="0047203B">
        <w:rPr>
          <w:rFonts w:ascii="Arial" w:eastAsia="EB Garamond" w:hAnsi="Arial" w:cs="Arial"/>
          <w:color w:val="000000" w:themeColor="text1"/>
        </w:rPr>
        <w:t xml:space="preserve"> is interested in using e-banking</w:t>
      </w:r>
    </w:p>
    <w:p w14:paraId="421DB3B1" w14:textId="1A1154EC" w:rsidR="004309B0" w:rsidRPr="0047203B" w:rsidRDefault="00EC77DD"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α</w:t>
      </w:r>
      <w:r w:rsidR="004309B0" w:rsidRPr="0047203B">
        <w:rPr>
          <w:rFonts w:ascii="Arial" w:eastAsia="EB Garamond" w:hAnsi="Arial" w:cs="Arial"/>
          <w:color w:val="000000" w:themeColor="text1"/>
        </w:rPr>
        <w:t xml:space="preserve"> is a constant</w:t>
      </w:r>
    </w:p>
    <w:p w14:paraId="482A33B0" w14:textId="00ECE4D8" w:rsidR="004309B0" w:rsidRPr="0047203B" w:rsidRDefault="00EC77DD"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FL</w:t>
      </w:r>
      <w:r w:rsidR="004309B0" w:rsidRPr="0047203B">
        <w:rPr>
          <w:rFonts w:ascii="Arial" w:eastAsia="EB Garamond" w:hAnsi="Arial" w:cs="Arial"/>
          <w:color w:val="000000" w:themeColor="text1"/>
        </w:rPr>
        <w:t xml:space="preserve"> is a financial literacy variable</w:t>
      </w:r>
    </w:p>
    <w:p w14:paraId="40EB5A9D" w14:textId="47F61568" w:rsidR="00BE1316" w:rsidRPr="0047203B" w:rsidRDefault="00BE1316"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In is an infrastructure variable</w:t>
      </w:r>
    </w:p>
    <w:p w14:paraId="3AD0305A" w14:textId="28255AE3" w:rsidR="00BE1316" w:rsidRPr="0047203B" w:rsidRDefault="00F02534"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Se</w:t>
      </w:r>
      <w:r w:rsidR="00BE1316" w:rsidRPr="0047203B">
        <w:rPr>
          <w:rFonts w:ascii="Arial" w:eastAsia="EB Garamond" w:hAnsi="Arial" w:cs="Arial"/>
          <w:color w:val="000000" w:themeColor="text1"/>
        </w:rPr>
        <w:t xml:space="preserve"> is a security variable</w:t>
      </w:r>
    </w:p>
    <w:p w14:paraId="0F2B12A0" w14:textId="1D8647DE" w:rsidR="00BE1316" w:rsidRPr="0047203B" w:rsidRDefault="00F02534"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UE</w:t>
      </w:r>
      <w:r w:rsidR="00BE1316" w:rsidRPr="0047203B">
        <w:rPr>
          <w:rFonts w:ascii="Arial" w:eastAsia="EB Garamond" w:hAnsi="Arial" w:cs="Arial"/>
          <w:color w:val="000000" w:themeColor="text1"/>
        </w:rPr>
        <w:t xml:space="preserve"> is a user experience variable</w:t>
      </w:r>
    </w:p>
    <w:p w14:paraId="0A7C94ED" w14:textId="44D49571" w:rsidR="00BE1316" w:rsidRPr="0047203B" w:rsidRDefault="00AD2C35"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AB</w:t>
      </w:r>
      <w:r w:rsidR="00BE1316" w:rsidRPr="0047203B">
        <w:rPr>
          <w:rFonts w:ascii="Arial" w:eastAsia="EB Garamond" w:hAnsi="Arial" w:cs="Arial"/>
          <w:color w:val="000000" w:themeColor="text1"/>
        </w:rPr>
        <w:t xml:space="preserve"> is a variable of profit and benefit</w:t>
      </w:r>
    </w:p>
    <w:p w14:paraId="440D88C4" w14:textId="710823D7" w:rsidR="00BE1316" w:rsidRPr="0047203B" w:rsidRDefault="007F0A16"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β1, 2, 3, .5</w:t>
      </w:r>
      <w:r w:rsidR="00BE1316" w:rsidRPr="0047203B">
        <w:rPr>
          <w:rFonts w:ascii="Arial" w:eastAsia="EB Garamond" w:hAnsi="Arial" w:cs="Arial"/>
          <w:color w:val="000000" w:themeColor="text1"/>
        </w:rPr>
        <w:t xml:space="preserve"> are the regression coefficients.</w:t>
      </w:r>
    </w:p>
    <w:p w14:paraId="1093FA8E" w14:textId="722BEFF9" w:rsidR="00BE1316" w:rsidRPr="0047203B" w:rsidRDefault="0030696B"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t xml:space="preserve"> Ԑ</w:t>
      </w:r>
      <w:r w:rsidR="007B6FFC">
        <w:rPr>
          <w:rFonts w:ascii="Arial" w:eastAsia="EB Garamond" w:hAnsi="Arial" w:cs="Arial"/>
          <w:color w:val="000000" w:themeColor="text1"/>
        </w:rPr>
        <w:t xml:space="preserve"> is the error term</w:t>
      </w:r>
    </w:p>
    <w:p w14:paraId="2822C74E" w14:textId="24D034D7" w:rsidR="008C2CA2" w:rsidRPr="0047203B" w:rsidRDefault="00A74A29"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From the discussion above, the conceptual framework of the research can be structured as follows</w:t>
      </w:r>
      <w:r w:rsidR="008C2CA2" w:rsidRPr="0047203B">
        <w:rPr>
          <w:rFonts w:ascii="Arial" w:eastAsia="EB Garamond" w:hAnsi="Arial" w:cs="Arial"/>
          <w:color w:val="000000" w:themeColor="text1"/>
        </w:rPr>
        <w:t>.</w:t>
      </w:r>
    </w:p>
    <w:p w14:paraId="4717B6B4" w14:textId="77777777" w:rsidR="007B6FFC" w:rsidRDefault="007B6FFC"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7B6FFC" w:rsidSect="007B6FFC">
          <w:type w:val="continuous"/>
          <w:pgSz w:w="11906" w:h="16838"/>
          <w:pgMar w:top="1440" w:right="1440" w:bottom="1440" w:left="1440" w:header="397" w:footer="708" w:gutter="0"/>
          <w:cols w:num="2" w:space="720"/>
        </w:sectPr>
      </w:pPr>
    </w:p>
    <w:p w14:paraId="3951D436" w14:textId="7EA62649" w:rsidR="000B4714" w:rsidRPr="0047203B" w:rsidRDefault="000B4714"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Times New Roman" w:hAnsi="Arial" w:cs="Arial"/>
          <w:noProof/>
          <w:color w:val="000000" w:themeColor="text1"/>
          <w:lang w:eastAsia="en-US"/>
        </w:rPr>
        <w:lastRenderedPageBreak/>
        <mc:AlternateContent>
          <mc:Choice Requires="wps">
            <w:drawing>
              <wp:anchor distT="0" distB="0" distL="114300" distR="114300" simplePos="0" relativeHeight="251664384" behindDoc="0" locked="0" layoutInCell="1" allowOverlap="1" wp14:anchorId="33372144" wp14:editId="135DC8D3">
                <wp:simplePos x="0" y="0"/>
                <wp:positionH relativeFrom="column">
                  <wp:posOffset>47625</wp:posOffset>
                </wp:positionH>
                <wp:positionV relativeFrom="paragraph">
                  <wp:posOffset>136525</wp:posOffset>
                </wp:positionV>
                <wp:extent cx="1400810" cy="596900"/>
                <wp:effectExtent l="0" t="0" r="27940" b="12700"/>
                <wp:wrapNone/>
                <wp:docPr id="1844370641" name="Oval 2"/>
                <wp:cNvGraphicFramePr/>
                <a:graphic xmlns:a="http://schemas.openxmlformats.org/drawingml/2006/main">
                  <a:graphicData uri="http://schemas.microsoft.com/office/word/2010/wordprocessingShape">
                    <wps:wsp>
                      <wps:cNvSpPr/>
                      <wps:spPr>
                        <a:xfrm>
                          <a:off x="0" y="0"/>
                          <a:ext cx="1400810" cy="59690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62426B11" w14:textId="278F4607" w:rsidR="00744D05" w:rsidRPr="008C2CA2" w:rsidRDefault="00744D05" w:rsidP="0037610E">
                            <w:pPr>
                              <w:jc w:val="center"/>
                              <w:rPr>
                                <w:rFonts w:asciiTheme="minorHAnsi" w:hAnsiTheme="minorHAnsi" w:cstheme="minorHAnsi"/>
                                <w:sz w:val="20"/>
                                <w:szCs w:val="20"/>
                              </w:rPr>
                            </w:pPr>
                            <w:r w:rsidRPr="00C02E41">
                              <w:rPr>
                                <w:rFonts w:asciiTheme="minorHAnsi" w:hAnsiTheme="minorHAnsi" w:cstheme="minorHAnsi"/>
                                <w:sz w:val="18"/>
                                <w:szCs w:val="18"/>
                              </w:rPr>
                              <w:t>Financial Literacy(X1</w:t>
                            </w:r>
                            <w:r w:rsidRPr="008C2CA2">
                              <w:rPr>
                                <w:rFonts w:asciiTheme="minorHAnsi" w:hAnsiTheme="minorHAnsi" w:cstheme="minorHAnsi"/>
                                <w:sz w:val="20"/>
                                <w:szCs w:val="20"/>
                              </w:rPr>
                              <w:t>)</w:t>
                            </w:r>
                          </w:p>
                          <w:p w14:paraId="29126862" w14:textId="77777777" w:rsidR="00744D05" w:rsidRDefault="00744D05" w:rsidP="0037610E">
                            <w:pPr>
                              <w:jc w:val="center"/>
                            </w:pPr>
                            <w:r>
                              <w:t>Keuangan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left:0;text-align:left;margin-left:3.75pt;margin-top:10.75pt;width:110.3pt;height: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" fillcolor="white [3201]" strokecolor="black [3200]" strokeweight="1.5pt">
                <v:stroke joinstyle="miter"/>
                <v:textbox>
                  <w:txbxContent>
                    <w:p w14:paraId="62426B11" w14:textId="278F4607" w:rsidR="00744D05" w:rsidRPr="008C2CA2" w:rsidRDefault="00744D05" w:rsidP="0037610E">
                      <w:pPr>
                        <w:jc w:val="center"/>
                        <w:rPr>
                          <w:rFonts w:asciiTheme="minorHAnsi" w:hAnsiTheme="minorHAnsi" w:cstheme="minorHAnsi"/>
                          <w:sz w:val="20"/>
                          <w:szCs w:val="20"/>
                        </w:rPr>
                      </w:pPr>
                      <w:r w:rsidRPr="00C02E41">
                        <w:rPr>
                          <w:rFonts w:asciiTheme="minorHAnsi" w:hAnsiTheme="minorHAnsi" w:cstheme="minorHAnsi"/>
                          <w:sz w:val="18"/>
                          <w:szCs w:val="18"/>
                        </w:rPr>
                        <w:t>Financial Literacy(X1</w:t>
                      </w:r>
                      <w:r w:rsidRPr="008C2CA2">
                        <w:rPr>
                          <w:rFonts w:asciiTheme="minorHAnsi" w:hAnsiTheme="minorHAnsi" w:cstheme="minorHAnsi"/>
                          <w:sz w:val="20"/>
                          <w:szCs w:val="20"/>
                        </w:rPr>
                        <w:t>)</w:t>
                      </w:r>
                    </w:p>
                    <w:p w14:paraId="29126862" w14:textId="77777777" w:rsidR="00744D05" w:rsidRDefault="00744D05" w:rsidP="0037610E">
                      <w:pPr>
                        <w:jc w:val="center"/>
                      </w:pPr>
                      <w:r>
                        <w:t>Keuangan</w:t>
                      </w:r>
                    </w:p>
                  </w:txbxContent>
                </v:textbox>
              </v:oval>
            </w:pict>
          </mc:Fallback>
        </mc:AlternateContent>
      </w:r>
    </w:p>
    <w:p w14:paraId="2F454D5A" w14:textId="16E5BB42" w:rsidR="0037610E" w:rsidRPr="0047203B" w:rsidRDefault="0037610E" w:rsidP="005C23AF">
      <w:pPr>
        <w:spacing w:line="240" w:lineRule="auto"/>
        <w:ind w:firstLine="567"/>
        <w:contextualSpacing/>
        <w:rPr>
          <w:rFonts w:ascii="Arial" w:eastAsia="Times New Roman" w:hAnsi="Arial" w:cs="Arial"/>
          <w:b/>
          <w:color w:val="000000" w:themeColor="text1"/>
        </w:rPr>
      </w:pPr>
    </w:p>
    <w:p w14:paraId="10B53949" w14:textId="072D8129" w:rsidR="0037610E" w:rsidRPr="0047203B" w:rsidRDefault="008C2CA2" w:rsidP="005C23AF">
      <w:pPr>
        <w:spacing w:line="240" w:lineRule="auto"/>
        <w:ind w:firstLine="567"/>
        <w:jc w:val="both"/>
        <w:rPr>
          <w:rFonts w:ascii="Arial" w:eastAsia="Times New Roman" w:hAnsi="Arial" w:cs="Arial"/>
          <w:color w:val="000000" w:themeColor="text1"/>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68480" behindDoc="0" locked="0" layoutInCell="1" allowOverlap="1" wp14:anchorId="65D05A9B" wp14:editId="36C9AD5E">
                <wp:simplePos x="0" y="0"/>
                <wp:positionH relativeFrom="column">
                  <wp:posOffset>1449421</wp:posOffset>
                </wp:positionH>
                <wp:positionV relativeFrom="paragraph">
                  <wp:posOffset>138754</wp:posOffset>
                </wp:positionV>
                <wp:extent cx="1750466" cy="1096010"/>
                <wp:effectExtent l="0" t="0" r="78740" b="66040"/>
                <wp:wrapNone/>
                <wp:docPr id="1915288801" name="Konektor Panah Lurus 1"/>
                <wp:cNvGraphicFramePr/>
                <a:graphic xmlns:a="http://schemas.openxmlformats.org/drawingml/2006/main">
                  <a:graphicData uri="http://schemas.microsoft.com/office/word/2010/wordprocessingShape">
                    <wps:wsp>
                      <wps:cNvCnPr/>
                      <wps:spPr>
                        <a:xfrm>
                          <a:off x="0" y="0"/>
                          <a:ext cx="1750466" cy="1096010"/>
                        </a:xfrm>
                        <a:prstGeom prst="straightConnector1">
                          <a:avLst/>
                        </a:prstGeom>
                        <a:ln w="190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Konektor Panah Lurus 1" o:spid="_x0000_s1026" type="#_x0000_t32" style="position:absolute;margin-left:114.15pt;margin-top:10.95pt;width:137.85pt;height:8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" strokecolor="black [3200]" strokeweight="1.5pt">
                <v:stroke endarrow="block" joinstyle="miter"/>
              </v:shape>
            </w:pict>
          </mc:Fallback>
        </mc:AlternateContent>
      </w:r>
    </w:p>
    <w:p w14:paraId="136352DB" w14:textId="42D8832F" w:rsidR="0037610E" w:rsidRPr="0047203B" w:rsidRDefault="0037610E" w:rsidP="005C23AF">
      <w:pPr>
        <w:spacing w:line="240" w:lineRule="auto"/>
        <w:ind w:firstLine="567"/>
        <w:jc w:val="both"/>
        <w:rPr>
          <w:rFonts w:ascii="Arial" w:eastAsia="Times New Roman" w:hAnsi="Arial" w:cs="Arial"/>
          <w:color w:val="000000" w:themeColor="text1"/>
          <w:highlight w:val="yellow"/>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4624" behindDoc="0" locked="0" layoutInCell="1" allowOverlap="1" wp14:anchorId="3FF41A83" wp14:editId="12A9FA3F">
                <wp:simplePos x="0" y="0"/>
                <wp:positionH relativeFrom="column">
                  <wp:posOffset>2101850</wp:posOffset>
                </wp:positionH>
                <wp:positionV relativeFrom="paragraph">
                  <wp:posOffset>279400</wp:posOffset>
                </wp:positionV>
                <wp:extent cx="417830" cy="274955"/>
                <wp:effectExtent l="0" t="38100" r="0" b="48895"/>
                <wp:wrapNone/>
                <wp:docPr id="678129029" name="Kotak Teks 2"/>
                <wp:cNvGraphicFramePr/>
                <a:graphic xmlns:a="http://schemas.openxmlformats.org/drawingml/2006/main">
                  <a:graphicData uri="http://schemas.microsoft.com/office/word/2010/wordprocessingShape">
                    <wps:wsp>
                      <wps:cNvSpPr txBox="1"/>
                      <wps:spPr>
                        <a:xfrm rot="1810780">
                          <a:off x="0" y="0"/>
                          <a:ext cx="417830" cy="274955"/>
                        </a:xfrm>
                        <a:prstGeom prst="rect">
                          <a:avLst/>
                        </a:prstGeom>
                        <a:noFill/>
                        <a:ln w="6350">
                          <a:noFill/>
                        </a:ln>
                      </wps:spPr>
                      <wps:txbx>
                        <w:txbxContent>
                          <w:p w14:paraId="75EFED68" w14:textId="77777777" w:rsidR="00744D05" w:rsidRPr="006916B0" w:rsidRDefault="00744D05" w:rsidP="0037610E">
                            <w:pPr>
                              <w:jc w:val="center"/>
                              <w:rPr>
                                <w:rFonts w:ascii="Times New Roman" w:hAnsi="Times New Roman" w:cs="Times New Roman"/>
                                <w:sz w:val="24"/>
                                <w:szCs w:val="24"/>
                              </w:rPr>
                            </w:pPr>
                            <w:r w:rsidRPr="00D15568">
                              <w:rPr>
                                <w:rFonts w:ascii="Times New Roman" w:hAnsi="Times New Roman" w:cs="Times New Roman"/>
                                <w:sz w:val="20"/>
                                <w:szCs w:val="20"/>
                              </w:rPr>
                              <w:t>H1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tak Teks 2" o:spid="_x0000_s1027" type="#_x0000_t202" style="position:absolute;left:0;text-align:left;margin-left:165.5pt;margin-top:22pt;width:32.9pt;height:21.65pt;rotation:197785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" filled="f" stroked="f" strokeweight=".5pt">
                <v:textbox>
                  <w:txbxContent>
                    <w:p w14:paraId="75EFED68" w14:textId="77777777" w:rsidR="00744D05" w:rsidRPr="006916B0" w:rsidRDefault="00744D05" w:rsidP="0037610E">
                      <w:pPr>
                        <w:jc w:val="center"/>
                        <w:rPr>
                          <w:rFonts w:ascii="Times New Roman" w:hAnsi="Times New Roman" w:cs="Times New Roman"/>
                          <w:sz w:val="24"/>
                          <w:szCs w:val="24"/>
                        </w:rPr>
                      </w:pPr>
                      <w:r w:rsidRPr="00D15568">
                        <w:rPr>
                          <w:rFonts w:ascii="Times New Roman" w:hAnsi="Times New Roman" w:cs="Times New Roman"/>
                          <w:sz w:val="20"/>
                          <w:szCs w:val="20"/>
                        </w:rPr>
                        <w:t>H1</w:t>
                      </w:r>
                    </w:p>
                  </w:txbxContent>
                </v:textbox>
              </v:shape>
            </w:pict>
          </mc:Fallback>
        </mc:AlternateContent>
      </w: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63360" behindDoc="0" locked="0" layoutInCell="1" allowOverlap="1" wp14:anchorId="1DF1F085" wp14:editId="2D0A7E82">
                <wp:simplePos x="0" y="0"/>
                <wp:positionH relativeFrom="column">
                  <wp:posOffset>12700</wp:posOffset>
                </wp:positionH>
                <wp:positionV relativeFrom="paragraph">
                  <wp:posOffset>299085</wp:posOffset>
                </wp:positionV>
                <wp:extent cx="1579880" cy="546100"/>
                <wp:effectExtent l="0" t="0" r="20320" b="25400"/>
                <wp:wrapNone/>
                <wp:docPr id="574223080" name="Oval 2"/>
                <wp:cNvGraphicFramePr/>
                <a:graphic xmlns:a="http://schemas.openxmlformats.org/drawingml/2006/main">
                  <a:graphicData uri="http://schemas.microsoft.com/office/word/2010/wordprocessingShape">
                    <wps:wsp>
                      <wps:cNvSpPr/>
                      <wps:spPr>
                        <a:xfrm>
                          <a:off x="0" y="0"/>
                          <a:ext cx="1579880" cy="54610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3D105921" w14:textId="6CC13FD9" w:rsidR="00744D05" w:rsidRPr="00C02E41" w:rsidRDefault="00744D05" w:rsidP="0037610E">
                            <w:pPr>
                              <w:jc w:val="center"/>
                              <w:rPr>
                                <w:rFonts w:asciiTheme="minorHAnsi" w:hAnsiTheme="minorHAnsi" w:cstheme="minorHAnsi"/>
                                <w:sz w:val="18"/>
                                <w:szCs w:val="18"/>
                              </w:rPr>
                            </w:pPr>
                            <w:r w:rsidRPr="00C02E41">
                              <w:rPr>
                                <w:rFonts w:asciiTheme="minorHAnsi" w:hAnsiTheme="minorHAnsi" w:cstheme="minorHAnsi"/>
                                <w:sz w:val="18"/>
                                <w:szCs w:val="18"/>
                              </w:rPr>
                              <w:t>Infrastructure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28" style="position:absolute;left:0;text-align:left;margin-left:1pt;margin-top:23.55pt;width:124.4pt;height: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" fillcolor="white [3201]" strokecolor="black [3200]" strokeweight="1.5pt">
                <v:stroke joinstyle="miter"/>
                <v:textbox>
                  <w:txbxContent>
                    <w:p w14:paraId="3D105921" w14:textId="6CC13FD9" w:rsidR="00744D05" w:rsidRPr="00C02E41" w:rsidRDefault="00744D05" w:rsidP="0037610E">
                      <w:pPr>
                        <w:jc w:val="center"/>
                        <w:rPr>
                          <w:rFonts w:asciiTheme="minorHAnsi" w:hAnsiTheme="minorHAnsi" w:cstheme="minorHAnsi"/>
                          <w:sz w:val="18"/>
                          <w:szCs w:val="18"/>
                        </w:rPr>
                      </w:pPr>
                      <w:r w:rsidRPr="00C02E41">
                        <w:rPr>
                          <w:rFonts w:asciiTheme="minorHAnsi" w:hAnsiTheme="minorHAnsi" w:cstheme="minorHAnsi"/>
                          <w:sz w:val="18"/>
                          <w:szCs w:val="18"/>
                        </w:rPr>
                        <w:t>Infrastructure (X2)</w:t>
                      </w:r>
                    </w:p>
                  </w:txbxContent>
                </v:textbox>
              </v:oval>
            </w:pict>
          </mc:Fallback>
        </mc:AlternateContent>
      </w:r>
    </w:p>
    <w:p w14:paraId="55CFC282" w14:textId="77777777" w:rsidR="008C2CA2" w:rsidRPr="0047203B" w:rsidRDefault="008C2CA2" w:rsidP="005C23AF">
      <w:pPr>
        <w:spacing w:line="240" w:lineRule="auto"/>
        <w:ind w:firstLine="567"/>
        <w:jc w:val="both"/>
        <w:rPr>
          <w:rFonts w:ascii="Arial" w:eastAsia="Times New Roman" w:hAnsi="Arial" w:cs="Arial"/>
          <w:color w:val="000000" w:themeColor="text1"/>
        </w:rPr>
      </w:pPr>
    </w:p>
    <w:p w14:paraId="646E4AE9" w14:textId="194BBC7F" w:rsidR="0037610E" w:rsidRPr="0047203B" w:rsidRDefault="008C2CA2" w:rsidP="005C23AF">
      <w:pPr>
        <w:spacing w:line="240" w:lineRule="auto"/>
        <w:ind w:firstLine="567"/>
        <w:jc w:val="both"/>
        <w:rPr>
          <w:rFonts w:ascii="Arial" w:eastAsia="Times New Roman" w:hAnsi="Arial" w:cs="Arial"/>
          <w:color w:val="000000" w:themeColor="text1"/>
          <w:highlight w:val="yellow"/>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1552" behindDoc="0" locked="0" layoutInCell="1" allowOverlap="1" wp14:anchorId="1A1C3CD9" wp14:editId="50499245">
                <wp:simplePos x="0" y="0"/>
                <wp:positionH relativeFrom="column">
                  <wp:posOffset>1585609</wp:posOffset>
                </wp:positionH>
                <wp:positionV relativeFrom="paragraph">
                  <wp:posOffset>106153</wp:posOffset>
                </wp:positionV>
                <wp:extent cx="1601145" cy="488432"/>
                <wp:effectExtent l="0" t="0" r="94615" b="64135"/>
                <wp:wrapNone/>
                <wp:docPr id="123466401" name="Konektor Panah Lurus 1"/>
                <wp:cNvGraphicFramePr/>
                <a:graphic xmlns:a="http://schemas.openxmlformats.org/drawingml/2006/main">
                  <a:graphicData uri="http://schemas.microsoft.com/office/word/2010/wordprocessingShape">
                    <wps:wsp>
                      <wps:cNvCnPr/>
                      <wps:spPr>
                        <a:xfrm>
                          <a:off x="0" y="0"/>
                          <a:ext cx="1601145" cy="488432"/>
                        </a:xfrm>
                        <a:prstGeom prst="straightConnector1">
                          <a:avLst/>
                        </a:prstGeom>
                        <a:ln w="190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id="Konektor Panah Lurus 1" o:spid="_x0000_s1026" type="#_x0000_t32" style="position:absolute;margin-left:124.85pt;margin-top:8.35pt;width:126.05pt;height:3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" strokecolor="black [3200]" strokeweight="1.5pt">
                <v:stroke endarrow="block" joinstyle="miter"/>
              </v:shape>
            </w:pict>
          </mc:Fallback>
        </mc:AlternateContent>
      </w:r>
      <w:r w:rsidR="0037610E"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6672" behindDoc="0" locked="0" layoutInCell="1" allowOverlap="1" wp14:anchorId="02A0616D" wp14:editId="098B0B23">
                <wp:simplePos x="0" y="0"/>
                <wp:positionH relativeFrom="column">
                  <wp:posOffset>2032000</wp:posOffset>
                </wp:positionH>
                <wp:positionV relativeFrom="paragraph">
                  <wp:posOffset>244475</wp:posOffset>
                </wp:positionV>
                <wp:extent cx="381635" cy="299720"/>
                <wp:effectExtent l="0" t="19050" r="0" b="24130"/>
                <wp:wrapNone/>
                <wp:docPr id="646440347" name="Kotak Teks 2"/>
                <wp:cNvGraphicFramePr/>
                <a:graphic xmlns:a="http://schemas.openxmlformats.org/drawingml/2006/main">
                  <a:graphicData uri="http://schemas.microsoft.com/office/word/2010/wordprocessingShape">
                    <wps:wsp>
                      <wps:cNvSpPr txBox="1"/>
                      <wps:spPr>
                        <a:xfrm rot="1102828">
                          <a:off x="0" y="0"/>
                          <a:ext cx="381635" cy="299720"/>
                        </a:xfrm>
                        <a:prstGeom prst="rect">
                          <a:avLst/>
                        </a:prstGeom>
                        <a:noFill/>
                        <a:ln w="6350">
                          <a:noFill/>
                        </a:ln>
                      </wps:spPr>
                      <wps:txbx>
                        <w:txbxContent>
                          <w:p w14:paraId="00054E8B" w14:textId="77777777" w:rsidR="00744D05" w:rsidRPr="00D15568" w:rsidRDefault="00744D05" w:rsidP="0037610E">
                            <w:pPr>
                              <w:rPr>
                                <w:rFonts w:ascii="Times New Roman" w:hAnsi="Times New Roman" w:cs="Times New Roman"/>
                                <w:sz w:val="20"/>
                                <w:szCs w:val="20"/>
                              </w:rPr>
                            </w:pPr>
                            <w:r w:rsidRPr="00D15568">
                              <w:rPr>
                                <w:rFonts w:ascii="Times New Roman" w:hAnsi="Times New Roman" w:cs="Times New Roman"/>
                                <w:sz w:val="20"/>
                                <w:szCs w:val="20"/>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0pt;margin-top:19.25pt;width:30.05pt;height:23.6pt;rotation:1204582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" filled="f" stroked="f" strokeweight=".5pt">
                <v:textbox>
                  <w:txbxContent>
                    <w:p w14:paraId="00054E8B" w14:textId="77777777" w:rsidR="00744D05" w:rsidRPr="00D15568" w:rsidRDefault="00744D05" w:rsidP="0037610E">
                      <w:pPr>
                        <w:rPr>
                          <w:rFonts w:ascii="Times New Roman" w:hAnsi="Times New Roman" w:cs="Times New Roman"/>
                          <w:sz w:val="20"/>
                          <w:szCs w:val="20"/>
                        </w:rPr>
                      </w:pPr>
                      <w:r w:rsidRPr="00D15568">
                        <w:rPr>
                          <w:rFonts w:ascii="Times New Roman" w:hAnsi="Times New Roman" w:cs="Times New Roman"/>
                          <w:sz w:val="20"/>
                          <w:szCs w:val="20"/>
                        </w:rPr>
                        <w:t>H2</w:t>
                      </w:r>
                    </w:p>
                  </w:txbxContent>
                </v:textbox>
              </v:shape>
            </w:pict>
          </mc:Fallback>
        </mc:AlternateContent>
      </w:r>
    </w:p>
    <w:p w14:paraId="763CC50D" w14:textId="77777777" w:rsidR="0037610E" w:rsidRPr="0047203B" w:rsidRDefault="0037610E" w:rsidP="005C23AF">
      <w:pPr>
        <w:spacing w:line="240" w:lineRule="auto"/>
        <w:ind w:firstLine="567"/>
        <w:jc w:val="both"/>
        <w:rPr>
          <w:rFonts w:ascii="Arial" w:eastAsia="Times New Roman" w:hAnsi="Arial" w:cs="Arial"/>
          <w:color w:val="000000" w:themeColor="text1"/>
          <w:highlight w:val="yellow"/>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66432" behindDoc="0" locked="0" layoutInCell="1" allowOverlap="1" wp14:anchorId="4E109394" wp14:editId="57CEECB2">
                <wp:simplePos x="0" y="0"/>
                <wp:positionH relativeFrom="column">
                  <wp:posOffset>3200538</wp:posOffset>
                </wp:positionH>
                <wp:positionV relativeFrom="paragraph">
                  <wp:posOffset>87272</wp:posOffset>
                </wp:positionV>
                <wp:extent cx="1792605" cy="649605"/>
                <wp:effectExtent l="0" t="0" r="17145" b="17145"/>
                <wp:wrapNone/>
                <wp:docPr id="282280200" name="Oval 2"/>
                <wp:cNvGraphicFramePr/>
                <a:graphic xmlns:a="http://schemas.openxmlformats.org/drawingml/2006/main">
                  <a:graphicData uri="http://schemas.microsoft.com/office/word/2010/wordprocessingShape">
                    <wps:wsp>
                      <wps:cNvSpPr/>
                      <wps:spPr>
                        <a:xfrm>
                          <a:off x="0" y="0"/>
                          <a:ext cx="1792605" cy="649605"/>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126F3C85" w14:textId="51B45E79" w:rsidR="00744D05" w:rsidRPr="00C02E41" w:rsidRDefault="00744D05" w:rsidP="0037610E">
                            <w:pPr>
                              <w:jc w:val="center"/>
                              <w:rPr>
                                <w:sz w:val="18"/>
                                <w:szCs w:val="18"/>
                              </w:rPr>
                            </w:pPr>
                            <w:r w:rsidRPr="00C02E41">
                              <w:rPr>
                                <w:sz w:val="18"/>
                                <w:szCs w:val="18"/>
                              </w:rPr>
                              <w:t>Interest in Using E-Banking(Y)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30" style="position:absolute;left:0;text-align:left;margin-left:252pt;margin-top:6.85pt;width:141.15pt;height:5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" fillcolor="white [3201]" strokecolor="black [3200]" strokeweight="1.5pt">
                <v:stroke joinstyle="miter"/>
                <v:textbox>
                  <w:txbxContent>
                    <w:p w14:paraId="126F3C85" w14:textId="51B45E79" w:rsidR="00744D05" w:rsidRPr="00C02E41" w:rsidRDefault="00744D05" w:rsidP="0037610E">
                      <w:pPr>
                        <w:jc w:val="center"/>
                        <w:rPr>
                          <w:sz w:val="18"/>
                          <w:szCs w:val="18"/>
                        </w:rPr>
                      </w:pPr>
                      <w:r w:rsidRPr="00C02E41">
                        <w:rPr>
                          <w:sz w:val="18"/>
                          <w:szCs w:val="18"/>
                        </w:rPr>
                        <w:t>Interest in Using E-Banking(Y)</w:t>
                      </w:r>
                    </w:p>
                  </w:txbxContent>
                </v:textbox>
              </v:oval>
            </w:pict>
          </mc:Fallback>
        </mc:AlternateContent>
      </w: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65408" behindDoc="0" locked="0" layoutInCell="1" allowOverlap="1" wp14:anchorId="5CA056EE" wp14:editId="5349C9CF">
                <wp:simplePos x="0" y="0"/>
                <wp:positionH relativeFrom="column">
                  <wp:posOffset>9525</wp:posOffset>
                </wp:positionH>
                <wp:positionV relativeFrom="paragraph">
                  <wp:posOffset>248285</wp:posOffset>
                </wp:positionV>
                <wp:extent cx="1460500" cy="556260"/>
                <wp:effectExtent l="0" t="0" r="25400" b="15240"/>
                <wp:wrapNone/>
                <wp:docPr id="869515963" name="Oval 2"/>
                <wp:cNvGraphicFramePr/>
                <a:graphic xmlns:a="http://schemas.openxmlformats.org/drawingml/2006/main">
                  <a:graphicData uri="http://schemas.microsoft.com/office/word/2010/wordprocessingShape">
                    <wps:wsp>
                      <wps:cNvSpPr/>
                      <wps:spPr>
                        <a:xfrm>
                          <a:off x="0" y="0"/>
                          <a:ext cx="1460500" cy="55626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2BC44874" w14:textId="09AFF15D" w:rsidR="00744D05" w:rsidRPr="00C02E41" w:rsidRDefault="00744D05" w:rsidP="0037610E">
                            <w:pPr>
                              <w:jc w:val="center"/>
                              <w:rPr>
                                <w:rFonts w:asciiTheme="minorHAnsi" w:hAnsiTheme="minorHAnsi" w:cstheme="minorHAnsi"/>
                                <w:sz w:val="18"/>
                                <w:szCs w:val="18"/>
                              </w:rPr>
                            </w:pPr>
                            <w:r w:rsidRPr="00C02E41">
                              <w:rPr>
                                <w:rFonts w:asciiTheme="minorHAnsi" w:hAnsiTheme="minorHAnsi" w:cstheme="minorHAnsi"/>
                                <w:sz w:val="18"/>
                                <w:szCs w:val="18"/>
                              </w:rPr>
                              <w:t>Security(X3)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31" style="position:absolute;left:0;text-align:left;margin-left:.75pt;margin-top:19.55pt;width:115pt;height:4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" fillcolor="white [3201]" strokecolor="black [3200]" strokeweight="1.5pt">
                <v:stroke joinstyle="miter"/>
                <v:textbox>
                  <w:txbxContent>
                    <w:p w14:paraId="2BC44874" w14:textId="09AFF15D" w:rsidR="00744D05" w:rsidRPr="00C02E41" w:rsidRDefault="00744D05" w:rsidP="0037610E">
                      <w:pPr>
                        <w:jc w:val="center"/>
                        <w:rPr>
                          <w:rFonts w:asciiTheme="minorHAnsi" w:hAnsiTheme="minorHAnsi" w:cstheme="minorHAnsi"/>
                          <w:sz w:val="18"/>
                          <w:szCs w:val="18"/>
                        </w:rPr>
                      </w:pPr>
                      <w:r w:rsidRPr="00C02E41">
                        <w:rPr>
                          <w:rFonts w:asciiTheme="minorHAnsi" w:hAnsiTheme="minorHAnsi" w:cstheme="minorHAnsi"/>
                          <w:sz w:val="18"/>
                          <w:szCs w:val="18"/>
                        </w:rPr>
                        <w:t>Security(X3)</w:t>
                      </w:r>
                    </w:p>
                  </w:txbxContent>
                </v:textbox>
              </v:oval>
            </w:pict>
          </mc:Fallback>
        </mc:AlternateContent>
      </w:r>
    </w:p>
    <w:p w14:paraId="14607FF5" w14:textId="77777777" w:rsidR="0037610E" w:rsidRPr="0047203B" w:rsidRDefault="0037610E" w:rsidP="005C23AF">
      <w:pPr>
        <w:spacing w:line="240" w:lineRule="auto"/>
        <w:ind w:firstLine="567"/>
        <w:jc w:val="both"/>
        <w:rPr>
          <w:rFonts w:ascii="Arial" w:eastAsia="Times New Roman" w:hAnsi="Arial" w:cs="Arial"/>
          <w:color w:val="000000" w:themeColor="text1"/>
          <w:highlight w:val="yellow"/>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0528" behindDoc="0" locked="0" layoutInCell="1" allowOverlap="1" wp14:anchorId="74F0BBC7" wp14:editId="3FC61196">
                <wp:simplePos x="0" y="0"/>
                <wp:positionH relativeFrom="column">
                  <wp:posOffset>1480388</wp:posOffset>
                </wp:positionH>
                <wp:positionV relativeFrom="paragraph">
                  <wp:posOffset>223750</wp:posOffset>
                </wp:positionV>
                <wp:extent cx="1708704" cy="45598"/>
                <wp:effectExtent l="0" t="76200" r="6350" b="50165"/>
                <wp:wrapNone/>
                <wp:docPr id="881714534" name="Konektor Panah Lurus 1"/>
                <wp:cNvGraphicFramePr/>
                <a:graphic xmlns:a="http://schemas.openxmlformats.org/drawingml/2006/main">
                  <a:graphicData uri="http://schemas.microsoft.com/office/word/2010/wordprocessingShape">
                    <wps:wsp>
                      <wps:cNvCnPr/>
                      <wps:spPr>
                        <a:xfrm flipV="1">
                          <a:off x="0" y="0"/>
                          <a:ext cx="1708704" cy="45598"/>
                        </a:xfrm>
                        <a:prstGeom prst="straightConnector1">
                          <a:avLst/>
                        </a:prstGeom>
                        <a:ln w="190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id="Konektor Panah Lurus 1" o:spid="_x0000_s1026" type="#_x0000_t32" style="position:absolute;margin-left:116.55pt;margin-top:17.6pt;width:134.55pt;height:3.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" strokecolor="black [3200]" strokeweight="1.5pt">
                <v:stroke endarrow="block" joinstyle="miter"/>
              </v:shape>
            </w:pict>
          </mc:Fallback>
        </mc:AlternateContent>
      </w: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5648" behindDoc="0" locked="0" layoutInCell="1" allowOverlap="1" wp14:anchorId="6211D7BB" wp14:editId="618E0C3B">
                <wp:simplePos x="0" y="0"/>
                <wp:positionH relativeFrom="column">
                  <wp:posOffset>2016125</wp:posOffset>
                </wp:positionH>
                <wp:positionV relativeFrom="paragraph">
                  <wp:posOffset>4804</wp:posOffset>
                </wp:positionV>
                <wp:extent cx="388620" cy="280670"/>
                <wp:effectExtent l="0" t="0" r="0" b="5080"/>
                <wp:wrapNone/>
                <wp:docPr id="23910712" name="Kotak Teks 2"/>
                <wp:cNvGraphicFramePr/>
                <a:graphic xmlns:a="http://schemas.openxmlformats.org/drawingml/2006/main">
                  <a:graphicData uri="http://schemas.microsoft.com/office/word/2010/wordprocessingShape">
                    <wps:wsp>
                      <wps:cNvSpPr txBox="1"/>
                      <wps:spPr>
                        <a:xfrm>
                          <a:off x="0" y="0"/>
                          <a:ext cx="388620" cy="280670"/>
                        </a:xfrm>
                        <a:prstGeom prst="rect">
                          <a:avLst/>
                        </a:prstGeom>
                        <a:noFill/>
                        <a:ln w="6350">
                          <a:noFill/>
                        </a:ln>
                      </wps:spPr>
                      <wps:txbx>
                        <w:txbxContent>
                          <w:p w14:paraId="6CADCE76" w14:textId="77777777" w:rsidR="00744D05" w:rsidRPr="006916B0" w:rsidRDefault="00744D05" w:rsidP="0037610E">
                            <w:pPr>
                              <w:rPr>
                                <w:rFonts w:ascii="Times New Roman" w:hAnsi="Times New Roman" w:cs="Times New Roman"/>
                                <w:sz w:val="24"/>
                                <w:szCs w:val="24"/>
                              </w:rPr>
                            </w:pPr>
                            <w:r w:rsidRPr="00D15568">
                              <w:rPr>
                                <w:rFonts w:ascii="Times New Roman" w:hAnsi="Times New Roman" w:cs="Times New Roman"/>
                                <w:sz w:val="20"/>
                                <w:szCs w:val="20"/>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58.75pt;margin-top:.4pt;width:30.6pt;height:2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" filled="f" stroked="f" strokeweight=".5pt">
                <v:textbox>
                  <w:txbxContent>
                    <w:p w14:paraId="6CADCE76" w14:textId="77777777" w:rsidR="00744D05" w:rsidRPr="006916B0" w:rsidRDefault="00744D05" w:rsidP="0037610E">
                      <w:pPr>
                        <w:rPr>
                          <w:rFonts w:ascii="Times New Roman" w:hAnsi="Times New Roman" w:cs="Times New Roman"/>
                          <w:sz w:val="24"/>
                          <w:szCs w:val="24"/>
                        </w:rPr>
                      </w:pPr>
                      <w:r w:rsidRPr="00D15568">
                        <w:rPr>
                          <w:rFonts w:ascii="Times New Roman" w:hAnsi="Times New Roman" w:cs="Times New Roman"/>
                          <w:sz w:val="20"/>
                          <w:szCs w:val="20"/>
                        </w:rPr>
                        <w:t>H3</w:t>
                      </w:r>
                    </w:p>
                  </w:txbxContent>
                </v:textbox>
              </v:shape>
            </w:pict>
          </mc:Fallback>
        </mc:AlternateContent>
      </w:r>
    </w:p>
    <w:p w14:paraId="0E569F62" w14:textId="609EB6CA" w:rsidR="008C2CA2" w:rsidRPr="0047203B" w:rsidRDefault="00161B07" w:rsidP="005C23AF">
      <w:pPr>
        <w:tabs>
          <w:tab w:val="right" w:pos="7937"/>
        </w:tabs>
        <w:bidi/>
        <w:spacing w:line="240" w:lineRule="auto"/>
        <w:ind w:firstLine="567"/>
        <w:jc w:val="both"/>
        <w:rPr>
          <w:rFonts w:ascii="Arial" w:eastAsia="Times New Roman" w:hAnsi="Arial" w:cs="Arial"/>
          <w:color w:val="000000" w:themeColor="text1"/>
          <w:rtl/>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67456" behindDoc="0" locked="0" layoutInCell="1" allowOverlap="1" wp14:anchorId="2384D0B7" wp14:editId="3E398106">
                <wp:simplePos x="0" y="0"/>
                <wp:positionH relativeFrom="column">
                  <wp:posOffset>1303506</wp:posOffset>
                </wp:positionH>
                <wp:positionV relativeFrom="paragraph">
                  <wp:posOffset>209739</wp:posOffset>
                </wp:positionV>
                <wp:extent cx="1887288" cy="1303507"/>
                <wp:effectExtent l="0" t="38100" r="55880" b="30480"/>
                <wp:wrapNone/>
                <wp:docPr id="891200192" name="Konektor Panah Lurus 1"/>
                <wp:cNvGraphicFramePr/>
                <a:graphic xmlns:a="http://schemas.openxmlformats.org/drawingml/2006/main">
                  <a:graphicData uri="http://schemas.microsoft.com/office/word/2010/wordprocessingShape">
                    <wps:wsp>
                      <wps:cNvCnPr/>
                      <wps:spPr>
                        <a:xfrm flipV="1">
                          <a:off x="0" y="0"/>
                          <a:ext cx="1887288" cy="1303507"/>
                        </a:xfrm>
                        <a:prstGeom prst="straightConnector1">
                          <a:avLst/>
                        </a:prstGeom>
                        <a:ln w="190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id="Konektor Panah Lurus 1" o:spid="_x0000_s1026" type="#_x0000_t32" style="position:absolute;margin-left:102.65pt;margin-top:16.5pt;width:148.6pt;height:102.6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" strokecolor="black [3200]" strokeweight="1.5pt">
                <v:stroke endarrow="block" joinstyle="miter"/>
              </v:shape>
            </w:pict>
          </mc:Fallback>
        </mc:AlternateContent>
      </w: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69504" behindDoc="0" locked="0" layoutInCell="1" allowOverlap="1" wp14:anchorId="153D3CBC" wp14:editId="2CB6E30A">
                <wp:simplePos x="0" y="0"/>
                <wp:positionH relativeFrom="column">
                  <wp:posOffset>1435100</wp:posOffset>
                </wp:positionH>
                <wp:positionV relativeFrom="paragraph">
                  <wp:posOffset>106932</wp:posOffset>
                </wp:positionV>
                <wp:extent cx="1750695" cy="544195"/>
                <wp:effectExtent l="0" t="38100" r="59055" b="27305"/>
                <wp:wrapNone/>
                <wp:docPr id="1262145827" name="Konektor Panah Lurus 1"/>
                <wp:cNvGraphicFramePr/>
                <a:graphic xmlns:a="http://schemas.openxmlformats.org/drawingml/2006/main">
                  <a:graphicData uri="http://schemas.microsoft.com/office/word/2010/wordprocessingShape">
                    <wps:wsp>
                      <wps:cNvCnPr/>
                      <wps:spPr>
                        <a:xfrm flipV="1">
                          <a:off x="0" y="0"/>
                          <a:ext cx="1750695" cy="544195"/>
                        </a:xfrm>
                        <a:prstGeom prst="straightConnector1">
                          <a:avLst/>
                        </a:prstGeom>
                        <a:ln w="190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id="Konektor Panah Lurus 1" o:spid="_x0000_s1026" type="#_x0000_t32" style="position:absolute;margin-left:113pt;margin-top:8.4pt;width:137.85pt;height:42.8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" strokecolor="black [3200]" strokeweight="1.5pt">
                <v:stroke endarrow="block" joinstyle="miter"/>
              </v:shape>
            </w:pict>
          </mc:Fallback>
        </mc:AlternateContent>
      </w:r>
    </w:p>
    <w:p w14:paraId="5519939F" w14:textId="3F84B19D" w:rsidR="0037610E" w:rsidRPr="0047203B" w:rsidRDefault="00161B07" w:rsidP="005C23AF">
      <w:pPr>
        <w:tabs>
          <w:tab w:val="right" w:pos="7937"/>
        </w:tabs>
        <w:bidi/>
        <w:spacing w:line="240" w:lineRule="auto"/>
        <w:ind w:firstLine="567"/>
        <w:jc w:val="both"/>
        <w:rPr>
          <w:rFonts w:ascii="Arial" w:eastAsia="Times New Roman" w:hAnsi="Arial" w:cs="Arial"/>
          <w:color w:val="000000" w:themeColor="text1"/>
          <w:highlight w:val="yellow"/>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7696" behindDoc="0" locked="0" layoutInCell="1" allowOverlap="1" wp14:anchorId="0F9D6B83" wp14:editId="348DEA36">
                <wp:simplePos x="0" y="0"/>
                <wp:positionH relativeFrom="column">
                  <wp:posOffset>19050</wp:posOffset>
                </wp:positionH>
                <wp:positionV relativeFrom="paragraph">
                  <wp:posOffset>191770</wp:posOffset>
                </wp:positionV>
                <wp:extent cx="1517015" cy="654050"/>
                <wp:effectExtent l="0" t="0" r="26035" b="12700"/>
                <wp:wrapNone/>
                <wp:docPr id="2" name="Oval 2"/>
                <wp:cNvGraphicFramePr/>
                <a:graphic xmlns:a="http://schemas.openxmlformats.org/drawingml/2006/main">
                  <a:graphicData uri="http://schemas.microsoft.com/office/word/2010/wordprocessingShape">
                    <wps:wsp>
                      <wps:cNvSpPr/>
                      <wps:spPr>
                        <a:xfrm>
                          <a:off x="0" y="0"/>
                          <a:ext cx="1517015" cy="65405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758331A4" w14:textId="6D96CD55" w:rsidR="00744D05" w:rsidRPr="00C02E41" w:rsidRDefault="00744D05" w:rsidP="0037610E">
                            <w:pPr>
                              <w:jc w:val="center"/>
                              <w:rPr>
                                <w:sz w:val="18"/>
                                <w:szCs w:val="18"/>
                              </w:rPr>
                            </w:pPr>
                            <w:r w:rsidRPr="00C02E41">
                              <w:rPr>
                                <w:sz w:val="18"/>
                                <w:szCs w:val="18"/>
                              </w:rPr>
                              <w:t>User Experience (X4)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33" style="position:absolute;left:0;text-align:left;margin-left:1.5pt;margin-top:15.1pt;width:119.45pt;height:5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" fillcolor="white [3201]" strokecolor="black [3200]" strokeweight="1.5pt">
                <v:stroke joinstyle="miter"/>
                <v:textbox>
                  <w:txbxContent>
                    <w:p w14:paraId="758331A4" w14:textId="6D96CD55" w:rsidR="00744D05" w:rsidRPr="00C02E41" w:rsidRDefault="00744D05" w:rsidP="0037610E">
                      <w:pPr>
                        <w:jc w:val="center"/>
                        <w:rPr>
                          <w:sz w:val="18"/>
                          <w:szCs w:val="18"/>
                        </w:rPr>
                      </w:pPr>
                      <w:r w:rsidRPr="00C02E41">
                        <w:rPr>
                          <w:sz w:val="18"/>
                          <w:szCs w:val="18"/>
                        </w:rPr>
                        <w:t>User Experience (X4)</w:t>
                      </w:r>
                    </w:p>
                  </w:txbxContent>
                </v:textbox>
              </v:oval>
            </w:pict>
          </mc:Fallback>
        </mc:AlternateContent>
      </w:r>
      <w:r w:rsidR="0037610E"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2576" behindDoc="0" locked="0" layoutInCell="1" allowOverlap="1" wp14:anchorId="21781179" wp14:editId="212C286C">
                <wp:simplePos x="0" y="0"/>
                <wp:positionH relativeFrom="column">
                  <wp:posOffset>2053590</wp:posOffset>
                </wp:positionH>
                <wp:positionV relativeFrom="paragraph">
                  <wp:posOffset>71755</wp:posOffset>
                </wp:positionV>
                <wp:extent cx="388620" cy="280670"/>
                <wp:effectExtent l="0" t="19050" r="0" b="24130"/>
                <wp:wrapNone/>
                <wp:docPr id="1716314846" name="Kotak Teks 2"/>
                <wp:cNvGraphicFramePr/>
                <a:graphic xmlns:a="http://schemas.openxmlformats.org/drawingml/2006/main">
                  <a:graphicData uri="http://schemas.microsoft.com/office/word/2010/wordprocessingShape">
                    <wps:wsp>
                      <wps:cNvSpPr txBox="1"/>
                      <wps:spPr>
                        <a:xfrm rot="20738634">
                          <a:off x="0" y="0"/>
                          <a:ext cx="388620" cy="280670"/>
                        </a:xfrm>
                        <a:prstGeom prst="rect">
                          <a:avLst/>
                        </a:prstGeom>
                        <a:noFill/>
                        <a:ln w="6350">
                          <a:noFill/>
                        </a:ln>
                      </wps:spPr>
                      <wps:txbx>
                        <w:txbxContent>
                          <w:p w14:paraId="591DE7E8" w14:textId="77777777" w:rsidR="00744D05" w:rsidRPr="006916B0" w:rsidRDefault="00744D05" w:rsidP="0037610E">
                            <w:pPr>
                              <w:rPr>
                                <w:rFonts w:ascii="Times New Roman" w:hAnsi="Times New Roman" w:cs="Times New Roman"/>
                                <w:sz w:val="24"/>
                                <w:szCs w:val="24"/>
                              </w:rPr>
                            </w:pPr>
                            <w:r w:rsidRPr="00D15568">
                              <w:rPr>
                                <w:rFonts w:ascii="Times New Roman" w:hAnsi="Times New Roman" w:cs="Times New Roman"/>
                                <w:sz w:val="20"/>
                                <w:szCs w:val="20"/>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61.7pt;margin-top:5.65pt;width:30.6pt;height:22.1pt;rotation:-940841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" filled="f" stroked="f" strokeweight=".5pt">
                <v:textbox>
                  <w:txbxContent>
                    <w:p w14:paraId="591DE7E8" w14:textId="77777777" w:rsidR="00744D05" w:rsidRPr="006916B0" w:rsidRDefault="00744D05" w:rsidP="0037610E">
                      <w:pPr>
                        <w:rPr>
                          <w:rFonts w:ascii="Times New Roman" w:hAnsi="Times New Roman" w:cs="Times New Roman"/>
                          <w:sz w:val="24"/>
                          <w:szCs w:val="24"/>
                        </w:rPr>
                      </w:pPr>
                      <w:r w:rsidRPr="00D15568">
                        <w:rPr>
                          <w:rFonts w:ascii="Times New Roman" w:hAnsi="Times New Roman" w:cs="Times New Roman"/>
                          <w:sz w:val="20"/>
                          <w:szCs w:val="20"/>
                        </w:rPr>
                        <w:t>H4</w:t>
                      </w:r>
                    </w:p>
                  </w:txbxContent>
                </v:textbox>
              </v:shape>
            </w:pict>
          </mc:Fallback>
        </mc:AlternateContent>
      </w:r>
    </w:p>
    <w:p w14:paraId="51412EC0" w14:textId="77777777" w:rsidR="0037610E" w:rsidRPr="0047203B" w:rsidRDefault="0037610E" w:rsidP="005C23AF">
      <w:pPr>
        <w:spacing w:line="240" w:lineRule="auto"/>
        <w:ind w:firstLine="567"/>
        <w:jc w:val="both"/>
        <w:rPr>
          <w:rFonts w:ascii="Arial" w:eastAsia="Times New Roman" w:hAnsi="Arial" w:cs="Arial"/>
          <w:color w:val="000000" w:themeColor="text1"/>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3600" behindDoc="0" locked="0" layoutInCell="1" allowOverlap="1" wp14:anchorId="31667221" wp14:editId="42351A7B">
                <wp:simplePos x="0" y="0"/>
                <wp:positionH relativeFrom="column">
                  <wp:posOffset>2164080</wp:posOffset>
                </wp:positionH>
                <wp:positionV relativeFrom="paragraph">
                  <wp:posOffset>121285</wp:posOffset>
                </wp:positionV>
                <wp:extent cx="388620" cy="295910"/>
                <wp:effectExtent l="0" t="38100" r="0" b="27940"/>
                <wp:wrapNone/>
                <wp:docPr id="1947412699" name="Kotak Teks 2"/>
                <wp:cNvGraphicFramePr/>
                <a:graphic xmlns:a="http://schemas.openxmlformats.org/drawingml/2006/main">
                  <a:graphicData uri="http://schemas.microsoft.com/office/word/2010/wordprocessingShape">
                    <wps:wsp>
                      <wps:cNvSpPr txBox="1"/>
                      <wps:spPr>
                        <a:xfrm rot="19836599">
                          <a:off x="0" y="0"/>
                          <a:ext cx="388620" cy="295910"/>
                        </a:xfrm>
                        <a:prstGeom prst="rect">
                          <a:avLst/>
                        </a:prstGeom>
                        <a:noFill/>
                        <a:ln w="6350">
                          <a:noFill/>
                        </a:ln>
                      </wps:spPr>
                      <wps:txbx>
                        <w:txbxContent>
                          <w:p w14:paraId="39087375" w14:textId="77777777" w:rsidR="00744D05" w:rsidRPr="00D15568" w:rsidRDefault="00744D05" w:rsidP="0037610E">
                            <w:pPr>
                              <w:rPr>
                                <w:rFonts w:ascii="Times New Roman" w:hAnsi="Times New Roman" w:cs="Times New Roman"/>
                                <w:sz w:val="20"/>
                                <w:szCs w:val="20"/>
                              </w:rPr>
                            </w:pPr>
                            <w:r w:rsidRPr="00D15568">
                              <w:rPr>
                                <w:rFonts w:ascii="Times New Roman" w:hAnsi="Times New Roman" w:cs="Times New Roman"/>
                                <w:sz w:val="20"/>
                                <w:szCs w:val="20"/>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70.4pt;margin-top:9.55pt;width:30.6pt;height:23.3pt;rotation:-192610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" filled="f" stroked="f" strokeweight=".5pt">
                <v:textbox>
                  <w:txbxContent>
                    <w:p w14:paraId="39087375" w14:textId="77777777" w:rsidR="00744D05" w:rsidRPr="00D15568" w:rsidRDefault="00744D05" w:rsidP="0037610E">
                      <w:pPr>
                        <w:rPr>
                          <w:rFonts w:ascii="Times New Roman" w:hAnsi="Times New Roman" w:cs="Times New Roman"/>
                          <w:sz w:val="20"/>
                          <w:szCs w:val="20"/>
                        </w:rPr>
                      </w:pPr>
                      <w:r w:rsidRPr="00D15568">
                        <w:rPr>
                          <w:rFonts w:ascii="Times New Roman" w:hAnsi="Times New Roman" w:cs="Times New Roman"/>
                          <w:sz w:val="20"/>
                          <w:szCs w:val="20"/>
                        </w:rPr>
                        <w:t>H5</w:t>
                      </w:r>
                    </w:p>
                  </w:txbxContent>
                </v:textbox>
              </v:shape>
            </w:pict>
          </mc:Fallback>
        </mc:AlternateContent>
      </w:r>
    </w:p>
    <w:p w14:paraId="3DDFCB1B" w14:textId="77777777" w:rsidR="008C2CA2" w:rsidRPr="0047203B" w:rsidRDefault="008C2CA2" w:rsidP="005C23AF">
      <w:pPr>
        <w:spacing w:line="240" w:lineRule="auto"/>
        <w:ind w:firstLine="567"/>
        <w:jc w:val="both"/>
        <w:rPr>
          <w:rFonts w:ascii="Arial" w:eastAsia="Times New Roman" w:hAnsi="Arial" w:cs="Arial"/>
          <w:color w:val="000000" w:themeColor="text1"/>
        </w:rPr>
      </w:pPr>
    </w:p>
    <w:p w14:paraId="4CAB5C7B" w14:textId="77777777" w:rsidR="0037610E" w:rsidRPr="0047203B" w:rsidRDefault="0037610E" w:rsidP="005C23AF">
      <w:pPr>
        <w:spacing w:line="240" w:lineRule="auto"/>
        <w:ind w:firstLine="567"/>
        <w:jc w:val="both"/>
        <w:rPr>
          <w:rFonts w:ascii="Arial" w:eastAsia="Times New Roman" w:hAnsi="Arial" w:cs="Arial"/>
          <w:color w:val="000000" w:themeColor="text1"/>
          <w:highlight w:val="yellow"/>
        </w:rPr>
      </w:pPr>
      <w:r w:rsidRPr="0047203B">
        <w:rPr>
          <w:rFonts w:ascii="Arial" w:eastAsia="Times New Roman" w:hAnsi="Arial" w:cs="Arial"/>
          <w:noProof/>
          <w:color w:val="000000" w:themeColor="text1"/>
          <w:lang w:eastAsia="en-US"/>
        </w:rPr>
        <mc:AlternateContent>
          <mc:Choice Requires="wps">
            <w:drawing>
              <wp:anchor distT="0" distB="0" distL="114300" distR="114300" simplePos="0" relativeHeight="251678720" behindDoc="0" locked="0" layoutInCell="1" allowOverlap="1" wp14:anchorId="0A45A6E5" wp14:editId="20204EFB">
                <wp:simplePos x="0" y="0"/>
                <wp:positionH relativeFrom="column">
                  <wp:posOffset>11209</wp:posOffset>
                </wp:positionH>
                <wp:positionV relativeFrom="paragraph">
                  <wp:posOffset>225425</wp:posOffset>
                </wp:positionV>
                <wp:extent cx="1470991" cy="654050"/>
                <wp:effectExtent l="0" t="0" r="15240" b="12700"/>
                <wp:wrapNone/>
                <wp:docPr id="3" name="Oval 3"/>
                <wp:cNvGraphicFramePr/>
                <a:graphic xmlns:a="http://schemas.openxmlformats.org/drawingml/2006/main">
                  <a:graphicData uri="http://schemas.microsoft.com/office/word/2010/wordprocessingShape">
                    <wps:wsp>
                      <wps:cNvSpPr/>
                      <wps:spPr>
                        <a:xfrm>
                          <a:off x="0" y="0"/>
                          <a:ext cx="1470991" cy="65405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476FDB34" w14:textId="2F98BDD6" w:rsidR="00744D05" w:rsidRPr="00C02E41" w:rsidRDefault="00744D05" w:rsidP="0037610E">
                            <w:pPr>
                              <w:jc w:val="center"/>
                              <w:rPr>
                                <w:sz w:val="18"/>
                                <w:szCs w:val="18"/>
                              </w:rPr>
                            </w:pPr>
                            <w:r w:rsidRPr="00C02E41">
                              <w:rPr>
                                <w:sz w:val="18"/>
                                <w:szCs w:val="18"/>
                              </w:rPr>
                              <w:t>Advantages and Benefits(X5)</w:t>
                            </w:r>
                          </w:p>
                          <w:p w14:paraId="2939365B" w14:textId="77777777" w:rsidR="00744D05" w:rsidRDefault="00744D05" w:rsidP="00376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36" style="position:absolute;left:0;text-align:left;margin-left:.9pt;margin-top:17.75pt;width:115.85pt;height:5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" fillcolor="white [3201]" strokecolor="black [3200]" strokeweight="1.5pt">
                <v:stroke joinstyle="miter"/>
                <v:textbox>
                  <w:txbxContent>
                    <w:p w14:paraId="476FDB34" w14:textId="2F98BDD6" w:rsidR="00744D05" w:rsidRPr="00C02E41" w:rsidRDefault="00744D05" w:rsidP="0037610E">
                      <w:pPr>
                        <w:jc w:val="center"/>
                        <w:rPr>
                          <w:sz w:val="18"/>
                          <w:szCs w:val="18"/>
                        </w:rPr>
                      </w:pPr>
                      <w:r w:rsidRPr="00C02E41">
                        <w:rPr>
                          <w:sz w:val="18"/>
                          <w:szCs w:val="18"/>
                        </w:rPr>
                        <w:t>Advantages and Benefits(X5)</w:t>
                      </w:r>
                    </w:p>
                    <w:p w14:paraId="2939365B" w14:textId="77777777" w:rsidR="00744D05" w:rsidRDefault="00744D05" w:rsidP="0037610E">
                      <w:pPr>
                        <w:jc w:val="center"/>
                      </w:pPr>
                    </w:p>
                  </w:txbxContent>
                </v:textbox>
              </v:oval>
            </w:pict>
          </mc:Fallback>
        </mc:AlternateContent>
      </w:r>
    </w:p>
    <w:p w14:paraId="544D8B24" w14:textId="77777777" w:rsidR="008C2CA2" w:rsidRPr="0047203B" w:rsidRDefault="008C2CA2" w:rsidP="00024F08">
      <w:pPr>
        <w:spacing w:after="0"/>
        <w:rPr>
          <w:rFonts w:ascii="Arial" w:eastAsia="EB Garamond" w:hAnsi="Arial" w:cs="Arial"/>
          <w:b/>
          <w:color w:val="000000" w:themeColor="text1"/>
        </w:rPr>
      </w:pPr>
    </w:p>
    <w:p w14:paraId="110477CF" w14:textId="77777777" w:rsidR="007B6FFC" w:rsidRDefault="007B6FFC" w:rsidP="00024F08">
      <w:pPr>
        <w:spacing w:after="0"/>
        <w:jc w:val="center"/>
        <w:rPr>
          <w:rFonts w:ascii="Arial" w:eastAsia="EB Garamond" w:hAnsi="Arial" w:cs="Arial"/>
          <w:b/>
          <w:color w:val="000000" w:themeColor="text1"/>
        </w:rPr>
      </w:pPr>
      <w:r>
        <w:rPr>
          <w:rFonts w:ascii="Arial" w:eastAsia="EB Garamond" w:hAnsi="Arial" w:cs="Arial"/>
          <w:b/>
          <w:color w:val="000000" w:themeColor="text1"/>
        </w:rPr>
        <w:t>Figure 1.</w:t>
      </w:r>
    </w:p>
    <w:p w14:paraId="0D6D1B1B" w14:textId="737502F5" w:rsidR="00687DB8" w:rsidRPr="0047203B" w:rsidRDefault="00103EC0" w:rsidP="00024F08">
      <w:pPr>
        <w:spacing w:after="0"/>
        <w:jc w:val="center"/>
        <w:rPr>
          <w:rFonts w:ascii="Arial" w:eastAsia="EB Garamond" w:hAnsi="Arial" w:cs="Arial"/>
          <w:b/>
          <w:color w:val="000000" w:themeColor="text1"/>
        </w:rPr>
      </w:pPr>
      <w:r w:rsidRPr="0047203B">
        <w:rPr>
          <w:rFonts w:ascii="Arial" w:eastAsia="EB Garamond" w:hAnsi="Arial" w:cs="Arial"/>
          <w:color w:val="000000" w:themeColor="text1"/>
        </w:rPr>
        <w:t>Conceptual Framework</w:t>
      </w:r>
    </w:p>
    <w:p w14:paraId="2ADB0447" w14:textId="0BB33366" w:rsidR="00687DB8" w:rsidRPr="0054195E" w:rsidRDefault="00103EC0" w:rsidP="00024F08">
      <w:pPr>
        <w:spacing w:after="0"/>
        <w:jc w:val="center"/>
        <w:rPr>
          <w:rFonts w:ascii="Arial" w:eastAsia="EB Garamond" w:hAnsi="Arial" w:cs="Arial"/>
          <w:bCs/>
          <w:color w:val="000000" w:themeColor="text1"/>
        </w:rPr>
      </w:pPr>
      <w:r w:rsidRPr="0047203B">
        <w:rPr>
          <w:rFonts w:ascii="Arial" w:eastAsia="EB Garamond" w:hAnsi="Arial" w:cs="Arial"/>
          <w:bCs/>
          <w:color w:val="000000" w:themeColor="text1"/>
        </w:rPr>
        <w:t>Author's Processed Results (2024)</w:t>
      </w:r>
    </w:p>
    <w:p w14:paraId="5858FFC0" w14:textId="77777777" w:rsidR="00440093" w:rsidRDefault="00440093" w:rsidP="00B43DDD">
      <w:pPr>
        <w:pBdr>
          <w:top w:val="nil"/>
          <w:left w:val="nil"/>
          <w:bottom w:val="nil"/>
          <w:right w:val="nil"/>
          <w:between w:val="nil"/>
        </w:pBdr>
        <w:spacing w:after="0" w:line="240" w:lineRule="auto"/>
        <w:jc w:val="both"/>
        <w:rPr>
          <w:rFonts w:ascii="Arial" w:eastAsia="EB Garamond" w:hAnsi="Arial" w:cs="Arial"/>
          <w:color w:val="000000" w:themeColor="text1"/>
        </w:rPr>
      </w:pPr>
    </w:p>
    <w:p w14:paraId="3BBAF978" w14:textId="77777777" w:rsidR="00255D8C" w:rsidRDefault="00255D8C" w:rsidP="00B43DDD">
      <w:pPr>
        <w:pBdr>
          <w:top w:val="nil"/>
          <w:left w:val="nil"/>
          <w:bottom w:val="nil"/>
          <w:right w:val="nil"/>
          <w:between w:val="nil"/>
        </w:pBdr>
        <w:spacing w:after="0" w:line="240" w:lineRule="auto"/>
        <w:jc w:val="both"/>
        <w:rPr>
          <w:rFonts w:ascii="Arial" w:eastAsia="EB Garamond" w:hAnsi="Arial" w:cs="Arial"/>
          <w:color w:val="000000" w:themeColor="text1"/>
        </w:rPr>
        <w:sectPr w:rsidR="00255D8C">
          <w:type w:val="continuous"/>
          <w:pgSz w:w="11906" w:h="16838"/>
          <w:pgMar w:top="1440" w:right="1440" w:bottom="1440" w:left="1440" w:header="397" w:footer="708" w:gutter="0"/>
          <w:cols w:space="720"/>
        </w:sectPr>
      </w:pPr>
    </w:p>
    <w:p w14:paraId="4FAF2145" w14:textId="60AC983B" w:rsidR="00A54AFF" w:rsidRPr="0047203B" w:rsidRDefault="00A54AFF" w:rsidP="007B6FFC">
      <w:pPr>
        <w:pBdr>
          <w:top w:val="nil"/>
          <w:left w:val="nil"/>
          <w:bottom w:val="nil"/>
          <w:right w:val="nil"/>
          <w:between w:val="nil"/>
        </w:pBdr>
        <w:spacing w:after="0" w:line="240" w:lineRule="auto"/>
        <w:jc w:val="both"/>
        <w:rPr>
          <w:rFonts w:ascii="Arial" w:eastAsia="EB Garamond" w:hAnsi="Arial" w:cs="Arial"/>
          <w:color w:val="000000" w:themeColor="text1"/>
        </w:rPr>
      </w:pPr>
      <w:r w:rsidRPr="0047203B">
        <w:rPr>
          <w:rFonts w:ascii="Arial" w:eastAsia="EB Garamond" w:hAnsi="Arial" w:cs="Arial"/>
          <w:color w:val="000000" w:themeColor="text1"/>
        </w:rPr>
        <w:lastRenderedPageBreak/>
        <w:t>The hypothesis of this research is</w:t>
      </w:r>
    </w:p>
    <w:tbl>
      <w:tblPr>
        <w:tblStyle w:val="TableGrid"/>
        <w:tblW w:w="482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3721"/>
      </w:tblGrid>
      <w:tr w:rsidR="00BD5CB3" w:rsidRPr="0047203B" w14:paraId="02D12062" w14:textId="77777777" w:rsidTr="007B6FFC">
        <w:tc>
          <w:tcPr>
            <w:tcW w:w="590" w:type="pct"/>
          </w:tcPr>
          <w:p w14:paraId="1B59D879" w14:textId="77777777"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H1</w:t>
            </w:r>
          </w:p>
        </w:tc>
        <w:tc>
          <w:tcPr>
            <w:tcW w:w="4410" w:type="pct"/>
          </w:tcPr>
          <w:p w14:paraId="60D26748" w14:textId="2E4682AA"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The higher the level of financial literacy among rural communities, the greater the desire to use e-banking.</w:t>
            </w:r>
          </w:p>
        </w:tc>
      </w:tr>
      <w:tr w:rsidR="00BD5CB3" w:rsidRPr="0047203B" w14:paraId="054F84A1" w14:textId="77777777" w:rsidTr="007B6FFC">
        <w:tc>
          <w:tcPr>
            <w:tcW w:w="590" w:type="pct"/>
          </w:tcPr>
          <w:p w14:paraId="2BD4004E" w14:textId="77777777"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H2</w:t>
            </w:r>
          </w:p>
        </w:tc>
        <w:tc>
          <w:tcPr>
            <w:tcW w:w="4410" w:type="pct"/>
          </w:tcPr>
          <w:p w14:paraId="7F1C8CB9" w14:textId="06709E05"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The more developed the information technology infrastructure in the village, the higher the interest of village communities in using e-banking.</w:t>
            </w:r>
          </w:p>
        </w:tc>
      </w:tr>
      <w:tr w:rsidR="00BD5CB3" w:rsidRPr="0047203B" w14:paraId="3A806B1F" w14:textId="77777777" w:rsidTr="007B6FFC">
        <w:tc>
          <w:tcPr>
            <w:tcW w:w="590" w:type="pct"/>
          </w:tcPr>
          <w:p w14:paraId="569FCBDC" w14:textId="77777777"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H3</w:t>
            </w:r>
          </w:p>
        </w:tc>
        <w:tc>
          <w:tcPr>
            <w:tcW w:w="4410" w:type="pct"/>
          </w:tcPr>
          <w:p w14:paraId="4B5C99AD" w14:textId="052A0C62"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 xml:space="preserve">The better the perception of security related to e-banking, the higher the interest of villagers in </w:t>
            </w:r>
            <w:r w:rsidRPr="0047203B">
              <w:rPr>
                <w:rFonts w:ascii="Arial" w:eastAsia="EB Garamond" w:hAnsi="Arial" w:cs="Arial"/>
                <w:color w:val="000000" w:themeColor="text1"/>
              </w:rPr>
              <w:lastRenderedPageBreak/>
              <w:t>using e-banking.</w:t>
            </w:r>
          </w:p>
        </w:tc>
      </w:tr>
      <w:tr w:rsidR="00BD5CB3" w:rsidRPr="0047203B" w14:paraId="3BC90FE2" w14:textId="77777777" w:rsidTr="007B6FFC">
        <w:tc>
          <w:tcPr>
            <w:tcW w:w="590" w:type="pct"/>
          </w:tcPr>
          <w:p w14:paraId="6B9A65F7" w14:textId="77777777"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H4</w:t>
            </w:r>
          </w:p>
        </w:tc>
        <w:tc>
          <w:tcPr>
            <w:tcW w:w="4410" w:type="pct"/>
          </w:tcPr>
          <w:p w14:paraId="1D46AF8A" w14:textId="6223E1B5" w:rsidR="00864FCF" w:rsidRPr="0047203B" w:rsidRDefault="00F000A6" w:rsidP="007B6FFC">
            <w:pPr>
              <w:jc w:val="both"/>
              <w:rPr>
                <w:rFonts w:ascii="Arial" w:eastAsia="EB Garamond" w:hAnsi="Arial" w:cs="Arial"/>
                <w:color w:val="000000" w:themeColor="text1"/>
              </w:rPr>
            </w:pPr>
            <w:r w:rsidRPr="00F000A6">
              <w:rPr>
                <w:rFonts w:ascii="Arial" w:eastAsia="EB Garamond" w:hAnsi="Arial" w:cs="Arial"/>
                <w:color w:val="000000" w:themeColor="text1"/>
              </w:rPr>
              <w:t>The more positive experiences gained from using e-banking, the greater their interest in using e-banking will increase.</w:t>
            </w:r>
          </w:p>
        </w:tc>
      </w:tr>
      <w:tr w:rsidR="00BD5CB3" w:rsidRPr="0047203B" w14:paraId="1D49EC75" w14:textId="77777777" w:rsidTr="007B6FFC">
        <w:tc>
          <w:tcPr>
            <w:tcW w:w="590" w:type="pct"/>
          </w:tcPr>
          <w:p w14:paraId="2B732745" w14:textId="77777777"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H5</w:t>
            </w:r>
          </w:p>
        </w:tc>
        <w:tc>
          <w:tcPr>
            <w:tcW w:w="4410" w:type="pct"/>
          </w:tcPr>
          <w:p w14:paraId="7BB6578E" w14:textId="6187C469" w:rsidR="00864FCF" w:rsidRPr="0047203B" w:rsidRDefault="00864FCF" w:rsidP="007B6FFC">
            <w:pPr>
              <w:jc w:val="both"/>
              <w:rPr>
                <w:rFonts w:ascii="Arial" w:eastAsia="EB Garamond" w:hAnsi="Arial" w:cs="Arial"/>
                <w:color w:val="000000" w:themeColor="text1"/>
              </w:rPr>
            </w:pPr>
            <w:r w:rsidRPr="0047203B">
              <w:rPr>
                <w:rFonts w:ascii="Arial" w:eastAsia="EB Garamond" w:hAnsi="Arial" w:cs="Arial"/>
                <w:color w:val="000000" w:themeColor="text1"/>
              </w:rPr>
              <w:t>The greater the benefits and advantages felt from using e-banking, the greater the interest of rural communities in using e-banking.</w:t>
            </w:r>
          </w:p>
        </w:tc>
      </w:tr>
    </w:tbl>
    <w:p w14:paraId="2E1256D6" w14:textId="77777777" w:rsidR="008218AE" w:rsidRPr="0047203B" w:rsidRDefault="008218AE"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p>
    <w:p w14:paraId="109A0BC3" w14:textId="1443E8C3" w:rsidR="008218AE" w:rsidRPr="0047203B" w:rsidRDefault="0054195E" w:rsidP="007B6FFC">
      <w:pPr>
        <w:pBdr>
          <w:top w:val="nil"/>
          <w:left w:val="nil"/>
          <w:bottom w:val="nil"/>
          <w:right w:val="nil"/>
          <w:between w:val="nil"/>
        </w:pBdr>
        <w:spacing w:after="0" w:line="240" w:lineRule="auto"/>
        <w:jc w:val="both"/>
        <w:rPr>
          <w:rFonts w:ascii="Arial" w:hAnsi="Arial" w:cs="Arial"/>
          <w:color w:val="000000" w:themeColor="text1"/>
        </w:rPr>
      </w:pPr>
      <w:r w:rsidRPr="0047203B">
        <w:rPr>
          <w:rFonts w:ascii="Arial" w:hAnsi="Arial" w:cs="Arial"/>
          <w:b/>
          <w:color w:val="000000" w:themeColor="text1"/>
        </w:rPr>
        <w:t>RESULTS AND DISCUSSION</w:t>
      </w:r>
    </w:p>
    <w:p w14:paraId="6319A838" w14:textId="287B3BD3" w:rsidR="00C2766F" w:rsidRPr="0054195E" w:rsidRDefault="0049101C" w:rsidP="007B6FFC">
      <w:pPr>
        <w:pBdr>
          <w:top w:val="nil"/>
          <w:left w:val="nil"/>
          <w:bottom w:val="nil"/>
          <w:right w:val="nil"/>
          <w:between w:val="nil"/>
        </w:pBdr>
        <w:spacing w:after="0" w:line="240" w:lineRule="auto"/>
        <w:jc w:val="both"/>
        <w:rPr>
          <w:rFonts w:ascii="Arial" w:hAnsi="Arial" w:cs="Arial"/>
          <w:b/>
          <w:i/>
          <w:color w:val="000000" w:themeColor="text1"/>
        </w:rPr>
      </w:pPr>
      <w:r w:rsidRPr="0054195E">
        <w:rPr>
          <w:rFonts w:ascii="Arial" w:hAnsi="Arial" w:cs="Arial"/>
          <w:b/>
          <w:i/>
          <w:color w:val="000000" w:themeColor="text1"/>
        </w:rPr>
        <w:t>Results of Respondent Characteristics</w:t>
      </w:r>
    </w:p>
    <w:p w14:paraId="11824C6F" w14:textId="10214D3B" w:rsidR="000B303C" w:rsidRPr="0047203B" w:rsidRDefault="00C2766F"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lastRenderedPageBreak/>
        <w:t xml:space="preserve">This study focuses on understanding the factors that influence the adoption of e-banking services among rural communities. Based on the results of a </w:t>
      </w:r>
      <w:r w:rsidRPr="0047203B">
        <w:rPr>
          <w:rFonts w:ascii="Arial" w:eastAsia="EB Garamond" w:hAnsi="Arial" w:cs="Arial"/>
          <w:color w:val="000000" w:themeColor="text1"/>
        </w:rPr>
        <w:lastRenderedPageBreak/>
        <w:t>survey of 60 active users of e-banking services, several interesting findings were found which will be explained fu</w:t>
      </w:r>
      <w:r w:rsidR="00B069B4" w:rsidRPr="0047203B">
        <w:rPr>
          <w:rFonts w:ascii="Arial" w:eastAsia="EB Garamond" w:hAnsi="Arial" w:cs="Arial"/>
          <w:color w:val="000000" w:themeColor="text1"/>
        </w:rPr>
        <w:t>rther in the following table 3.</w:t>
      </w:r>
    </w:p>
    <w:p w14:paraId="7B9A7A08" w14:textId="77777777" w:rsidR="007B6FFC" w:rsidRDefault="007B6FFC"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7B6FFC" w:rsidSect="007B6FFC">
          <w:type w:val="continuous"/>
          <w:pgSz w:w="11906" w:h="16838"/>
          <w:pgMar w:top="1440" w:right="1440" w:bottom="1440" w:left="1440" w:header="397" w:footer="708" w:gutter="0"/>
          <w:cols w:num="2" w:space="720"/>
        </w:sectPr>
      </w:pPr>
    </w:p>
    <w:tbl>
      <w:tblPr>
        <w:tblStyle w:val="TableGrid"/>
        <w:tblpPr w:leftFromText="180" w:rightFromText="180" w:vertAnchor="text" w:horzAnchor="margin" w:tblpX="108" w:tblpY="3"/>
        <w:tblW w:w="4890" w:type="pct"/>
        <w:tblBorders>
          <w:top w:val="none" w:sz="0" w:space="0" w:color="auto"/>
          <w:left w:val="none" w:sz="0" w:space="0" w:color="auto"/>
          <w:bottom w:val="none" w:sz="0" w:space="0" w:color="auto"/>
          <w:right w:val="none" w:sz="0" w:space="0" w:color="auto"/>
          <w:insideH w:val="single" w:sz="8" w:space="0" w:color="auto"/>
          <w:insideV w:val="none" w:sz="0" w:space="0" w:color="auto"/>
        </w:tblBorders>
        <w:tblLook w:val="04A0" w:firstRow="1" w:lastRow="0" w:firstColumn="1" w:lastColumn="0" w:noHBand="0" w:noVBand="1"/>
      </w:tblPr>
      <w:tblGrid>
        <w:gridCol w:w="1983"/>
        <w:gridCol w:w="2694"/>
        <w:gridCol w:w="1842"/>
        <w:gridCol w:w="2520"/>
      </w:tblGrid>
      <w:tr w:rsidR="00B43DDD" w:rsidRPr="0047203B" w14:paraId="2E1E3FF3" w14:textId="77777777" w:rsidTr="00B43DDD">
        <w:tc>
          <w:tcPr>
            <w:tcW w:w="5000" w:type="pct"/>
            <w:gridSpan w:val="4"/>
            <w:shd w:val="clear" w:color="auto" w:fill="auto"/>
            <w:vAlign w:val="center"/>
          </w:tcPr>
          <w:p w14:paraId="46458EC3" w14:textId="77777777" w:rsidR="00B43DDD" w:rsidRDefault="00B43DDD" w:rsidP="00B43DDD">
            <w:pPr>
              <w:spacing w:line="259" w:lineRule="auto"/>
              <w:jc w:val="center"/>
              <w:rPr>
                <w:rFonts w:ascii="Arial" w:eastAsia="EB Garamond" w:hAnsi="Arial" w:cs="Arial"/>
                <w:b/>
                <w:bCs/>
                <w:color w:val="000000" w:themeColor="text1"/>
              </w:rPr>
            </w:pPr>
            <w:r w:rsidRPr="0047203B">
              <w:rPr>
                <w:rFonts w:ascii="Arial" w:eastAsia="EB Garamond" w:hAnsi="Arial" w:cs="Arial"/>
                <w:b/>
                <w:color w:val="000000" w:themeColor="text1"/>
              </w:rPr>
              <w:t>Table 3.</w:t>
            </w:r>
          </w:p>
          <w:p w14:paraId="7582986B" w14:textId="77777777" w:rsidR="00B43DDD" w:rsidRPr="0047203B" w:rsidRDefault="00B43DDD" w:rsidP="00B43DDD">
            <w:pPr>
              <w:spacing w:line="259" w:lineRule="auto"/>
              <w:jc w:val="center"/>
              <w:rPr>
                <w:rFonts w:ascii="Arial" w:eastAsia="EB Garamond" w:hAnsi="Arial" w:cs="Arial"/>
                <w:b/>
                <w:color w:val="000000" w:themeColor="text1"/>
              </w:rPr>
            </w:pPr>
            <w:r w:rsidRPr="0047203B">
              <w:rPr>
                <w:rFonts w:ascii="Arial" w:eastAsia="EB Garamond" w:hAnsi="Arial" w:cs="Arial"/>
                <w:b/>
                <w:bCs/>
                <w:color w:val="000000" w:themeColor="text1"/>
              </w:rPr>
              <w:t>Identity of E-banking User Respondents</w:t>
            </w:r>
          </w:p>
        </w:tc>
      </w:tr>
      <w:tr w:rsidR="00B43DDD" w:rsidRPr="0047203B" w14:paraId="17143C00" w14:textId="77777777" w:rsidTr="00B43DDD">
        <w:tc>
          <w:tcPr>
            <w:tcW w:w="1097" w:type="pct"/>
            <w:tcBorders>
              <w:bottom w:val="single" w:sz="18" w:space="0" w:color="auto"/>
            </w:tcBorders>
            <w:shd w:val="clear" w:color="auto" w:fill="auto"/>
            <w:vAlign w:val="center"/>
          </w:tcPr>
          <w:p w14:paraId="59882983" w14:textId="77777777" w:rsidR="00B43DDD" w:rsidRPr="0047203B" w:rsidRDefault="00B43DDD" w:rsidP="00B43DDD">
            <w:pPr>
              <w:jc w:val="center"/>
              <w:rPr>
                <w:rFonts w:ascii="Arial" w:eastAsia="EB Garamond" w:hAnsi="Arial" w:cs="Arial"/>
                <w:b/>
                <w:bCs/>
                <w:color w:val="000000" w:themeColor="text1"/>
              </w:rPr>
            </w:pPr>
            <w:r w:rsidRPr="0047203B">
              <w:rPr>
                <w:rFonts w:ascii="Arial" w:eastAsia="EB Garamond" w:hAnsi="Arial" w:cs="Arial"/>
                <w:b/>
                <w:bCs/>
                <w:color w:val="000000" w:themeColor="text1"/>
              </w:rPr>
              <w:t>Karakteristik</w:t>
            </w:r>
          </w:p>
        </w:tc>
        <w:tc>
          <w:tcPr>
            <w:tcW w:w="1490" w:type="pct"/>
            <w:tcBorders>
              <w:bottom w:val="single" w:sz="8" w:space="0" w:color="auto"/>
            </w:tcBorders>
            <w:shd w:val="clear" w:color="auto" w:fill="auto"/>
            <w:vAlign w:val="center"/>
          </w:tcPr>
          <w:p w14:paraId="57AD776E" w14:textId="77777777" w:rsidR="00B43DDD" w:rsidRPr="0047203B" w:rsidRDefault="00B43DDD" w:rsidP="00B43DDD">
            <w:pPr>
              <w:spacing w:line="259" w:lineRule="auto"/>
              <w:jc w:val="center"/>
              <w:rPr>
                <w:rFonts w:ascii="Arial" w:eastAsia="EB Garamond" w:hAnsi="Arial" w:cs="Arial"/>
                <w:b/>
                <w:bCs/>
                <w:color w:val="000000" w:themeColor="text1"/>
              </w:rPr>
            </w:pPr>
            <w:r w:rsidRPr="0047203B">
              <w:rPr>
                <w:rFonts w:ascii="Arial" w:eastAsia="EB Garamond" w:hAnsi="Arial" w:cs="Arial"/>
                <w:b/>
                <w:bCs/>
                <w:color w:val="000000" w:themeColor="text1"/>
              </w:rPr>
              <w:t>Indicator</w:t>
            </w:r>
          </w:p>
        </w:tc>
        <w:tc>
          <w:tcPr>
            <w:tcW w:w="1019" w:type="pct"/>
            <w:tcBorders>
              <w:bottom w:val="single" w:sz="8" w:space="0" w:color="auto"/>
            </w:tcBorders>
            <w:shd w:val="clear" w:color="auto" w:fill="auto"/>
            <w:vAlign w:val="center"/>
          </w:tcPr>
          <w:p w14:paraId="34CBA5EE" w14:textId="77777777" w:rsidR="00B43DDD" w:rsidRPr="0047203B" w:rsidRDefault="00B43DDD" w:rsidP="00B43DDD">
            <w:pPr>
              <w:jc w:val="center"/>
              <w:rPr>
                <w:rFonts w:ascii="Arial" w:eastAsia="EB Garamond" w:hAnsi="Arial" w:cs="Arial"/>
                <w:b/>
                <w:bCs/>
                <w:color w:val="000000" w:themeColor="text1"/>
              </w:rPr>
            </w:pPr>
            <w:r w:rsidRPr="0047203B">
              <w:rPr>
                <w:rFonts w:ascii="Arial" w:eastAsia="EB Garamond" w:hAnsi="Arial" w:cs="Arial"/>
                <w:b/>
                <w:bCs/>
                <w:color w:val="000000" w:themeColor="text1"/>
              </w:rPr>
              <w:t>Number of respondents</w:t>
            </w:r>
          </w:p>
        </w:tc>
        <w:tc>
          <w:tcPr>
            <w:tcW w:w="1393" w:type="pct"/>
            <w:tcBorders>
              <w:bottom w:val="single" w:sz="8" w:space="0" w:color="auto"/>
            </w:tcBorders>
            <w:shd w:val="clear" w:color="auto" w:fill="auto"/>
            <w:vAlign w:val="center"/>
          </w:tcPr>
          <w:p w14:paraId="03A975AE" w14:textId="77777777" w:rsidR="00B43DDD" w:rsidRPr="0047203B" w:rsidRDefault="00B43DDD" w:rsidP="00B43DDD">
            <w:pPr>
              <w:jc w:val="center"/>
              <w:rPr>
                <w:rFonts w:ascii="Arial" w:eastAsia="EB Garamond" w:hAnsi="Arial" w:cs="Arial"/>
                <w:b/>
                <w:bCs/>
                <w:color w:val="000000" w:themeColor="text1"/>
              </w:rPr>
            </w:pPr>
            <w:r w:rsidRPr="0047203B">
              <w:rPr>
                <w:rFonts w:ascii="Arial" w:eastAsia="EB Garamond" w:hAnsi="Arial" w:cs="Arial"/>
                <w:b/>
                <w:bCs/>
                <w:color w:val="000000" w:themeColor="text1"/>
              </w:rPr>
              <w:t>Percentage (%)</w:t>
            </w:r>
          </w:p>
        </w:tc>
      </w:tr>
      <w:tr w:rsidR="00B43DDD" w:rsidRPr="0047203B" w14:paraId="595D376D" w14:textId="77777777" w:rsidTr="00B43DDD">
        <w:tc>
          <w:tcPr>
            <w:tcW w:w="1097" w:type="pct"/>
            <w:vMerge w:val="restart"/>
            <w:tcBorders>
              <w:top w:val="single" w:sz="18" w:space="0" w:color="auto"/>
            </w:tcBorders>
            <w:shd w:val="clear" w:color="auto" w:fill="auto"/>
            <w:vAlign w:val="center"/>
          </w:tcPr>
          <w:p w14:paraId="7E4E90C8"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Gender</w:t>
            </w:r>
          </w:p>
        </w:tc>
        <w:tc>
          <w:tcPr>
            <w:tcW w:w="1490" w:type="pct"/>
            <w:tcBorders>
              <w:top w:val="single" w:sz="18" w:space="0" w:color="auto"/>
              <w:bottom w:val="nil"/>
            </w:tcBorders>
            <w:shd w:val="clear" w:color="auto" w:fill="auto"/>
          </w:tcPr>
          <w:p w14:paraId="27153F1F"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Man</w:t>
            </w:r>
          </w:p>
        </w:tc>
        <w:tc>
          <w:tcPr>
            <w:tcW w:w="1019" w:type="pct"/>
            <w:tcBorders>
              <w:top w:val="single" w:sz="18" w:space="0" w:color="auto"/>
              <w:bottom w:val="nil"/>
            </w:tcBorders>
            <w:shd w:val="clear" w:color="auto" w:fill="auto"/>
            <w:vAlign w:val="center"/>
          </w:tcPr>
          <w:p w14:paraId="7523427A"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23</w:t>
            </w:r>
          </w:p>
        </w:tc>
        <w:tc>
          <w:tcPr>
            <w:tcW w:w="1393" w:type="pct"/>
            <w:tcBorders>
              <w:top w:val="single" w:sz="18" w:space="0" w:color="auto"/>
              <w:bottom w:val="nil"/>
            </w:tcBorders>
            <w:shd w:val="clear" w:color="auto" w:fill="auto"/>
            <w:vAlign w:val="center"/>
          </w:tcPr>
          <w:p w14:paraId="64BA47B1"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38,3%</w:t>
            </w:r>
          </w:p>
        </w:tc>
      </w:tr>
      <w:tr w:rsidR="00B43DDD" w:rsidRPr="0047203B" w14:paraId="5C4631FD" w14:textId="77777777" w:rsidTr="00B43DDD">
        <w:tc>
          <w:tcPr>
            <w:tcW w:w="1097" w:type="pct"/>
            <w:vMerge/>
            <w:shd w:val="clear" w:color="auto" w:fill="auto"/>
            <w:vAlign w:val="center"/>
          </w:tcPr>
          <w:p w14:paraId="6824408A" w14:textId="77777777" w:rsidR="00B43DDD" w:rsidRPr="0047203B" w:rsidRDefault="00B43DDD" w:rsidP="00B43DDD">
            <w:pPr>
              <w:rPr>
                <w:rFonts w:ascii="Arial" w:eastAsia="EB Garamond" w:hAnsi="Arial" w:cs="Arial"/>
                <w:color w:val="000000" w:themeColor="text1"/>
              </w:rPr>
            </w:pPr>
          </w:p>
        </w:tc>
        <w:tc>
          <w:tcPr>
            <w:tcW w:w="1490" w:type="pct"/>
            <w:tcBorders>
              <w:top w:val="nil"/>
              <w:bottom w:val="single" w:sz="8" w:space="0" w:color="auto"/>
            </w:tcBorders>
            <w:shd w:val="clear" w:color="auto" w:fill="auto"/>
          </w:tcPr>
          <w:p w14:paraId="51CCD635"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Women</w:t>
            </w:r>
          </w:p>
        </w:tc>
        <w:tc>
          <w:tcPr>
            <w:tcW w:w="1019" w:type="pct"/>
            <w:tcBorders>
              <w:top w:val="nil"/>
              <w:bottom w:val="single" w:sz="8" w:space="0" w:color="auto"/>
            </w:tcBorders>
            <w:shd w:val="clear" w:color="auto" w:fill="auto"/>
            <w:vAlign w:val="center"/>
          </w:tcPr>
          <w:p w14:paraId="3A42948F"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37</w:t>
            </w:r>
          </w:p>
        </w:tc>
        <w:tc>
          <w:tcPr>
            <w:tcW w:w="1393" w:type="pct"/>
            <w:tcBorders>
              <w:top w:val="nil"/>
              <w:bottom w:val="single" w:sz="8" w:space="0" w:color="auto"/>
            </w:tcBorders>
            <w:shd w:val="clear" w:color="auto" w:fill="auto"/>
            <w:vAlign w:val="center"/>
          </w:tcPr>
          <w:p w14:paraId="2749FB9B"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61,7%</w:t>
            </w:r>
          </w:p>
        </w:tc>
      </w:tr>
      <w:tr w:rsidR="00B43DDD" w:rsidRPr="0047203B" w14:paraId="6A122D9B" w14:textId="77777777" w:rsidTr="00B43DDD">
        <w:tc>
          <w:tcPr>
            <w:tcW w:w="1097" w:type="pct"/>
            <w:vMerge w:val="restart"/>
            <w:shd w:val="clear" w:color="auto" w:fill="auto"/>
            <w:vAlign w:val="center"/>
          </w:tcPr>
          <w:p w14:paraId="0BF89818"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Age</w:t>
            </w:r>
          </w:p>
        </w:tc>
        <w:tc>
          <w:tcPr>
            <w:tcW w:w="1490" w:type="pct"/>
            <w:tcBorders>
              <w:top w:val="single" w:sz="8" w:space="0" w:color="auto"/>
              <w:bottom w:val="nil"/>
            </w:tcBorders>
            <w:shd w:val="clear" w:color="auto" w:fill="auto"/>
          </w:tcPr>
          <w:p w14:paraId="5AEF9ABF"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17-24 years</w:t>
            </w:r>
          </w:p>
        </w:tc>
        <w:tc>
          <w:tcPr>
            <w:tcW w:w="1019" w:type="pct"/>
            <w:tcBorders>
              <w:top w:val="single" w:sz="8" w:space="0" w:color="auto"/>
              <w:bottom w:val="nil"/>
            </w:tcBorders>
            <w:shd w:val="clear" w:color="auto" w:fill="auto"/>
            <w:vAlign w:val="center"/>
          </w:tcPr>
          <w:p w14:paraId="35107CE9"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51</w:t>
            </w:r>
          </w:p>
        </w:tc>
        <w:tc>
          <w:tcPr>
            <w:tcW w:w="1393" w:type="pct"/>
            <w:tcBorders>
              <w:top w:val="single" w:sz="8" w:space="0" w:color="auto"/>
              <w:bottom w:val="nil"/>
            </w:tcBorders>
            <w:shd w:val="clear" w:color="auto" w:fill="auto"/>
            <w:vAlign w:val="center"/>
          </w:tcPr>
          <w:p w14:paraId="5494C338"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85%</w:t>
            </w:r>
          </w:p>
        </w:tc>
      </w:tr>
      <w:tr w:rsidR="00B43DDD" w:rsidRPr="0047203B" w14:paraId="5ED34904" w14:textId="77777777" w:rsidTr="00B43DDD">
        <w:tc>
          <w:tcPr>
            <w:tcW w:w="1097" w:type="pct"/>
            <w:vMerge/>
            <w:shd w:val="clear" w:color="auto" w:fill="auto"/>
            <w:vAlign w:val="center"/>
          </w:tcPr>
          <w:p w14:paraId="566C9396" w14:textId="77777777" w:rsidR="00B43DDD" w:rsidRPr="0047203B" w:rsidRDefault="00B43DDD" w:rsidP="00B43DDD">
            <w:pPr>
              <w:rPr>
                <w:rFonts w:ascii="Arial" w:eastAsia="EB Garamond" w:hAnsi="Arial" w:cs="Arial"/>
                <w:color w:val="000000" w:themeColor="text1"/>
              </w:rPr>
            </w:pPr>
          </w:p>
        </w:tc>
        <w:tc>
          <w:tcPr>
            <w:tcW w:w="1490" w:type="pct"/>
            <w:tcBorders>
              <w:top w:val="nil"/>
              <w:bottom w:val="nil"/>
            </w:tcBorders>
            <w:shd w:val="clear" w:color="auto" w:fill="auto"/>
          </w:tcPr>
          <w:p w14:paraId="1E66BA22"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25-30 years</w:t>
            </w:r>
          </w:p>
        </w:tc>
        <w:tc>
          <w:tcPr>
            <w:tcW w:w="1019" w:type="pct"/>
            <w:tcBorders>
              <w:top w:val="nil"/>
              <w:bottom w:val="nil"/>
            </w:tcBorders>
            <w:shd w:val="clear" w:color="auto" w:fill="auto"/>
            <w:vAlign w:val="center"/>
          </w:tcPr>
          <w:p w14:paraId="65FF7F9E"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1393" w:type="pct"/>
            <w:tcBorders>
              <w:top w:val="nil"/>
              <w:bottom w:val="nil"/>
            </w:tcBorders>
            <w:shd w:val="clear" w:color="auto" w:fill="auto"/>
            <w:vAlign w:val="center"/>
          </w:tcPr>
          <w:p w14:paraId="15CFC55D"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6,7%</w:t>
            </w:r>
          </w:p>
        </w:tc>
      </w:tr>
      <w:tr w:rsidR="00B43DDD" w:rsidRPr="0047203B" w14:paraId="2074F01E" w14:textId="77777777" w:rsidTr="00B43DDD">
        <w:tc>
          <w:tcPr>
            <w:tcW w:w="1097" w:type="pct"/>
            <w:vMerge/>
            <w:shd w:val="clear" w:color="auto" w:fill="auto"/>
            <w:vAlign w:val="center"/>
          </w:tcPr>
          <w:p w14:paraId="6AA4FC30" w14:textId="77777777" w:rsidR="00B43DDD" w:rsidRPr="0047203B" w:rsidRDefault="00B43DDD" w:rsidP="00B43DDD">
            <w:pPr>
              <w:rPr>
                <w:rFonts w:ascii="Arial" w:eastAsia="EB Garamond" w:hAnsi="Arial" w:cs="Arial"/>
                <w:color w:val="000000" w:themeColor="text1"/>
              </w:rPr>
            </w:pPr>
          </w:p>
        </w:tc>
        <w:tc>
          <w:tcPr>
            <w:tcW w:w="1490" w:type="pct"/>
            <w:tcBorders>
              <w:top w:val="nil"/>
              <w:bottom w:val="nil"/>
            </w:tcBorders>
            <w:shd w:val="clear" w:color="auto" w:fill="auto"/>
          </w:tcPr>
          <w:p w14:paraId="566BA031"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31-35 years</w:t>
            </w:r>
          </w:p>
        </w:tc>
        <w:tc>
          <w:tcPr>
            <w:tcW w:w="1019" w:type="pct"/>
            <w:tcBorders>
              <w:top w:val="nil"/>
              <w:bottom w:val="nil"/>
            </w:tcBorders>
            <w:shd w:val="clear" w:color="auto" w:fill="auto"/>
            <w:vAlign w:val="center"/>
          </w:tcPr>
          <w:p w14:paraId="79ED6112"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3</w:t>
            </w:r>
          </w:p>
        </w:tc>
        <w:tc>
          <w:tcPr>
            <w:tcW w:w="1393" w:type="pct"/>
            <w:tcBorders>
              <w:top w:val="nil"/>
              <w:bottom w:val="nil"/>
            </w:tcBorders>
            <w:shd w:val="clear" w:color="auto" w:fill="auto"/>
            <w:vAlign w:val="center"/>
          </w:tcPr>
          <w:p w14:paraId="22B1F79C"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5%</w:t>
            </w:r>
          </w:p>
        </w:tc>
      </w:tr>
      <w:tr w:rsidR="00B43DDD" w:rsidRPr="0047203B" w14:paraId="1336A205" w14:textId="77777777" w:rsidTr="00B43DDD">
        <w:tc>
          <w:tcPr>
            <w:tcW w:w="1097" w:type="pct"/>
            <w:vMerge/>
            <w:shd w:val="clear" w:color="auto" w:fill="auto"/>
            <w:vAlign w:val="center"/>
          </w:tcPr>
          <w:p w14:paraId="412C7D93" w14:textId="77777777" w:rsidR="00B43DDD" w:rsidRPr="0047203B" w:rsidRDefault="00B43DDD" w:rsidP="00B43DDD">
            <w:pPr>
              <w:rPr>
                <w:rFonts w:ascii="Arial" w:eastAsia="EB Garamond" w:hAnsi="Arial" w:cs="Arial"/>
                <w:color w:val="000000" w:themeColor="text1"/>
              </w:rPr>
            </w:pPr>
          </w:p>
        </w:tc>
        <w:tc>
          <w:tcPr>
            <w:tcW w:w="1490" w:type="pct"/>
            <w:tcBorders>
              <w:top w:val="nil"/>
              <w:bottom w:val="single" w:sz="8" w:space="0" w:color="auto"/>
            </w:tcBorders>
            <w:shd w:val="clear" w:color="auto" w:fill="auto"/>
          </w:tcPr>
          <w:p w14:paraId="62DA3F9A"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36-40 years</w:t>
            </w:r>
          </w:p>
        </w:tc>
        <w:tc>
          <w:tcPr>
            <w:tcW w:w="1019" w:type="pct"/>
            <w:tcBorders>
              <w:top w:val="nil"/>
              <w:bottom w:val="single" w:sz="8" w:space="0" w:color="auto"/>
            </w:tcBorders>
            <w:shd w:val="clear" w:color="auto" w:fill="auto"/>
            <w:vAlign w:val="center"/>
          </w:tcPr>
          <w:p w14:paraId="69C6D08F"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1393" w:type="pct"/>
            <w:tcBorders>
              <w:top w:val="nil"/>
              <w:bottom w:val="single" w:sz="8" w:space="0" w:color="auto"/>
            </w:tcBorders>
            <w:shd w:val="clear" w:color="auto" w:fill="auto"/>
            <w:vAlign w:val="center"/>
          </w:tcPr>
          <w:p w14:paraId="0B3BE115"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3,3%</w:t>
            </w:r>
          </w:p>
        </w:tc>
      </w:tr>
      <w:tr w:rsidR="00B43DDD" w:rsidRPr="0047203B" w14:paraId="15FE4E21" w14:textId="77777777" w:rsidTr="00B43DDD">
        <w:tc>
          <w:tcPr>
            <w:tcW w:w="1097" w:type="pct"/>
            <w:vMerge w:val="restart"/>
            <w:shd w:val="clear" w:color="auto" w:fill="auto"/>
            <w:vAlign w:val="center"/>
          </w:tcPr>
          <w:p w14:paraId="31F266EB"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Work</w:t>
            </w:r>
          </w:p>
        </w:tc>
        <w:tc>
          <w:tcPr>
            <w:tcW w:w="1490" w:type="pct"/>
            <w:tcBorders>
              <w:top w:val="single" w:sz="8" w:space="0" w:color="auto"/>
              <w:bottom w:val="nil"/>
            </w:tcBorders>
            <w:shd w:val="clear" w:color="auto" w:fill="auto"/>
          </w:tcPr>
          <w:p w14:paraId="3B631BB0"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Not yet/Not working</w:t>
            </w:r>
          </w:p>
        </w:tc>
        <w:tc>
          <w:tcPr>
            <w:tcW w:w="1019" w:type="pct"/>
            <w:tcBorders>
              <w:top w:val="single" w:sz="8" w:space="0" w:color="auto"/>
              <w:bottom w:val="nil"/>
            </w:tcBorders>
            <w:shd w:val="clear" w:color="auto" w:fill="auto"/>
            <w:vAlign w:val="center"/>
          </w:tcPr>
          <w:p w14:paraId="642A125E"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7</w:t>
            </w:r>
          </w:p>
        </w:tc>
        <w:tc>
          <w:tcPr>
            <w:tcW w:w="1393" w:type="pct"/>
            <w:tcBorders>
              <w:top w:val="single" w:sz="8" w:space="0" w:color="auto"/>
              <w:bottom w:val="nil"/>
            </w:tcBorders>
            <w:shd w:val="clear" w:color="auto" w:fill="auto"/>
            <w:vAlign w:val="center"/>
          </w:tcPr>
          <w:p w14:paraId="3D0F7B69"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11,7%</w:t>
            </w:r>
          </w:p>
        </w:tc>
      </w:tr>
      <w:tr w:rsidR="00B43DDD" w:rsidRPr="0047203B" w14:paraId="546EC4E3" w14:textId="77777777" w:rsidTr="00B43DDD">
        <w:tc>
          <w:tcPr>
            <w:tcW w:w="1097" w:type="pct"/>
            <w:vMerge/>
            <w:shd w:val="clear" w:color="auto" w:fill="auto"/>
            <w:vAlign w:val="center"/>
          </w:tcPr>
          <w:p w14:paraId="5807F971" w14:textId="77777777" w:rsidR="00B43DDD" w:rsidRPr="0047203B" w:rsidRDefault="00B43DDD" w:rsidP="00B43DDD">
            <w:pPr>
              <w:rPr>
                <w:rFonts w:ascii="Arial" w:eastAsia="EB Garamond" w:hAnsi="Arial" w:cs="Arial"/>
                <w:color w:val="000000" w:themeColor="text1"/>
              </w:rPr>
            </w:pPr>
          </w:p>
        </w:tc>
        <w:tc>
          <w:tcPr>
            <w:tcW w:w="1490" w:type="pct"/>
            <w:tcBorders>
              <w:top w:val="nil"/>
              <w:bottom w:val="nil"/>
            </w:tcBorders>
            <w:shd w:val="clear" w:color="auto" w:fill="auto"/>
          </w:tcPr>
          <w:p w14:paraId="44F93965"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State apparatus/officials</w:t>
            </w:r>
          </w:p>
        </w:tc>
        <w:tc>
          <w:tcPr>
            <w:tcW w:w="1019" w:type="pct"/>
            <w:tcBorders>
              <w:top w:val="nil"/>
              <w:bottom w:val="nil"/>
            </w:tcBorders>
            <w:shd w:val="clear" w:color="auto" w:fill="auto"/>
            <w:vAlign w:val="center"/>
          </w:tcPr>
          <w:p w14:paraId="281BAD43"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1393" w:type="pct"/>
            <w:tcBorders>
              <w:top w:val="nil"/>
              <w:bottom w:val="nil"/>
            </w:tcBorders>
            <w:shd w:val="clear" w:color="auto" w:fill="auto"/>
            <w:vAlign w:val="center"/>
          </w:tcPr>
          <w:p w14:paraId="48D2A773"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1,7%</w:t>
            </w:r>
          </w:p>
        </w:tc>
      </w:tr>
      <w:tr w:rsidR="00B43DDD" w:rsidRPr="0047203B" w14:paraId="058134F3" w14:textId="77777777" w:rsidTr="00B43DDD">
        <w:tc>
          <w:tcPr>
            <w:tcW w:w="1097" w:type="pct"/>
            <w:vMerge/>
            <w:shd w:val="clear" w:color="auto" w:fill="auto"/>
            <w:vAlign w:val="center"/>
          </w:tcPr>
          <w:p w14:paraId="388417B3" w14:textId="77777777" w:rsidR="00B43DDD" w:rsidRPr="0047203B" w:rsidRDefault="00B43DDD" w:rsidP="00B43DDD">
            <w:pPr>
              <w:rPr>
                <w:rFonts w:ascii="Arial" w:eastAsia="EB Garamond" w:hAnsi="Arial" w:cs="Arial"/>
                <w:color w:val="000000" w:themeColor="text1"/>
              </w:rPr>
            </w:pPr>
          </w:p>
        </w:tc>
        <w:tc>
          <w:tcPr>
            <w:tcW w:w="1490" w:type="pct"/>
            <w:tcBorders>
              <w:top w:val="nil"/>
              <w:bottom w:val="nil"/>
            </w:tcBorders>
            <w:shd w:val="clear" w:color="auto" w:fill="auto"/>
          </w:tcPr>
          <w:p w14:paraId="3E8E02B2"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Teaching energy</w:t>
            </w:r>
          </w:p>
        </w:tc>
        <w:tc>
          <w:tcPr>
            <w:tcW w:w="1019" w:type="pct"/>
            <w:tcBorders>
              <w:top w:val="nil"/>
              <w:bottom w:val="nil"/>
            </w:tcBorders>
            <w:shd w:val="clear" w:color="auto" w:fill="auto"/>
            <w:vAlign w:val="center"/>
          </w:tcPr>
          <w:p w14:paraId="690A4A3E"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1393" w:type="pct"/>
            <w:tcBorders>
              <w:top w:val="nil"/>
              <w:bottom w:val="nil"/>
            </w:tcBorders>
            <w:shd w:val="clear" w:color="auto" w:fill="auto"/>
            <w:vAlign w:val="center"/>
          </w:tcPr>
          <w:p w14:paraId="4ACF15B9"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3,3%</w:t>
            </w:r>
          </w:p>
        </w:tc>
      </w:tr>
      <w:tr w:rsidR="00B43DDD" w:rsidRPr="0047203B" w14:paraId="29251711" w14:textId="77777777" w:rsidTr="00B43DDD">
        <w:tc>
          <w:tcPr>
            <w:tcW w:w="1097" w:type="pct"/>
            <w:vMerge/>
            <w:shd w:val="clear" w:color="auto" w:fill="auto"/>
            <w:vAlign w:val="center"/>
          </w:tcPr>
          <w:p w14:paraId="48D9007B" w14:textId="77777777" w:rsidR="00B43DDD" w:rsidRPr="0047203B" w:rsidRDefault="00B43DDD" w:rsidP="00B43DDD">
            <w:pPr>
              <w:rPr>
                <w:rFonts w:ascii="Arial" w:eastAsia="EB Garamond" w:hAnsi="Arial" w:cs="Arial"/>
                <w:color w:val="000000" w:themeColor="text1"/>
              </w:rPr>
            </w:pPr>
          </w:p>
        </w:tc>
        <w:tc>
          <w:tcPr>
            <w:tcW w:w="1490" w:type="pct"/>
            <w:tcBorders>
              <w:top w:val="nil"/>
              <w:bottom w:val="nil"/>
            </w:tcBorders>
            <w:shd w:val="clear" w:color="auto" w:fill="auto"/>
          </w:tcPr>
          <w:p w14:paraId="47F43CFC"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Farmer/rancher</w:t>
            </w:r>
          </w:p>
        </w:tc>
        <w:tc>
          <w:tcPr>
            <w:tcW w:w="1019" w:type="pct"/>
            <w:tcBorders>
              <w:top w:val="nil"/>
              <w:bottom w:val="nil"/>
            </w:tcBorders>
            <w:shd w:val="clear" w:color="auto" w:fill="auto"/>
            <w:vAlign w:val="center"/>
          </w:tcPr>
          <w:p w14:paraId="7FD46244"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1393" w:type="pct"/>
            <w:tcBorders>
              <w:top w:val="nil"/>
              <w:bottom w:val="nil"/>
            </w:tcBorders>
            <w:shd w:val="clear" w:color="auto" w:fill="auto"/>
            <w:vAlign w:val="center"/>
          </w:tcPr>
          <w:p w14:paraId="11CAB8ED"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1,7%</w:t>
            </w:r>
          </w:p>
        </w:tc>
      </w:tr>
      <w:tr w:rsidR="00B43DDD" w:rsidRPr="0047203B" w14:paraId="5CF776BD" w14:textId="77777777" w:rsidTr="00B43DDD">
        <w:tc>
          <w:tcPr>
            <w:tcW w:w="1097" w:type="pct"/>
            <w:vMerge/>
            <w:shd w:val="clear" w:color="auto" w:fill="auto"/>
            <w:vAlign w:val="center"/>
          </w:tcPr>
          <w:p w14:paraId="0EF2BF25" w14:textId="77777777" w:rsidR="00B43DDD" w:rsidRPr="0047203B" w:rsidRDefault="00B43DDD" w:rsidP="00B43DDD">
            <w:pPr>
              <w:rPr>
                <w:rFonts w:ascii="Arial" w:eastAsia="EB Garamond" w:hAnsi="Arial" w:cs="Arial"/>
                <w:color w:val="000000" w:themeColor="text1"/>
              </w:rPr>
            </w:pPr>
          </w:p>
        </w:tc>
        <w:tc>
          <w:tcPr>
            <w:tcW w:w="1490" w:type="pct"/>
            <w:tcBorders>
              <w:top w:val="nil"/>
              <w:bottom w:val="nil"/>
            </w:tcBorders>
            <w:shd w:val="clear" w:color="auto" w:fill="auto"/>
          </w:tcPr>
          <w:p w14:paraId="119BAB5C"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Student/college student</w:t>
            </w:r>
          </w:p>
        </w:tc>
        <w:tc>
          <w:tcPr>
            <w:tcW w:w="1019" w:type="pct"/>
            <w:tcBorders>
              <w:top w:val="nil"/>
              <w:bottom w:val="nil"/>
            </w:tcBorders>
            <w:shd w:val="clear" w:color="auto" w:fill="auto"/>
            <w:vAlign w:val="center"/>
          </w:tcPr>
          <w:p w14:paraId="1C09B5C0"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43</w:t>
            </w:r>
          </w:p>
        </w:tc>
        <w:tc>
          <w:tcPr>
            <w:tcW w:w="1393" w:type="pct"/>
            <w:tcBorders>
              <w:top w:val="nil"/>
              <w:bottom w:val="nil"/>
            </w:tcBorders>
            <w:shd w:val="clear" w:color="auto" w:fill="auto"/>
            <w:vAlign w:val="center"/>
          </w:tcPr>
          <w:p w14:paraId="3B8E4B9C"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71,7%</w:t>
            </w:r>
          </w:p>
        </w:tc>
      </w:tr>
      <w:tr w:rsidR="00B43DDD" w:rsidRPr="0047203B" w14:paraId="0EF5FBBF" w14:textId="77777777" w:rsidTr="00B43DDD">
        <w:tc>
          <w:tcPr>
            <w:tcW w:w="1097" w:type="pct"/>
            <w:vMerge/>
            <w:shd w:val="clear" w:color="auto" w:fill="auto"/>
            <w:vAlign w:val="center"/>
          </w:tcPr>
          <w:p w14:paraId="1C930D0D" w14:textId="77777777" w:rsidR="00B43DDD" w:rsidRPr="0047203B" w:rsidRDefault="00B43DDD" w:rsidP="00B43DDD">
            <w:pPr>
              <w:rPr>
                <w:rFonts w:ascii="Arial" w:eastAsia="EB Garamond" w:hAnsi="Arial" w:cs="Arial"/>
                <w:color w:val="000000" w:themeColor="text1"/>
              </w:rPr>
            </w:pPr>
          </w:p>
        </w:tc>
        <w:tc>
          <w:tcPr>
            <w:tcW w:w="1490" w:type="pct"/>
            <w:tcBorders>
              <w:top w:val="nil"/>
              <w:bottom w:val="single" w:sz="8" w:space="0" w:color="auto"/>
            </w:tcBorders>
            <w:shd w:val="clear" w:color="auto" w:fill="auto"/>
          </w:tcPr>
          <w:p w14:paraId="50685DC6"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Self-employed</w:t>
            </w:r>
          </w:p>
        </w:tc>
        <w:tc>
          <w:tcPr>
            <w:tcW w:w="1019" w:type="pct"/>
            <w:tcBorders>
              <w:top w:val="nil"/>
              <w:bottom w:val="single" w:sz="8" w:space="0" w:color="auto"/>
            </w:tcBorders>
            <w:shd w:val="clear" w:color="auto" w:fill="auto"/>
            <w:vAlign w:val="center"/>
          </w:tcPr>
          <w:p w14:paraId="4EE25BA8"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8</w:t>
            </w:r>
          </w:p>
        </w:tc>
        <w:tc>
          <w:tcPr>
            <w:tcW w:w="1393" w:type="pct"/>
            <w:tcBorders>
              <w:top w:val="nil"/>
              <w:bottom w:val="single" w:sz="8" w:space="0" w:color="auto"/>
            </w:tcBorders>
            <w:shd w:val="clear" w:color="auto" w:fill="auto"/>
            <w:vAlign w:val="center"/>
          </w:tcPr>
          <w:p w14:paraId="5CE316FE"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13,3%</w:t>
            </w:r>
          </w:p>
        </w:tc>
      </w:tr>
      <w:tr w:rsidR="00B43DDD" w:rsidRPr="0047203B" w14:paraId="06D79D58" w14:textId="77777777" w:rsidTr="00B43DDD">
        <w:tc>
          <w:tcPr>
            <w:tcW w:w="1097" w:type="pct"/>
            <w:vMerge w:val="restart"/>
            <w:shd w:val="clear" w:color="auto" w:fill="auto"/>
            <w:vAlign w:val="center"/>
          </w:tcPr>
          <w:p w14:paraId="0DC79054" w14:textId="77777777" w:rsidR="00B43DDD" w:rsidRPr="0047203B"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Types of e-banking</w:t>
            </w:r>
          </w:p>
        </w:tc>
        <w:tc>
          <w:tcPr>
            <w:tcW w:w="1490" w:type="pct"/>
            <w:tcBorders>
              <w:top w:val="single" w:sz="8" w:space="0" w:color="auto"/>
              <w:bottom w:val="nil"/>
            </w:tcBorders>
            <w:shd w:val="clear" w:color="auto" w:fill="auto"/>
          </w:tcPr>
          <w:p w14:paraId="3BF893FF"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Mobile-banking</w:t>
            </w:r>
          </w:p>
        </w:tc>
        <w:tc>
          <w:tcPr>
            <w:tcW w:w="1019" w:type="pct"/>
            <w:tcBorders>
              <w:top w:val="single" w:sz="8" w:space="0" w:color="auto"/>
              <w:bottom w:val="nil"/>
            </w:tcBorders>
            <w:shd w:val="clear" w:color="auto" w:fill="auto"/>
            <w:vAlign w:val="center"/>
          </w:tcPr>
          <w:p w14:paraId="4A52814B"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56</w:t>
            </w:r>
          </w:p>
        </w:tc>
        <w:tc>
          <w:tcPr>
            <w:tcW w:w="1393" w:type="pct"/>
            <w:tcBorders>
              <w:top w:val="single" w:sz="8" w:space="0" w:color="auto"/>
              <w:bottom w:val="nil"/>
            </w:tcBorders>
            <w:shd w:val="clear" w:color="auto" w:fill="auto"/>
            <w:vAlign w:val="center"/>
          </w:tcPr>
          <w:p w14:paraId="5A36E40D"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93,3%</w:t>
            </w:r>
          </w:p>
        </w:tc>
      </w:tr>
      <w:tr w:rsidR="00B43DDD" w:rsidRPr="0047203B" w14:paraId="159AFD4A" w14:textId="77777777" w:rsidTr="00B43DDD">
        <w:tc>
          <w:tcPr>
            <w:tcW w:w="1097" w:type="pct"/>
            <w:vMerge/>
            <w:shd w:val="clear" w:color="auto" w:fill="auto"/>
          </w:tcPr>
          <w:p w14:paraId="18BBEB8C" w14:textId="77777777" w:rsidR="00B43DDD" w:rsidRPr="0047203B" w:rsidRDefault="00B43DDD" w:rsidP="00B43DDD">
            <w:pPr>
              <w:rPr>
                <w:rFonts w:ascii="Arial" w:eastAsia="EB Garamond" w:hAnsi="Arial" w:cs="Arial"/>
                <w:color w:val="000000" w:themeColor="text1"/>
              </w:rPr>
            </w:pPr>
          </w:p>
        </w:tc>
        <w:tc>
          <w:tcPr>
            <w:tcW w:w="1490" w:type="pct"/>
            <w:tcBorders>
              <w:top w:val="nil"/>
              <w:bottom w:val="single" w:sz="8" w:space="0" w:color="auto"/>
            </w:tcBorders>
            <w:shd w:val="clear" w:color="auto" w:fill="auto"/>
          </w:tcPr>
          <w:p w14:paraId="7C4824A2" w14:textId="77777777" w:rsidR="00B43DDD" w:rsidRPr="0047203B" w:rsidRDefault="00B43DDD" w:rsidP="00B43DDD">
            <w:pPr>
              <w:spacing w:line="259" w:lineRule="auto"/>
              <w:rPr>
                <w:rFonts w:ascii="Arial" w:eastAsia="EB Garamond" w:hAnsi="Arial" w:cs="Arial"/>
                <w:color w:val="000000" w:themeColor="text1"/>
              </w:rPr>
            </w:pPr>
            <w:r w:rsidRPr="0047203B">
              <w:rPr>
                <w:rFonts w:ascii="Arial" w:eastAsia="EB Garamond" w:hAnsi="Arial" w:cs="Arial"/>
                <w:color w:val="000000" w:themeColor="text1"/>
              </w:rPr>
              <w:t>Internet banking</w:t>
            </w:r>
          </w:p>
        </w:tc>
        <w:tc>
          <w:tcPr>
            <w:tcW w:w="1019" w:type="pct"/>
            <w:tcBorders>
              <w:top w:val="nil"/>
              <w:bottom w:val="single" w:sz="8" w:space="0" w:color="auto"/>
            </w:tcBorders>
            <w:shd w:val="clear" w:color="auto" w:fill="auto"/>
            <w:vAlign w:val="center"/>
          </w:tcPr>
          <w:p w14:paraId="76B265B1"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1393" w:type="pct"/>
            <w:tcBorders>
              <w:top w:val="nil"/>
              <w:bottom w:val="single" w:sz="8" w:space="0" w:color="auto"/>
            </w:tcBorders>
            <w:shd w:val="clear" w:color="auto" w:fill="auto"/>
            <w:vAlign w:val="center"/>
          </w:tcPr>
          <w:p w14:paraId="34F42778" w14:textId="77777777" w:rsidR="00B43DDD" w:rsidRPr="0047203B" w:rsidRDefault="00B43DDD" w:rsidP="00B43DDD">
            <w:pPr>
              <w:jc w:val="center"/>
              <w:rPr>
                <w:rFonts w:ascii="Arial" w:eastAsia="EB Garamond" w:hAnsi="Arial" w:cs="Arial"/>
                <w:color w:val="000000" w:themeColor="text1"/>
              </w:rPr>
            </w:pPr>
            <w:r w:rsidRPr="0047203B">
              <w:rPr>
                <w:rFonts w:ascii="Arial" w:eastAsia="EB Garamond" w:hAnsi="Arial" w:cs="Arial"/>
                <w:color w:val="000000" w:themeColor="text1"/>
              </w:rPr>
              <w:t>6,7%</w:t>
            </w:r>
          </w:p>
        </w:tc>
      </w:tr>
      <w:tr w:rsidR="00B43DDD" w:rsidRPr="0047203B" w14:paraId="5F82CD53" w14:textId="77777777" w:rsidTr="00B43DDD">
        <w:tc>
          <w:tcPr>
            <w:tcW w:w="5000" w:type="pct"/>
            <w:gridSpan w:val="4"/>
            <w:shd w:val="clear" w:color="auto" w:fill="auto"/>
          </w:tcPr>
          <w:p w14:paraId="0F0146EA" w14:textId="77777777" w:rsidR="00B43DDD" w:rsidRDefault="00B43DDD" w:rsidP="00B43DDD">
            <w:pPr>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221D779F" w14:textId="380BDCB1" w:rsidR="00255D8C" w:rsidRPr="0047203B" w:rsidRDefault="00255D8C" w:rsidP="00B43DDD">
            <w:pPr>
              <w:rPr>
                <w:rFonts w:ascii="Arial" w:eastAsia="EB Garamond" w:hAnsi="Arial" w:cs="Arial"/>
                <w:color w:val="000000" w:themeColor="text1"/>
              </w:rPr>
            </w:pPr>
          </w:p>
        </w:tc>
      </w:tr>
    </w:tbl>
    <w:p w14:paraId="4007C77D" w14:textId="77777777" w:rsidR="00033BE9" w:rsidRDefault="00033BE9" w:rsidP="0054195E">
      <w:pPr>
        <w:pBdr>
          <w:top w:val="nil"/>
          <w:left w:val="nil"/>
          <w:bottom w:val="nil"/>
          <w:right w:val="nil"/>
          <w:between w:val="nil"/>
        </w:pBdr>
        <w:spacing w:after="0" w:line="240" w:lineRule="auto"/>
        <w:jc w:val="both"/>
        <w:rPr>
          <w:rFonts w:ascii="Arial" w:eastAsia="EB Garamond" w:hAnsi="Arial" w:cs="Arial"/>
          <w:color w:val="000000" w:themeColor="text1"/>
        </w:rPr>
        <w:sectPr w:rsidR="00033BE9">
          <w:type w:val="continuous"/>
          <w:pgSz w:w="11906" w:h="16838"/>
          <w:pgMar w:top="1440" w:right="1440" w:bottom="1440" w:left="1440" w:header="397" w:footer="708" w:gutter="0"/>
          <w:cols w:space="720"/>
        </w:sectPr>
      </w:pPr>
    </w:p>
    <w:p w14:paraId="53F821A2" w14:textId="77777777" w:rsidR="000812BB" w:rsidRDefault="00D412E5" w:rsidP="000812BB">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Referring to the table above Analysis of 60 respondents in Batang Kuis reveals interesting demographic characteristics. In terms of gender, women dominate, namely 37 people with a percentage of 61.7% indicating that women in this area are more active in adopting digital banking services. The age of respondents is concentrated in the 17-24 year group with a percentage of 85%, indicating that the younger generation in Batang Kuis has a higher level of e-banking adoption. Most respondents consist of students or students, namely 43 individuals with a percentage of 71.7%, which is in line with the pattern of digital technology utilization among the younger generation. The preference for using e-banking is more inclined towards mobile banking, namely 56 with a percentage of 93.3%, indicating that mobile application-based banking services are more popular among respondents. The data in the identity table shows significant variation among respondents. This shows that individual characteristics are very diverse and need to be </w:t>
      </w:r>
      <w:r w:rsidR="0054195E">
        <w:rPr>
          <w:rFonts w:ascii="Arial" w:eastAsia="EB Garamond" w:hAnsi="Arial" w:cs="Arial"/>
          <w:color w:val="000000" w:themeColor="text1"/>
        </w:rPr>
        <w:t>considered in further analysis.</w:t>
      </w:r>
    </w:p>
    <w:p w14:paraId="334B6BE4" w14:textId="77777777" w:rsidR="00B94433" w:rsidRDefault="00B94433" w:rsidP="000812BB">
      <w:pPr>
        <w:spacing w:after="0"/>
        <w:jc w:val="center"/>
        <w:rPr>
          <w:rFonts w:ascii="Arial" w:eastAsia="EB Garamond" w:hAnsi="Arial" w:cs="Arial"/>
          <w:b/>
          <w:color w:val="000000" w:themeColor="text1"/>
        </w:rPr>
        <w:sectPr w:rsidR="00B94433" w:rsidSect="00B94433">
          <w:type w:val="continuous"/>
          <w:pgSz w:w="11906" w:h="16838"/>
          <w:pgMar w:top="1440" w:right="1440" w:bottom="1440" w:left="1440" w:header="397" w:footer="708" w:gutter="0"/>
          <w:cols w:num="2" w:space="720"/>
        </w:sectPr>
      </w:pPr>
    </w:p>
    <w:tbl>
      <w:tblPr>
        <w:tblW w:w="9149" w:type="dxa"/>
        <w:tblInd w:w="93" w:type="dxa"/>
        <w:tblBorders>
          <w:insideH w:val="single" w:sz="4" w:space="0" w:color="auto"/>
        </w:tblBorders>
        <w:tblLook w:val="04A0" w:firstRow="1" w:lastRow="0" w:firstColumn="1" w:lastColumn="0" w:noHBand="0" w:noVBand="1"/>
      </w:tblPr>
      <w:tblGrid>
        <w:gridCol w:w="1402"/>
        <w:gridCol w:w="1256"/>
        <w:gridCol w:w="1210"/>
        <w:gridCol w:w="1210"/>
        <w:gridCol w:w="1035"/>
        <w:gridCol w:w="1424"/>
        <w:gridCol w:w="1612"/>
      </w:tblGrid>
      <w:tr w:rsidR="000812BB" w:rsidRPr="000812BB" w14:paraId="36FA80A6" w14:textId="77777777" w:rsidTr="00744D05">
        <w:trPr>
          <w:trHeight w:val="274"/>
        </w:trPr>
        <w:tc>
          <w:tcPr>
            <w:tcW w:w="9149" w:type="dxa"/>
            <w:gridSpan w:val="7"/>
            <w:shd w:val="clear" w:color="auto" w:fill="auto"/>
            <w:noWrap/>
            <w:vAlign w:val="bottom"/>
          </w:tcPr>
          <w:p w14:paraId="1C28A269" w14:textId="4ADA49BB" w:rsidR="000812BB" w:rsidRDefault="000812BB" w:rsidP="000812BB">
            <w:pPr>
              <w:spacing w:after="0"/>
              <w:jc w:val="center"/>
              <w:rPr>
                <w:rFonts w:ascii="Arial" w:eastAsia="EB Garamond" w:hAnsi="Arial" w:cs="Arial"/>
                <w:b/>
                <w:color w:val="000000" w:themeColor="text1"/>
              </w:rPr>
            </w:pPr>
            <w:r w:rsidRPr="0047203B">
              <w:rPr>
                <w:rFonts w:ascii="Arial" w:eastAsia="EB Garamond" w:hAnsi="Arial" w:cs="Arial"/>
                <w:b/>
                <w:color w:val="000000" w:themeColor="text1"/>
              </w:rPr>
              <w:lastRenderedPageBreak/>
              <w:t>Tabel 4</w:t>
            </w:r>
            <w:r>
              <w:rPr>
                <w:rFonts w:ascii="Arial" w:eastAsia="EB Garamond" w:hAnsi="Arial" w:cs="Arial"/>
                <w:b/>
                <w:color w:val="000000" w:themeColor="text1"/>
              </w:rPr>
              <w:t>.</w:t>
            </w:r>
          </w:p>
          <w:p w14:paraId="722956F9" w14:textId="73C3C098" w:rsidR="000812BB" w:rsidRPr="00E26C41" w:rsidRDefault="00E26C41" w:rsidP="00744D05">
            <w:pPr>
              <w:spacing w:after="0" w:line="240" w:lineRule="auto"/>
              <w:jc w:val="center"/>
              <w:rPr>
                <w:rFonts w:ascii="Arial" w:eastAsia="EB Garamond" w:hAnsi="Arial" w:cs="Arial"/>
                <w:b/>
                <w:color w:val="000000" w:themeColor="text1"/>
              </w:rPr>
            </w:pPr>
            <w:r w:rsidRPr="00E26C41">
              <w:rPr>
                <w:rFonts w:ascii="Arial" w:eastAsia="EB Garamond" w:hAnsi="Arial" w:cs="Arial"/>
                <w:b/>
                <w:color w:val="000000" w:themeColor="text1"/>
                <w:lang w:val="en"/>
              </w:rPr>
              <w:t>Descriptive Statistics</w:t>
            </w:r>
          </w:p>
        </w:tc>
      </w:tr>
      <w:tr w:rsidR="000812BB" w:rsidRPr="000812BB" w14:paraId="184018A6" w14:textId="77777777" w:rsidTr="00744D05">
        <w:trPr>
          <w:trHeight w:val="274"/>
        </w:trPr>
        <w:tc>
          <w:tcPr>
            <w:tcW w:w="1402" w:type="dxa"/>
            <w:shd w:val="clear" w:color="auto" w:fill="auto"/>
            <w:noWrap/>
            <w:vAlign w:val="bottom"/>
            <w:hideMark/>
          </w:tcPr>
          <w:p w14:paraId="36846A36" w14:textId="64A296D2" w:rsidR="000812BB" w:rsidRPr="000812BB" w:rsidRDefault="00E26C41" w:rsidP="0088544F">
            <w:pPr>
              <w:spacing w:after="0" w:line="240" w:lineRule="auto"/>
              <w:rPr>
                <w:rFonts w:ascii="Arial" w:eastAsia="Times New Roman" w:hAnsi="Arial" w:cs="Arial"/>
                <w:color w:val="000000"/>
                <w:lang w:eastAsia="en-US"/>
              </w:rPr>
            </w:pPr>
            <w:r>
              <w:rPr>
                <w:rFonts w:ascii="Arial" w:eastAsia="Times New Roman" w:hAnsi="Arial" w:cs="Arial"/>
                <w:color w:val="000000"/>
                <w:lang w:eastAsia="en-US"/>
              </w:rPr>
              <w:t>D</w:t>
            </w:r>
            <w:r w:rsidRPr="00E26C41">
              <w:rPr>
                <w:rFonts w:ascii="Arial" w:eastAsia="Times New Roman" w:hAnsi="Arial" w:cs="Arial"/>
                <w:color w:val="000000"/>
                <w:lang w:eastAsia="en-US"/>
              </w:rPr>
              <w:t>escription</w:t>
            </w:r>
          </w:p>
        </w:tc>
        <w:tc>
          <w:tcPr>
            <w:tcW w:w="1251" w:type="dxa"/>
            <w:tcBorders>
              <w:bottom w:val="single" w:sz="8" w:space="0" w:color="auto"/>
            </w:tcBorders>
            <w:shd w:val="clear" w:color="auto" w:fill="auto"/>
            <w:noWrap/>
            <w:vAlign w:val="center"/>
            <w:hideMark/>
          </w:tcPr>
          <w:p w14:paraId="10EB708A" w14:textId="313124C4" w:rsidR="000812BB" w:rsidRPr="000812BB" w:rsidRDefault="0088544F"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Mean</w:t>
            </w:r>
          </w:p>
        </w:tc>
        <w:tc>
          <w:tcPr>
            <w:tcW w:w="1211" w:type="dxa"/>
            <w:tcBorders>
              <w:bottom w:val="single" w:sz="8" w:space="0" w:color="auto"/>
            </w:tcBorders>
            <w:shd w:val="clear" w:color="auto" w:fill="auto"/>
            <w:noWrap/>
            <w:vAlign w:val="center"/>
            <w:hideMark/>
          </w:tcPr>
          <w:p w14:paraId="33490638" w14:textId="7A30226C" w:rsidR="000812BB" w:rsidRPr="000812BB" w:rsidRDefault="0088544F"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Median</w:t>
            </w:r>
          </w:p>
        </w:tc>
        <w:tc>
          <w:tcPr>
            <w:tcW w:w="1211" w:type="dxa"/>
            <w:shd w:val="clear" w:color="auto" w:fill="auto"/>
            <w:noWrap/>
            <w:vAlign w:val="center"/>
            <w:hideMark/>
          </w:tcPr>
          <w:p w14:paraId="13807301" w14:textId="5F71676E" w:rsidR="000812BB" w:rsidRPr="000812BB" w:rsidRDefault="0088544F"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Max</w:t>
            </w:r>
          </w:p>
        </w:tc>
        <w:tc>
          <w:tcPr>
            <w:tcW w:w="1036" w:type="dxa"/>
            <w:shd w:val="clear" w:color="auto" w:fill="auto"/>
            <w:noWrap/>
            <w:vAlign w:val="center"/>
            <w:hideMark/>
          </w:tcPr>
          <w:p w14:paraId="41C8ACFA" w14:textId="48E71A8F" w:rsidR="000812BB" w:rsidRPr="000812BB" w:rsidRDefault="0088544F"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Min</w:t>
            </w:r>
          </w:p>
        </w:tc>
        <w:tc>
          <w:tcPr>
            <w:tcW w:w="1425" w:type="dxa"/>
            <w:shd w:val="clear" w:color="auto" w:fill="auto"/>
            <w:noWrap/>
            <w:vAlign w:val="center"/>
            <w:hideMark/>
          </w:tcPr>
          <w:p w14:paraId="4AA0D4D4" w14:textId="0FD58265" w:rsidR="000812BB" w:rsidRPr="000812BB" w:rsidRDefault="0088544F"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Stdev</w:t>
            </w:r>
          </w:p>
        </w:tc>
        <w:tc>
          <w:tcPr>
            <w:tcW w:w="1613" w:type="dxa"/>
            <w:shd w:val="clear" w:color="auto" w:fill="auto"/>
            <w:noWrap/>
            <w:vAlign w:val="center"/>
            <w:hideMark/>
          </w:tcPr>
          <w:p w14:paraId="171192F9" w14:textId="3A3B58E1" w:rsidR="000812BB" w:rsidRPr="000812BB" w:rsidRDefault="00E26C41" w:rsidP="00E26C41">
            <w:pPr>
              <w:spacing w:after="0" w:line="240" w:lineRule="auto"/>
              <w:jc w:val="right"/>
              <w:rPr>
                <w:rFonts w:ascii="Arial" w:eastAsia="Times New Roman" w:hAnsi="Arial" w:cs="Arial"/>
                <w:color w:val="000000"/>
                <w:lang w:eastAsia="en-US"/>
              </w:rPr>
            </w:pPr>
            <w:r>
              <w:rPr>
                <w:rFonts w:ascii="Arial" w:eastAsia="Times New Roman" w:hAnsi="Arial" w:cs="Arial"/>
                <w:color w:val="000000"/>
                <w:lang w:eastAsia="en-US"/>
              </w:rPr>
              <w:t>R</w:t>
            </w:r>
            <w:r w:rsidRPr="00E26C41">
              <w:rPr>
                <w:rFonts w:ascii="Arial" w:eastAsia="Times New Roman" w:hAnsi="Arial" w:cs="Arial"/>
                <w:color w:val="000000"/>
                <w:lang w:eastAsia="en-US"/>
              </w:rPr>
              <w:t>espondents</w:t>
            </w:r>
          </w:p>
        </w:tc>
      </w:tr>
      <w:tr w:rsidR="00693C6C" w:rsidRPr="000812BB" w14:paraId="1F108CD3" w14:textId="77777777" w:rsidTr="00744D05">
        <w:trPr>
          <w:trHeight w:val="274"/>
        </w:trPr>
        <w:tc>
          <w:tcPr>
            <w:tcW w:w="1402" w:type="dxa"/>
            <w:tcBorders>
              <w:top w:val="single" w:sz="12" w:space="0" w:color="auto"/>
            </w:tcBorders>
            <w:shd w:val="clear" w:color="auto" w:fill="auto"/>
            <w:noWrap/>
            <w:vAlign w:val="bottom"/>
          </w:tcPr>
          <w:p w14:paraId="6DFE6900" w14:textId="2236FD03" w:rsidR="00693C6C" w:rsidRPr="000812BB" w:rsidRDefault="00693C6C" w:rsidP="0088544F">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X1</w:t>
            </w:r>
          </w:p>
        </w:tc>
        <w:tc>
          <w:tcPr>
            <w:tcW w:w="1251" w:type="dxa"/>
            <w:tcBorders>
              <w:top w:val="single" w:sz="12" w:space="0" w:color="auto"/>
            </w:tcBorders>
            <w:shd w:val="clear" w:color="auto" w:fill="auto"/>
            <w:noWrap/>
            <w:vAlign w:val="center"/>
            <w:hideMark/>
          </w:tcPr>
          <w:p w14:paraId="540F16E4" w14:textId="77777777"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17.33333</w:t>
            </w:r>
          </w:p>
        </w:tc>
        <w:tc>
          <w:tcPr>
            <w:tcW w:w="1211" w:type="dxa"/>
            <w:tcBorders>
              <w:top w:val="single" w:sz="12" w:space="0" w:color="auto"/>
            </w:tcBorders>
            <w:shd w:val="clear" w:color="auto" w:fill="auto"/>
            <w:noWrap/>
            <w:vAlign w:val="center"/>
            <w:hideMark/>
          </w:tcPr>
          <w:p w14:paraId="61EE0643" w14:textId="3FD58828"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17</w:t>
            </w:r>
          </w:p>
        </w:tc>
        <w:tc>
          <w:tcPr>
            <w:tcW w:w="1211" w:type="dxa"/>
            <w:tcBorders>
              <w:top w:val="single" w:sz="12" w:space="0" w:color="auto"/>
            </w:tcBorders>
            <w:shd w:val="clear" w:color="auto" w:fill="auto"/>
            <w:noWrap/>
            <w:vAlign w:val="center"/>
          </w:tcPr>
          <w:p w14:paraId="03732597" w14:textId="5A713DDB"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20</w:t>
            </w:r>
          </w:p>
        </w:tc>
        <w:tc>
          <w:tcPr>
            <w:tcW w:w="1036" w:type="dxa"/>
            <w:tcBorders>
              <w:top w:val="single" w:sz="12" w:space="0" w:color="auto"/>
            </w:tcBorders>
            <w:shd w:val="clear" w:color="auto" w:fill="auto"/>
            <w:noWrap/>
            <w:vAlign w:val="center"/>
          </w:tcPr>
          <w:p w14:paraId="7375BEE2" w14:textId="1364CE0B"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12</w:t>
            </w:r>
          </w:p>
        </w:tc>
        <w:tc>
          <w:tcPr>
            <w:tcW w:w="1425" w:type="dxa"/>
            <w:tcBorders>
              <w:top w:val="single" w:sz="12" w:space="0" w:color="auto"/>
            </w:tcBorders>
            <w:shd w:val="clear" w:color="auto" w:fill="auto"/>
            <w:noWrap/>
            <w:vAlign w:val="center"/>
          </w:tcPr>
          <w:p w14:paraId="0728EAAD" w14:textId="1DDECA90"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1.709451</w:t>
            </w:r>
          </w:p>
        </w:tc>
        <w:tc>
          <w:tcPr>
            <w:tcW w:w="1613" w:type="dxa"/>
            <w:tcBorders>
              <w:top w:val="single" w:sz="12" w:space="0" w:color="auto"/>
            </w:tcBorders>
            <w:shd w:val="clear" w:color="auto" w:fill="auto"/>
            <w:noWrap/>
            <w:vAlign w:val="center"/>
          </w:tcPr>
          <w:p w14:paraId="47BFAB04" w14:textId="0F6653DD"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60</w:t>
            </w:r>
          </w:p>
        </w:tc>
      </w:tr>
      <w:tr w:rsidR="00693C6C" w:rsidRPr="000812BB" w14:paraId="717B8659" w14:textId="77777777" w:rsidTr="00744D05">
        <w:trPr>
          <w:trHeight w:val="274"/>
        </w:trPr>
        <w:tc>
          <w:tcPr>
            <w:tcW w:w="1402" w:type="dxa"/>
            <w:tcBorders>
              <w:bottom w:val="single" w:sz="8" w:space="0" w:color="auto"/>
            </w:tcBorders>
            <w:shd w:val="clear" w:color="auto" w:fill="auto"/>
            <w:noWrap/>
            <w:vAlign w:val="bottom"/>
          </w:tcPr>
          <w:p w14:paraId="58F7425C" w14:textId="329530C3" w:rsidR="00693C6C" w:rsidRPr="000812BB" w:rsidRDefault="00693C6C" w:rsidP="0088544F">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X2</w:t>
            </w:r>
          </w:p>
        </w:tc>
        <w:tc>
          <w:tcPr>
            <w:tcW w:w="1251" w:type="dxa"/>
            <w:shd w:val="clear" w:color="auto" w:fill="auto"/>
            <w:noWrap/>
            <w:vAlign w:val="center"/>
            <w:hideMark/>
          </w:tcPr>
          <w:p w14:paraId="20B996BF" w14:textId="7A9C35BD"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17.03333</w:t>
            </w:r>
          </w:p>
        </w:tc>
        <w:tc>
          <w:tcPr>
            <w:tcW w:w="1211" w:type="dxa"/>
            <w:shd w:val="clear" w:color="auto" w:fill="auto"/>
            <w:noWrap/>
            <w:vAlign w:val="center"/>
            <w:hideMark/>
          </w:tcPr>
          <w:p w14:paraId="0AD8D044" w14:textId="77777777"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w:t>
            </w:r>
          </w:p>
        </w:tc>
        <w:tc>
          <w:tcPr>
            <w:tcW w:w="1211" w:type="dxa"/>
            <w:shd w:val="clear" w:color="auto" w:fill="auto"/>
            <w:noWrap/>
            <w:vAlign w:val="center"/>
          </w:tcPr>
          <w:p w14:paraId="3ABA80FE" w14:textId="455EE94D"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20</w:t>
            </w:r>
          </w:p>
        </w:tc>
        <w:tc>
          <w:tcPr>
            <w:tcW w:w="1036" w:type="dxa"/>
            <w:shd w:val="clear" w:color="auto" w:fill="auto"/>
            <w:noWrap/>
            <w:vAlign w:val="center"/>
          </w:tcPr>
          <w:p w14:paraId="1FF36445" w14:textId="1D4128CF"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9</w:t>
            </w:r>
          </w:p>
        </w:tc>
        <w:tc>
          <w:tcPr>
            <w:tcW w:w="1425" w:type="dxa"/>
            <w:shd w:val="clear" w:color="auto" w:fill="auto"/>
            <w:noWrap/>
            <w:vAlign w:val="center"/>
          </w:tcPr>
          <w:p w14:paraId="575A764B" w14:textId="286943B0"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2.344971</w:t>
            </w:r>
          </w:p>
        </w:tc>
        <w:tc>
          <w:tcPr>
            <w:tcW w:w="1613" w:type="dxa"/>
            <w:shd w:val="clear" w:color="auto" w:fill="auto"/>
            <w:noWrap/>
            <w:vAlign w:val="center"/>
          </w:tcPr>
          <w:p w14:paraId="4479032C" w14:textId="63ABFA68"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60</w:t>
            </w:r>
          </w:p>
        </w:tc>
      </w:tr>
      <w:tr w:rsidR="00693C6C" w:rsidRPr="000812BB" w14:paraId="7DA3F9F3" w14:textId="77777777" w:rsidTr="00744D05">
        <w:trPr>
          <w:trHeight w:val="274"/>
        </w:trPr>
        <w:tc>
          <w:tcPr>
            <w:tcW w:w="1402" w:type="dxa"/>
            <w:tcBorders>
              <w:top w:val="single" w:sz="8" w:space="0" w:color="auto"/>
            </w:tcBorders>
            <w:shd w:val="clear" w:color="auto" w:fill="auto"/>
            <w:noWrap/>
            <w:vAlign w:val="bottom"/>
          </w:tcPr>
          <w:p w14:paraId="2ADDFC98" w14:textId="207C660F" w:rsidR="00693C6C" w:rsidRPr="000812BB" w:rsidRDefault="00693C6C" w:rsidP="0088544F">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X3</w:t>
            </w:r>
          </w:p>
        </w:tc>
        <w:tc>
          <w:tcPr>
            <w:tcW w:w="1251" w:type="dxa"/>
            <w:shd w:val="clear" w:color="auto" w:fill="auto"/>
            <w:noWrap/>
            <w:vAlign w:val="center"/>
            <w:hideMark/>
          </w:tcPr>
          <w:p w14:paraId="21301B3A" w14:textId="060299F9"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17.23333</w:t>
            </w:r>
          </w:p>
        </w:tc>
        <w:tc>
          <w:tcPr>
            <w:tcW w:w="1211" w:type="dxa"/>
            <w:shd w:val="clear" w:color="auto" w:fill="auto"/>
            <w:noWrap/>
            <w:vAlign w:val="center"/>
            <w:hideMark/>
          </w:tcPr>
          <w:p w14:paraId="4D9148E6" w14:textId="0C3907A3"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17</w:t>
            </w:r>
          </w:p>
        </w:tc>
        <w:tc>
          <w:tcPr>
            <w:tcW w:w="1211" w:type="dxa"/>
            <w:shd w:val="clear" w:color="auto" w:fill="auto"/>
            <w:noWrap/>
            <w:vAlign w:val="center"/>
          </w:tcPr>
          <w:p w14:paraId="59A68EAC" w14:textId="65291AA5"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20</w:t>
            </w:r>
          </w:p>
        </w:tc>
        <w:tc>
          <w:tcPr>
            <w:tcW w:w="1036" w:type="dxa"/>
            <w:shd w:val="clear" w:color="auto" w:fill="auto"/>
            <w:noWrap/>
            <w:vAlign w:val="center"/>
          </w:tcPr>
          <w:p w14:paraId="65BC44A2" w14:textId="67C74924"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9</w:t>
            </w:r>
          </w:p>
        </w:tc>
        <w:tc>
          <w:tcPr>
            <w:tcW w:w="1425" w:type="dxa"/>
            <w:shd w:val="clear" w:color="auto" w:fill="auto"/>
            <w:noWrap/>
            <w:vAlign w:val="center"/>
          </w:tcPr>
          <w:p w14:paraId="02A1E721" w14:textId="24CF2C5F"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2.571424</w:t>
            </w:r>
          </w:p>
        </w:tc>
        <w:tc>
          <w:tcPr>
            <w:tcW w:w="1613" w:type="dxa"/>
            <w:shd w:val="clear" w:color="auto" w:fill="auto"/>
            <w:noWrap/>
            <w:vAlign w:val="center"/>
          </w:tcPr>
          <w:p w14:paraId="182C7C29" w14:textId="57B25FAA"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60</w:t>
            </w:r>
          </w:p>
        </w:tc>
      </w:tr>
      <w:tr w:rsidR="00693C6C" w:rsidRPr="000812BB" w14:paraId="0B8481B3" w14:textId="77777777" w:rsidTr="00744D05">
        <w:trPr>
          <w:trHeight w:val="274"/>
        </w:trPr>
        <w:tc>
          <w:tcPr>
            <w:tcW w:w="1402" w:type="dxa"/>
            <w:shd w:val="clear" w:color="auto" w:fill="auto"/>
            <w:noWrap/>
            <w:vAlign w:val="bottom"/>
          </w:tcPr>
          <w:p w14:paraId="16B8D3F2" w14:textId="5F641049" w:rsidR="00693C6C" w:rsidRPr="000812BB" w:rsidRDefault="00693C6C" w:rsidP="0088544F">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X4</w:t>
            </w:r>
          </w:p>
        </w:tc>
        <w:tc>
          <w:tcPr>
            <w:tcW w:w="1251" w:type="dxa"/>
            <w:shd w:val="clear" w:color="auto" w:fill="auto"/>
            <w:noWrap/>
            <w:vAlign w:val="center"/>
            <w:hideMark/>
          </w:tcPr>
          <w:p w14:paraId="4BA79759" w14:textId="1DD87ACC"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17.53333</w:t>
            </w:r>
          </w:p>
        </w:tc>
        <w:tc>
          <w:tcPr>
            <w:tcW w:w="1211" w:type="dxa"/>
            <w:shd w:val="clear" w:color="auto" w:fill="auto"/>
            <w:noWrap/>
            <w:vAlign w:val="center"/>
            <w:hideMark/>
          </w:tcPr>
          <w:p w14:paraId="77660027" w14:textId="6497EB04"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18</w:t>
            </w:r>
          </w:p>
        </w:tc>
        <w:tc>
          <w:tcPr>
            <w:tcW w:w="1211" w:type="dxa"/>
            <w:shd w:val="clear" w:color="auto" w:fill="auto"/>
            <w:noWrap/>
            <w:vAlign w:val="center"/>
          </w:tcPr>
          <w:p w14:paraId="1F20DBAB" w14:textId="46C8D3CB"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20</w:t>
            </w:r>
          </w:p>
        </w:tc>
        <w:tc>
          <w:tcPr>
            <w:tcW w:w="1036" w:type="dxa"/>
            <w:shd w:val="clear" w:color="auto" w:fill="auto"/>
            <w:noWrap/>
            <w:vAlign w:val="center"/>
          </w:tcPr>
          <w:p w14:paraId="4A980091" w14:textId="634DCFE7"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11</w:t>
            </w:r>
          </w:p>
        </w:tc>
        <w:tc>
          <w:tcPr>
            <w:tcW w:w="1425" w:type="dxa"/>
            <w:shd w:val="clear" w:color="auto" w:fill="auto"/>
            <w:noWrap/>
            <w:vAlign w:val="center"/>
          </w:tcPr>
          <w:p w14:paraId="445AA586" w14:textId="421B93D0"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2.186829</w:t>
            </w:r>
          </w:p>
        </w:tc>
        <w:tc>
          <w:tcPr>
            <w:tcW w:w="1613" w:type="dxa"/>
            <w:shd w:val="clear" w:color="auto" w:fill="auto"/>
            <w:noWrap/>
            <w:vAlign w:val="center"/>
          </w:tcPr>
          <w:p w14:paraId="648CE044" w14:textId="710CEE92"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60</w:t>
            </w:r>
          </w:p>
        </w:tc>
      </w:tr>
      <w:tr w:rsidR="00693C6C" w:rsidRPr="000812BB" w14:paraId="344C44BE" w14:textId="77777777" w:rsidTr="00744D05">
        <w:trPr>
          <w:trHeight w:val="274"/>
        </w:trPr>
        <w:tc>
          <w:tcPr>
            <w:tcW w:w="1402" w:type="dxa"/>
            <w:shd w:val="clear" w:color="auto" w:fill="auto"/>
            <w:noWrap/>
            <w:vAlign w:val="bottom"/>
          </w:tcPr>
          <w:p w14:paraId="75706034" w14:textId="1CD19B43" w:rsidR="00693C6C" w:rsidRPr="000812BB" w:rsidRDefault="00693C6C" w:rsidP="0088544F">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X5</w:t>
            </w:r>
          </w:p>
        </w:tc>
        <w:tc>
          <w:tcPr>
            <w:tcW w:w="1251" w:type="dxa"/>
            <w:shd w:val="clear" w:color="auto" w:fill="auto"/>
            <w:noWrap/>
            <w:vAlign w:val="center"/>
            <w:hideMark/>
          </w:tcPr>
          <w:p w14:paraId="7327A339" w14:textId="4FFADFB3"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17.733333</w:t>
            </w:r>
          </w:p>
        </w:tc>
        <w:tc>
          <w:tcPr>
            <w:tcW w:w="1211" w:type="dxa"/>
            <w:shd w:val="clear" w:color="auto" w:fill="auto"/>
            <w:noWrap/>
            <w:vAlign w:val="center"/>
            <w:hideMark/>
          </w:tcPr>
          <w:p w14:paraId="52ADB6F8" w14:textId="6A7F65A1"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18</w:t>
            </w:r>
          </w:p>
        </w:tc>
        <w:tc>
          <w:tcPr>
            <w:tcW w:w="1211" w:type="dxa"/>
            <w:shd w:val="clear" w:color="auto" w:fill="auto"/>
            <w:noWrap/>
            <w:vAlign w:val="center"/>
          </w:tcPr>
          <w:p w14:paraId="6D512C45" w14:textId="2171E9E4"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20</w:t>
            </w:r>
          </w:p>
        </w:tc>
        <w:tc>
          <w:tcPr>
            <w:tcW w:w="1036" w:type="dxa"/>
            <w:shd w:val="clear" w:color="auto" w:fill="auto"/>
            <w:noWrap/>
            <w:vAlign w:val="center"/>
          </w:tcPr>
          <w:p w14:paraId="5E1C4DA6" w14:textId="3B2DCB5A"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11</w:t>
            </w:r>
          </w:p>
        </w:tc>
        <w:tc>
          <w:tcPr>
            <w:tcW w:w="1425" w:type="dxa"/>
            <w:shd w:val="clear" w:color="auto" w:fill="auto"/>
            <w:noWrap/>
            <w:vAlign w:val="center"/>
          </w:tcPr>
          <w:p w14:paraId="7EDBB96F" w14:textId="4B6283ED"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2.1044925</w:t>
            </w:r>
          </w:p>
        </w:tc>
        <w:tc>
          <w:tcPr>
            <w:tcW w:w="1613" w:type="dxa"/>
            <w:shd w:val="clear" w:color="auto" w:fill="auto"/>
            <w:noWrap/>
            <w:vAlign w:val="center"/>
          </w:tcPr>
          <w:p w14:paraId="4E65D940" w14:textId="182953DF"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60</w:t>
            </w:r>
          </w:p>
        </w:tc>
      </w:tr>
      <w:tr w:rsidR="00693C6C" w:rsidRPr="000812BB" w14:paraId="6975D3BB" w14:textId="77777777" w:rsidTr="00744D05">
        <w:trPr>
          <w:trHeight w:val="274"/>
        </w:trPr>
        <w:tc>
          <w:tcPr>
            <w:tcW w:w="1402" w:type="dxa"/>
            <w:shd w:val="clear" w:color="auto" w:fill="auto"/>
            <w:noWrap/>
            <w:vAlign w:val="bottom"/>
          </w:tcPr>
          <w:p w14:paraId="6CF5F45A" w14:textId="303E0B8B" w:rsidR="00693C6C" w:rsidRPr="000812BB" w:rsidRDefault="00693C6C" w:rsidP="0088544F">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Y</w:t>
            </w:r>
          </w:p>
        </w:tc>
        <w:tc>
          <w:tcPr>
            <w:tcW w:w="1251" w:type="dxa"/>
            <w:shd w:val="clear" w:color="auto" w:fill="auto"/>
            <w:noWrap/>
            <w:vAlign w:val="center"/>
            <w:hideMark/>
          </w:tcPr>
          <w:p w14:paraId="32AC1DE7" w14:textId="01D43D17"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17.816667</w:t>
            </w:r>
          </w:p>
        </w:tc>
        <w:tc>
          <w:tcPr>
            <w:tcW w:w="1211" w:type="dxa"/>
            <w:shd w:val="clear" w:color="auto" w:fill="auto"/>
            <w:noWrap/>
            <w:vAlign w:val="center"/>
            <w:hideMark/>
          </w:tcPr>
          <w:p w14:paraId="1003EE7A" w14:textId="77BC7533"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19</w:t>
            </w:r>
          </w:p>
        </w:tc>
        <w:tc>
          <w:tcPr>
            <w:tcW w:w="1211" w:type="dxa"/>
            <w:shd w:val="clear" w:color="auto" w:fill="auto"/>
            <w:noWrap/>
            <w:vAlign w:val="center"/>
          </w:tcPr>
          <w:p w14:paraId="01E083B5" w14:textId="2A268CD2"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20</w:t>
            </w:r>
          </w:p>
        </w:tc>
        <w:tc>
          <w:tcPr>
            <w:tcW w:w="1036" w:type="dxa"/>
            <w:shd w:val="clear" w:color="auto" w:fill="auto"/>
            <w:noWrap/>
            <w:vAlign w:val="center"/>
          </w:tcPr>
          <w:p w14:paraId="1D2971E0" w14:textId="66DF0DE4" w:rsidR="00693C6C" w:rsidRPr="000812BB" w:rsidRDefault="00693C6C" w:rsidP="000812BB">
            <w:pPr>
              <w:spacing w:after="0" w:line="240" w:lineRule="auto"/>
              <w:jc w:val="center"/>
              <w:rPr>
                <w:rFonts w:ascii="Arial" w:eastAsia="Times New Roman" w:hAnsi="Arial" w:cs="Arial"/>
                <w:color w:val="000000"/>
                <w:lang w:eastAsia="en-US"/>
              </w:rPr>
            </w:pPr>
            <w:r>
              <w:rPr>
                <w:rFonts w:ascii="Arial" w:eastAsia="Times New Roman" w:hAnsi="Arial" w:cs="Arial"/>
                <w:color w:val="000000"/>
                <w:lang w:eastAsia="en-US"/>
              </w:rPr>
              <w:t>10</w:t>
            </w:r>
          </w:p>
        </w:tc>
        <w:tc>
          <w:tcPr>
            <w:tcW w:w="1425" w:type="dxa"/>
            <w:shd w:val="clear" w:color="auto" w:fill="auto"/>
            <w:noWrap/>
            <w:vAlign w:val="center"/>
          </w:tcPr>
          <w:p w14:paraId="5A025DEA" w14:textId="5058BB9A"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2.2984898</w:t>
            </w:r>
          </w:p>
        </w:tc>
        <w:tc>
          <w:tcPr>
            <w:tcW w:w="1613" w:type="dxa"/>
            <w:shd w:val="clear" w:color="auto" w:fill="auto"/>
            <w:noWrap/>
            <w:vAlign w:val="center"/>
            <w:hideMark/>
          </w:tcPr>
          <w:p w14:paraId="27D9CC0D" w14:textId="77777777" w:rsidR="00693C6C" w:rsidRPr="000812BB" w:rsidRDefault="00693C6C" w:rsidP="000812BB">
            <w:pPr>
              <w:spacing w:after="0" w:line="240" w:lineRule="auto"/>
              <w:jc w:val="center"/>
              <w:rPr>
                <w:rFonts w:ascii="Arial" w:eastAsia="Times New Roman" w:hAnsi="Arial" w:cs="Arial"/>
                <w:color w:val="000000"/>
                <w:lang w:eastAsia="en-US"/>
              </w:rPr>
            </w:pPr>
            <w:r w:rsidRPr="000812BB">
              <w:rPr>
                <w:rFonts w:ascii="Arial" w:eastAsia="Times New Roman" w:hAnsi="Arial" w:cs="Arial"/>
                <w:color w:val="000000"/>
                <w:lang w:eastAsia="en-US"/>
              </w:rPr>
              <w:t>60</w:t>
            </w:r>
          </w:p>
        </w:tc>
      </w:tr>
      <w:tr w:rsidR="00693C6C" w:rsidRPr="000812BB" w14:paraId="570C8F5E" w14:textId="77777777" w:rsidTr="00744D05">
        <w:trPr>
          <w:trHeight w:val="274"/>
        </w:trPr>
        <w:tc>
          <w:tcPr>
            <w:tcW w:w="9149" w:type="dxa"/>
            <w:gridSpan w:val="7"/>
            <w:shd w:val="clear" w:color="auto" w:fill="auto"/>
            <w:noWrap/>
          </w:tcPr>
          <w:p w14:paraId="3F0A3C13" w14:textId="77777777" w:rsidR="00693C6C" w:rsidRDefault="00693C6C" w:rsidP="00B43DDD">
            <w:pPr>
              <w:spacing w:after="0"/>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6C88CC25" w14:textId="17CCD300" w:rsidR="00255D8C" w:rsidRPr="008C5F3D" w:rsidRDefault="00255D8C" w:rsidP="00B43DDD">
            <w:pPr>
              <w:spacing w:after="0"/>
              <w:rPr>
                <w:rFonts w:ascii="Arial" w:eastAsia="EB Garamond" w:hAnsi="Arial" w:cs="Arial"/>
                <w:color w:val="000000" w:themeColor="text1"/>
              </w:rPr>
            </w:pPr>
          </w:p>
        </w:tc>
      </w:tr>
    </w:tbl>
    <w:p w14:paraId="23882D32" w14:textId="77777777" w:rsidR="00A767DB" w:rsidRDefault="00A767DB" w:rsidP="00B94433">
      <w:pPr>
        <w:pBdr>
          <w:top w:val="nil"/>
          <w:left w:val="nil"/>
          <w:bottom w:val="nil"/>
          <w:right w:val="nil"/>
          <w:between w:val="nil"/>
        </w:pBdr>
        <w:spacing w:after="0" w:line="240" w:lineRule="auto"/>
        <w:ind w:firstLine="720"/>
        <w:jc w:val="both"/>
        <w:rPr>
          <w:rFonts w:ascii="Arial" w:eastAsia="EB Garamond" w:hAnsi="Arial" w:cs="Arial"/>
          <w:color w:val="000000" w:themeColor="text1"/>
        </w:rPr>
        <w:sectPr w:rsidR="00A767DB" w:rsidSect="000812BB">
          <w:type w:val="continuous"/>
          <w:pgSz w:w="11906" w:h="16838"/>
          <w:pgMar w:top="1440" w:right="1440" w:bottom="1440" w:left="1440" w:header="397" w:footer="708" w:gutter="0"/>
          <w:cols w:space="720"/>
        </w:sectPr>
      </w:pPr>
    </w:p>
    <w:p w14:paraId="3FA20E41" w14:textId="15CE39B2" w:rsidR="00B94433" w:rsidRPr="00B94433" w:rsidRDefault="00B94433" w:rsidP="00B94433">
      <w:pPr>
        <w:pBdr>
          <w:top w:val="nil"/>
          <w:left w:val="nil"/>
          <w:bottom w:val="nil"/>
          <w:right w:val="nil"/>
          <w:between w:val="nil"/>
        </w:pBdr>
        <w:spacing w:after="0" w:line="240" w:lineRule="auto"/>
        <w:ind w:firstLine="720"/>
        <w:jc w:val="both"/>
        <w:rPr>
          <w:rFonts w:ascii="Arial" w:eastAsia="EB Garamond" w:hAnsi="Arial" w:cs="Arial"/>
          <w:color w:val="000000" w:themeColor="text1"/>
        </w:rPr>
      </w:pPr>
      <w:r w:rsidRPr="00B94433">
        <w:rPr>
          <w:rFonts w:ascii="Arial" w:eastAsia="EB Garamond" w:hAnsi="Arial" w:cs="Arial"/>
          <w:color w:val="000000" w:themeColor="text1"/>
        </w:rPr>
        <w:lastRenderedPageBreak/>
        <w:t xml:space="preserve">Based on Table 4, it can be seen that of the 60 respondents in the quiz area </w:t>
      </w:r>
      <w:r w:rsidRPr="00B94433">
        <w:rPr>
          <w:rFonts w:ascii="Arial" w:eastAsia="EB Garamond" w:hAnsi="Arial" w:cs="Arial"/>
          <w:color w:val="000000" w:themeColor="text1"/>
        </w:rPr>
        <w:lastRenderedPageBreak/>
        <w:t xml:space="preserve">studied, there were variations in the values ​​for the research variables. For the </w:t>
      </w:r>
      <w:r w:rsidRPr="00B94433">
        <w:rPr>
          <w:rFonts w:ascii="Arial" w:eastAsia="EB Garamond" w:hAnsi="Arial" w:cs="Arial"/>
          <w:color w:val="000000" w:themeColor="text1"/>
        </w:rPr>
        <w:lastRenderedPageBreak/>
        <w:t>financial literacy variable (X1), the values ​​ranged from 12 to 20 with a median of 17. For the financial literacy variable ( * 18. and finally, for the financial literacy variable (y), the value ranges from 10 to 20 with a median of 19. Meanwhile, the standard Devian value for all variables ranges from 1.709 to 2.571, indicating a very good value because the standard value is smaller than with a mean value ranging from 17.033 to 17.816.</w:t>
      </w:r>
    </w:p>
    <w:p w14:paraId="4507673A" w14:textId="4482FC58" w:rsidR="002301E5" w:rsidRPr="0054195E" w:rsidRDefault="00A03EDA" w:rsidP="00033BE9">
      <w:pPr>
        <w:pBdr>
          <w:top w:val="nil"/>
          <w:left w:val="nil"/>
          <w:bottom w:val="nil"/>
          <w:right w:val="nil"/>
          <w:between w:val="nil"/>
        </w:pBdr>
        <w:spacing w:after="0" w:line="240" w:lineRule="auto"/>
        <w:jc w:val="both"/>
        <w:rPr>
          <w:rFonts w:ascii="Arial" w:eastAsia="EB Garamond" w:hAnsi="Arial" w:cs="Arial"/>
          <w:b/>
          <w:color w:val="000000" w:themeColor="text1"/>
        </w:rPr>
      </w:pPr>
      <w:r w:rsidRPr="0054195E">
        <w:rPr>
          <w:rFonts w:ascii="Arial" w:hAnsi="Arial" w:cs="Arial"/>
          <w:b/>
          <w:i/>
          <w:color w:val="000000" w:themeColor="text1"/>
        </w:rPr>
        <w:lastRenderedPageBreak/>
        <w:t>Va</w:t>
      </w:r>
      <w:r w:rsidR="00F648FB" w:rsidRPr="0054195E">
        <w:rPr>
          <w:rFonts w:ascii="Arial" w:hAnsi="Arial" w:cs="Arial"/>
          <w:b/>
          <w:i/>
          <w:color w:val="000000" w:themeColor="text1"/>
        </w:rPr>
        <w:t>lidity test results</w:t>
      </w:r>
    </w:p>
    <w:p w14:paraId="0BE8ECA9" w14:textId="65B20069" w:rsidR="002301E5" w:rsidRPr="0047203B" w:rsidRDefault="008D6578"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Validity testing is explained by Ghozali as a measure of the extent to which a research instrument, in this case a questionnaire, can accurately measure the construct or variable that is to be measured. The validity criteria for an item</w:t>
      </w:r>
      <w:r w:rsidR="008E013E" w:rsidRPr="0047203B">
        <w:rPr>
          <w:rFonts w:ascii="Arial" w:eastAsia="EB Garamond" w:hAnsi="Arial" w:cs="Arial"/>
          <w:color w:val="000000" w:themeColor="text1"/>
        </w:rPr>
        <w:t xml:space="preserve"> question is whether the correlation value (r count) is greater than the critical value (r table) that has been set</w:t>
      </w:r>
      <w:r w:rsidR="00B069B4" w:rsidRPr="0047203B">
        <w:rPr>
          <w:rFonts w:ascii="Arial" w:eastAsia="EB Garamond" w:hAnsi="Arial" w:cs="Arial"/>
          <w:color w:val="000000" w:themeColor="text1"/>
        </w:rPr>
        <w:t xml:space="preserve"> </w:t>
      </w:r>
      <w:r w:rsidR="00B069B4" w:rsidRPr="0047203B">
        <w:rPr>
          <w:rFonts w:ascii="Arial" w:eastAsia="EB Garamond" w:hAnsi="Arial" w:cs="Arial"/>
          <w:color w:val="000000" w:themeColor="text1"/>
        </w:rPr>
        <w:fldChar w:fldCharType="begin" w:fldLock="1"/>
      </w:r>
      <w:r w:rsidR="00B069B4" w:rsidRPr="0047203B">
        <w:rPr>
          <w:rFonts w:ascii="Arial" w:eastAsia="EB Garamond" w:hAnsi="Arial" w:cs="Arial"/>
          <w:color w:val="000000" w:themeColor="text1"/>
        </w:rPr>
        <w:instrText>ADDIN CSL_CITATION {"citationItems":[{"id":"ITEM-1","itemData":{"author":[{"dropping-particle":"","family":"Ghozali","given":"","non-dropping-particle":"","parse-names":false,"suffix":""},{"dropping-particle":"","family":"Imam","given":"","non-dropping-particle":"","parse-names":false,"suffix":""}],"container-title":"Semarang : UNDIP","id":"ITEM-1","issued":{"date-parts":[["2012"]]},"title":"Aplikasi Analisis Multivariate dengan Program IBM SPSS  20","type":"article-journal"},"uris":["http://www.mendeley.com/documents/?uuid=f515f2fe-cadc-3477-b6f0-b23ec341ec7e"]}],"mendeley":{"formattedCitation":"(Ghozali &amp; Imam, 2012)","plainTextFormattedCitation":"(Ghozali &amp; Imam, 2012)","previouslyFormattedCitation":"(Ghozali &amp; Imam, 2012)"},"properties":{"noteIndex":0},"schema":"https://github.com/citation-style-language/schema/raw/master/csl-citation.json"}</w:instrText>
      </w:r>
      <w:r w:rsidR="00B069B4" w:rsidRPr="0047203B">
        <w:rPr>
          <w:rFonts w:ascii="Arial" w:eastAsia="EB Garamond" w:hAnsi="Arial" w:cs="Arial"/>
          <w:color w:val="000000" w:themeColor="text1"/>
        </w:rPr>
        <w:fldChar w:fldCharType="separate"/>
      </w:r>
      <w:r w:rsidR="00B069B4" w:rsidRPr="0047203B">
        <w:rPr>
          <w:rFonts w:ascii="Arial" w:eastAsia="EB Garamond" w:hAnsi="Arial" w:cs="Arial"/>
          <w:noProof/>
          <w:color w:val="000000" w:themeColor="text1"/>
        </w:rPr>
        <w:t>(Ghozali &amp; Imam, 2012)</w:t>
      </w:r>
      <w:r w:rsidR="00B069B4" w:rsidRPr="0047203B">
        <w:rPr>
          <w:rFonts w:ascii="Arial" w:eastAsia="EB Garamond" w:hAnsi="Arial" w:cs="Arial"/>
          <w:color w:val="000000" w:themeColor="text1"/>
        </w:rPr>
        <w:fldChar w:fldCharType="end"/>
      </w:r>
      <w:r w:rsidR="008E013E" w:rsidRPr="0047203B">
        <w:rPr>
          <w:rFonts w:ascii="Arial" w:eastAsia="EB Garamond" w:hAnsi="Arial" w:cs="Arial"/>
          <w:color w:val="000000" w:themeColor="text1"/>
        </w:rPr>
        <w:t>.</w:t>
      </w:r>
    </w:p>
    <w:p w14:paraId="23DEBB79" w14:textId="77777777" w:rsidR="00033BE9" w:rsidRDefault="00033BE9"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033BE9" w:rsidSect="00A767DB">
          <w:type w:val="continuous"/>
          <w:pgSz w:w="11906" w:h="16838"/>
          <w:pgMar w:top="1440" w:right="1440" w:bottom="1440" w:left="1440" w:header="397" w:footer="708" w:gutter="0"/>
          <w:cols w:num="2" w:space="720"/>
        </w:sectPr>
      </w:pPr>
    </w:p>
    <w:tbl>
      <w:tblPr>
        <w:tblStyle w:val="TableGrid"/>
        <w:tblpPr w:leftFromText="180" w:rightFromText="180" w:vertAnchor="text" w:horzAnchor="margin" w:tblpY="5"/>
        <w:tblW w:w="4966" w:type="pct"/>
        <w:tblBorders>
          <w:top w:val="none" w:sz="0" w:space="0" w:color="auto"/>
          <w:left w:val="none" w:sz="0" w:space="0" w:color="auto"/>
          <w:bottom w:val="none" w:sz="0" w:space="0" w:color="auto"/>
          <w:right w:val="none" w:sz="0" w:space="0" w:color="auto"/>
          <w:insideH w:val="single" w:sz="8" w:space="0" w:color="auto"/>
          <w:insideV w:val="none" w:sz="0" w:space="0" w:color="auto"/>
        </w:tblBorders>
        <w:tblLook w:val="04A0" w:firstRow="1" w:lastRow="0" w:firstColumn="1" w:lastColumn="0" w:noHBand="0" w:noVBand="1"/>
      </w:tblPr>
      <w:tblGrid>
        <w:gridCol w:w="2209"/>
        <w:gridCol w:w="1146"/>
        <w:gridCol w:w="1149"/>
        <w:gridCol w:w="993"/>
        <w:gridCol w:w="1843"/>
        <w:gridCol w:w="1839"/>
      </w:tblGrid>
      <w:tr w:rsidR="00033BE9" w:rsidRPr="0047203B" w14:paraId="0D830149" w14:textId="77777777" w:rsidTr="00033BE9">
        <w:tc>
          <w:tcPr>
            <w:tcW w:w="5000" w:type="pct"/>
            <w:gridSpan w:val="6"/>
            <w:shd w:val="clear" w:color="auto" w:fill="auto"/>
            <w:vAlign w:val="center"/>
          </w:tcPr>
          <w:p w14:paraId="07FEE277" w14:textId="2C575DC6" w:rsidR="00033BE9" w:rsidRDefault="00B94433" w:rsidP="00033BE9">
            <w:pPr>
              <w:spacing w:line="259" w:lineRule="auto"/>
              <w:jc w:val="center"/>
              <w:rPr>
                <w:rFonts w:ascii="Arial" w:eastAsia="EB Garamond" w:hAnsi="Arial" w:cs="Arial"/>
                <w:b/>
                <w:color w:val="000000" w:themeColor="text1"/>
              </w:rPr>
            </w:pPr>
            <w:r>
              <w:rPr>
                <w:rFonts w:ascii="Arial" w:eastAsia="EB Garamond" w:hAnsi="Arial" w:cs="Arial"/>
                <w:b/>
                <w:color w:val="000000" w:themeColor="text1"/>
              </w:rPr>
              <w:t>Tabel 5</w:t>
            </w:r>
            <w:r w:rsidR="00033BE9">
              <w:rPr>
                <w:rFonts w:ascii="Arial" w:eastAsia="EB Garamond" w:hAnsi="Arial" w:cs="Arial"/>
                <w:b/>
                <w:color w:val="000000" w:themeColor="text1"/>
              </w:rPr>
              <w:t>.</w:t>
            </w:r>
          </w:p>
          <w:p w14:paraId="5842960B" w14:textId="61AA1020" w:rsidR="00033BE9" w:rsidRPr="0047203B" w:rsidRDefault="00E26C41" w:rsidP="00033BE9">
            <w:pPr>
              <w:spacing w:line="259" w:lineRule="auto"/>
              <w:jc w:val="center"/>
              <w:rPr>
                <w:rFonts w:ascii="Arial" w:eastAsia="EB Garamond" w:hAnsi="Arial" w:cs="Arial"/>
                <w:b/>
                <w:color w:val="000000" w:themeColor="text1"/>
              </w:rPr>
            </w:pPr>
            <w:r>
              <w:rPr>
                <w:rFonts w:ascii="Arial" w:eastAsia="EB Garamond" w:hAnsi="Arial" w:cs="Arial"/>
                <w:b/>
                <w:color w:val="000000" w:themeColor="text1"/>
              </w:rPr>
              <w:t>V</w:t>
            </w:r>
            <w:r w:rsidRPr="00E26C41">
              <w:rPr>
                <w:rFonts w:ascii="Arial" w:eastAsia="EB Garamond" w:hAnsi="Arial" w:cs="Arial"/>
                <w:b/>
                <w:color w:val="000000" w:themeColor="text1"/>
              </w:rPr>
              <w:t>alidity Test Results</w:t>
            </w:r>
          </w:p>
        </w:tc>
      </w:tr>
      <w:tr w:rsidR="00033BE9" w:rsidRPr="0047203B" w14:paraId="1675F3CC" w14:textId="77777777" w:rsidTr="00033BE9">
        <w:tc>
          <w:tcPr>
            <w:tcW w:w="1203" w:type="pct"/>
            <w:tcBorders>
              <w:bottom w:val="single" w:sz="18" w:space="0" w:color="auto"/>
            </w:tcBorders>
            <w:shd w:val="clear" w:color="auto" w:fill="auto"/>
            <w:vAlign w:val="center"/>
          </w:tcPr>
          <w:p w14:paraId="75D50676" w14:textId="5D823837" w:rsidR="00033BE9" w:rsidRPr="0047203B" w:rsidRDefault="00033BE9"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rPr>
              <w:t>Variabel</w:t>
            </w:r>
          </w:p>
        </w:tc>
        <w:tc>
          <w:tcPr>
            <w:tcW w:w="624" w:type="pct"/>
            <w:tcBorders>
              <w:bottom w:val="single" w:sz="18" w:space="0" w:color="auto"/>
            </w:tcBorders>
            <w:shd w:val="clear" w:color="auto" w:fill="auto"/>
            <w:vAlign w:val="center"/>
          </w:tcPr>
          <w:p w14:paraId="0865DEDF" w14:textId="77777777" w:rsidR="00033BE9" w:rsidRPr="0047203B" w:rsidRDefault="00033BE9"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lang w:val="en"/>
              </w:rPr>
              <w:t xml:space="preserve">indicator </w:t>
            </w:r>
          </w:p>
        </w:tc>
        <w:tc>
          <w:tcPr>
            <w:tcW w:w="626" w:type="pct"/>
            <w:tcBorders>
              <w:bottom w:val="single" w:sz="18" w:space="0" w:color="auto"/>
            </w:tcBorders>
            <w:shd w:val="clear" w:color="auto" w:fill="auto"/>
            <w:vAlign w:val="center"/>
          </w:tcPr>
          <w:p w14:paraId="4723CA2F" w14:textId="77777777" w:rsidR="00033BE9" w:rsidRPr="0047203B" w:rsidRDefault="00033BE9"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lang w:val="en"/>
              </w:rPr>
              <w:t>R count</w:t>
            </w:r>
          </w:p>
        </w:tc>
        <w:tc>
          <w:tcPr>
            <w:tcW w:w="541" w:type="pct"/>
            <w:tcBorders>
              <w:bottom w:val="single" w:sz="18" w:space="0" w:color="auto"/>
            </w:tcBorders>
            <w:shd w:val="clear" w:color="auto" w:fill="auto"/>
            <w:vAlign w:val="center"/>
          </w:tcPr>
          <w:p w14:paraId="43103741" w14:textId="77777777" w:rsidR="00033BE9" w:rsidRPr="0047203B" w:rsidRDefault="00033BE9"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lang w:val="en"/>
              </w:rPr>
              <w:t>R table</w:t>
            </w:r>
          </w:p>
        </w:tc>
        <w:tc>
          <w:tcPr>
            <w:tcW w:w="1004" w:type="pct"/>
            <w:tcBorders>
              <w:bottom w:val="single" w:sz="18" w:space="0" w:color="auto"/>
            </w:tcBorders>
            <w:shd w:val="clear" w:color="auto" w:fill="auto"/>
          </w:tcPr>
          <w:p w14:paraId="60248BB5" w14:textId="77777777" w:rsidR="00033BE9" w:rsidRPr="0047203B" w:rsidRDefault="00033BE9"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rPr>
              <w:t>Sig. (2-tailed)</w:t>
            </w:r>
          </w:p>
        </w:tc>
        <w:tc>
          <w:tcPr>
            <w:tcW w:w="1002" w:type="pct"/>
            <w:shd w:val="clear" w:color="auto" w:fill="auto"/>
            <w:vAlign w:val="center"/>
          </w:tcPr>
          <w:p w14:paraId="75108973" w14:textId="77777777" w:rsidR="00033BE9" w:rsidRPr="0047203B" w:rsidRDefault="00033BE9"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lang w:val="en"/>
              </w:rPr>
              <w:t>description</w:t>
            </w:r>
          </w:p>
        </w:tc>
      </w:tr>
      <w:tr w:rsidR="00033BE9" w:rsidRPr="0047203B" w14:paraId="2CB994AF" w14:textId="77777777" w:rsidTr="00033BE9">
        <w:tc>
          <w:tcPr>
            <w:tcW w:w="1203" w:type="pct"/>
            <w:vMerge w:val="restart"/>
            <w:tcBorders>
              <w:top w:val="single" w:sz="18" w:space="0" w:color="auto"/>
            </w:tcBorders>
            <w:shd w:val="clear" w:color="auto" w:fill="auto"/>
            <w:vAlign w:val="center"/>
          </w:tcPr>
          <w:p w14:paraId="461685B1" w14:textId="77777777" w:rsidR="00033BE9" w:rsidRPr="0047203B" w:rsidRDefault="00033BE9" w:rsidP="00033BE9">
            <w:pPr>
              <w:rPr>
                <w:rFonts w:ascii="Arial" w:eastAsia="EB Garamond" w:hAnsi="Arial" w:cs="Arial"/>
                <w:color w:val="000000" w:themeColor="text1"/>
              </w:rPr>
            </w:pPr>
            <w:r w:rsidRPr="0047203B">
              <w:rPr>
                <w:rFonts w:ascii="Arial" w:eastAsia="EB Garamond" w:hAnsi="Arial" w:cs="Arial"/>
                <w:color w:val="000000" w:themeColor="text1"/>
                <w:lang w:val="en"/>
              </w:rPr>
              <w:t>Financial Literacy(X1)</w:t>
            </w:r>
          </w:p>
        </w:tc>
        <w:tc>
          <w:tcPr>
            <w:tcW w:w="624" w:type="pct"/>
            <w:tcBorders>
              <w:top w:val="single" w:sz="18" w:space="0" w:color="auto"/>
              <w:bottom w:val="nil"/>
            </w:tcBorders>
            <w:shd w:val="clear" w:color="auto" w:fill="auto"/>
            <w:vAlign w:val="center"/>
          </w:tcPr>
          <w:p w14:paraId="6913B40F"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626" w:type="pct"/>
            <w:tcBorders>
              <w:top w:val="single" w:sz="18" w:space="0" w:color="auto"/>
              <w:bottom w:val="nil"/>
            </w:tcBorders>
            <w:shd w:val="clear" w:color="auto" w:fill="auto"/>
            <w:vAlign w:val="center"/>
          </w:tcPr>
          <w:p w14:paraId="33EF9EB5"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0,783</w:t>
            </w:r>
          </w:p>
        </w:tc>
        <w:tc>
          <w:tcPr>
            <w:tcW w:w="541" w:type="pct"/>
            <w:vMerge w:val="restart"/>
            <w:tcBorders>
              <w:top w:val="single" w:sz="18" w:space="0" w:color="auto"/>
              <w:bottom w:val="nil"/>
            </w:tcBorders>
            <w:shd w:val="clear" w:color="auto" w:fill="auto"/>
            <w:vAlign w:val="center"/>
          </w:tcPr>
          <w:p w14:paraId="0AA857E1"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&gt;0,254</w:t>
            </w:r>
          </w:p>
        </w:tc>
        <w:tc>
          <w:tcPr>
            <w:tcW w:w="1004" w:type="pct"/>
            <w:vMerge w:val="restart"/>
            <w:tcBorders>
              <w:top w:val="single" w:sz="18" w:space="0" w:color="auto"/>
            </w:tcBorders>
            <w:shd w:val="clear" w:color="auto" w:fill="auto"/>
            <w:vAlign w:val="center"/>
          </w:tcPr>
          <w:p w14:paraId="77400935"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0,000</w:t>
            </w:r>
          </w:p>
        </w:tc>
        <w:tc>
          <w:tcPr>
            <w:tcW w:w="1002" w:type="pct"/>
            <w:vMerge w:val="restart"/>
            <w:tcBorders>
              <w:top w:val="single" w:sz="18" w:space="0" w:color="auto"/>
            </w:tcBorders>
            <w:shd w:val="clear" w:color="auto" w:fill="auto"/>
            <w:vAlign w:val="center"/>
          </w:tcPr>
          <w:p w14:paraId="6EAE387A"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Valid</w:t>
            </w:r>
          </w:p>
        </w:tc>
      </w:tr>
      <w:tr w:rsidR="00033BE9" w:rsidRPr="0047203B" w14:paraId="2E1BB8B4" w14:textId="77777777" w:rsidTr="00033BE9">
        <w:tc>
          <w:tcPr>
            <w:tcW w:w="1203" w:type="pct"/>
            <w:vMerge/>
            <w:shd w:val="clear" w:color="auto" w:fill="auto"/>
            <w:vAlign w:val="center"/>
          </w:tcPr>
          <w:p w14:paraId="6689DADC"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519E093B"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626" w:type="pct"/>
            <w:tcBorders>
              <w:top w:val="nil"/>
              <w:bottom w:val="nil"/>
            </w:tcBorders>
            <w:shd w:val="clear" w:color="auto" w:fill="auto"/>
            <w:vAlign w:val="center"/>
          </w:tcPr>
          <w:p w14:paraId="36D4F812"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0,658</w:t>
            </w:r>
          </w:p>
        </w:tc>
        <w:tc>
          <w:tcPr>
            <w:tcW w:w="541" w:type="pct"/>
            <w:vMerge/>
            <w:tcBorders>
              <w:top w:val="nil"/>
              <w:bottom w:val="nil"/>
            </w:tcBorders>
            <w:shd w:val="clear" w:color="auto" w:fill="auto"/>
            <w:vAlign w:val="center"/>
          </w:tcPr>
          <w:p w14:paraId="233DAA00"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0FAF8537"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5B963FD5" w14:textId="77777777" w:rsidR="00033BE9" w:rsidRPr="0047203B" w:rsidRDefault="00033BE9" w:rsidP="00033BE9">
            <w:pPr>
              <w:jc w:val="center"/>
              <w:rPr>
                <w:rFonts w:ascii="Arial" w:eastAsia="EB Garamond" w:hAnsi="Arial" w:cs="Arial"/>
                <w:color w:val="000000" w:themeColor="text1"/>
              </w:rPr>
            </w:pPr>
          </w:p>
        </w:tc>
      </w:tr>
      <w:tr w:rsidR="00033BE9" w:rsidRPr="0047203B" w14:paraId="473A9452" w14:textId="77777777" w:rsidTr="00033BE9">
        <w:tc>
          <w:tcPr>
            <w:tcW w:w="1203" w:type="pct"/>
            <w:vMerge/>
            <w:shd w:val="clear" w:color="auto" w:fill="auto"/>
            <w:vAlign w:val="center"/>
          </w:tcPr>
          <w:p w14:paraId="7889A190"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5307F8CA"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3</w:t>
            </w:r>
          </w:p>
        </w:tc>
        <w:tc>
          <w:tcPr>
            <w:tcW w:w="626" w:type="pct"/>
            <w:tcBorders>
              <w:top w:val="nil"/>
              <w:bottom w:val="nil"/>
            </w:tcBorders>
            <w:shd w:val="clear" w:color="auto" w:fill="auto"/>
            <w:vAlign w:val="center"/>
          </w:tcPr>
          <w:p w14:paraId="73E03160"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0,720</w:t>
            </w:r>
          </w:p>
        </w:tc>
        <w:tc>
          <w:tcPr>
            <w:tcW w:w="541" w:type="pct"/>
            <w:vMerge/>
            <w:tcBorders>
              <w:top w:val="nil"/>
              <w:bottom w:val="nil"/>
            </w:tcBorders>
            <w:shd w:val="clear" w:color="auto" w:fill="auto"/>
            <w:vAlign w:val="center"/>
          </w:tcPr>
          <w:p w14:paraId="7AD32177"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10B7BA29"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736D67F8" w14:textId="77777777" w:rsidR="00033BE9" w:rsidRPr="0047203B" w:rsidRDefault="00033BE9" w:rsidP="00033BE9">
            <w:pPr>
              <w:jc w:val="center"/>
              <w:rPr>
                <w:rFonts w:ascii="Arial" w:eastAsia="EB Garamond" w:hAnsi="Arial" w:cs="Arial"/>
                <w:color w:val="000000" w:themeColor="text1"/>
              </w:rPr>
            </w:pPr>
          </w:p>
        </w:tc>
      </w:tr>
      <w:tr w:rsidR="00033BE9" w:rsidRPr="0047203B" w14:paraId="4807F896" w14:textId="77777777" w:rsidTr="00033BE9">
        <w:tc>
          <w:tcPr>
            <w:tcW w:w="1203" w:type="pct"/>
            <w:vMerge/>
            <w:shd w:val="clear" w:color="auto" w:fill="auto"/>
            <w:vAlign w:val="center"/>
          </w:tcPr>
          <w:p w14:paraId="2D58F7F7" w14:textId="77777777" w:rsidR="00033BE9" w:rsidRPr="0047203B" w:rsidRDefault="00033BE9" w:rsidP="00033BE9">
            <w:pPr>
              <w:rPr>
                <w:rFonts w:ascii="Arial" w:eastAsia="EB Garamond" w:hAnsi="Arial" w:cs="Arial"/>
                <w:color w:val="000000" w:themeColor="text1"/>
              </w:rPr>
            </w:pPr>
          </w:p>
        </w:tc>
        <w:tc>
          <w:tcPr>
            <w:tcW w:w="624" w:type="pct"/>
            <w:tcBorders>
              <w:top w:val="nil"/>
              <w:bottom w:val="single" w:sz="8" w:space="0" w:color="auto"/>
            </w:tcBorders>
            <w:shd w:val="clear" w:color="auto" w:fill="auto"/>
            <w:vAlign w:val="center"/>
          </w:tcPr>
          <w:p w14:paraId="492D80F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626" w:type="pct"/>
            <w:tcBorders>
              <w:top w:val="nil"/>
              <w:bottom w:val="single" w:sz="8" w:space="0" w:color="auto"/>
            </w:tcBorders>
            <w:shd w:val="clear" w:color="auto" w:fill="auto"/>
            <w:vAlign w:val="center"/>
          </w:tcPr>
          <w:p w14:paraId="71B97372"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0,653</w:t>
            </w:r>
          </w:p>
        </w:tc>
        <w:tc>
          <w:tcPr>
            <w:tcW w:w="541" w:type="pct"/>
            <w:vMerge/>
            <w:tcBorders>
              <w:top w:val="nil"/>
              <w:bottom w:val="single" w:sz="8" w:space="0" w:color="auto"/>
            </w:tcBorders>
            <w:shd w:val="clear" w:color="auto" w:fill="auto"/>
            <w:vAlign w:val="center"/>
          </w:tcPr>
          <w:p w14:paraId="728ED5F2" w14:textId="77777777" w:rsidR="00033BE9" w:rsidRPr="0047203B" w:rsidRDefault="00033BE9" w:rsidP="00033BE9">
            <w:pPr>
              <w:jc w:val="center"/>
              <w:rPr>
                <w:rFonts w:ascii="Arial" w:eastAsia="EB Garamond" w:hAnsi="Arial" w:cs="Arial"/>
                <w:color w:val="000000" w:themeColor="text1"/>
              </w:rPr>
            </w:pPr>
          </w:p>
        </w:tc>
        <w:tc>
          <w:tcPr>
            <w:tcW w:w="1004" w:type="pct"/>
            <w:vMerge/>
            <w:tcBorders>
              <w:bottom w:val="single" w:sz="8" w:space="0" w:color="auto"/>
            </w:tcBorders>
            <w:shd w:val="clear" w:color="auto" w:fill="auto"/>
          </w:tcPr>
          <w:p w14:paraId="6CB29694"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1A479ABD" w14:textId="77777777" w:rsidR="00033BE9" w:rsidRPr="0047203B" w:rsidRDefault="00033BE9" w:rsidP="00033BE9">
            <w:pPr>
              <w:jc w:val="center"/>
              <w:rPr>
                <w:rFonts w:ascii="Arial" w:eastAsia="EB Garamond" w:hAnsi="Arial" w:cs="Arial"/>
                <w:color w:val="000000" w:themeColor="text1"/>
              </w:rPr>
            </w:pPr>
          </w:p>
        </w:tc>
      </w:tr>
      <w:tr w:rsidR="00033BE9" w:rsidRPr="0047203B" w14:paraId="2DA93A30" w14:textId="77777777" w:rsidTr="00033BE9">
        <w:tc>
          <w:tcPr>
            <w:tcW w:w="1203" w:type="pct"/>
            <w:vMerge w:val="restart"/>
            <w:shd w:val="clear" w:color="auto" w:fill="auto"/>
            <w:vAlign w:val="center"/>
          </w:tcPr>
          <w:p w14:paraId="74D8679C" w14:textId="77777777" w:rsidR="00033BE9" w:rsidRPr="0047203B" w:rsidRDefault="00033BE9" w:rsidP="00033BE9">
            <w:pPr>
              <w:rPr>
                <w:rFonts w:ascii="Arial" w:eastAsia="EB Garamond" w:hAnsi="Arial" w:cs="Arial"/>
                <w:color w:val="000000" w:themeColor="text1"/>
              </w:rPr>
            </w:pPr>
            <w:r w:rsidRPr="0047203B">
              <w:rPr>
                <w:rFonts w:ascii="Arial" w:eastAsia="EB Garamond" w:hAnsi="Arial" w:cs="Arial"/>
                <w:color w:val="000000" w:themeColor="text1"/>
                <w:lang w:val="en"/>
              </w:rPr>
              <w:t>Infrastructure(X2)</w:t>
            </w:r>
          </w:p>
        </w:tc>
        <w:tc>
          <w:tcPr>
            <w:tcW w:w="624" w:type="pct"/>
            <w:tcBorders>
              <w:top w:val="single" w:sz="8" w:space="0" w:color="auto"/>
              <w:bottom w:val="nil"/>
            </w:tcBorders>
            <w:shd w:val="clear" w:color="auto" w:fill="auto"/>
            <w:vAlign w:val="center"/>
          </w:tcPr>
          <w:p w14:paraId="2D0BB2B3"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626" w:type="pct"/>
            <w:tcBorders>
              <w:top w:val="single" w:sz="8" w:space="0" w:color="auto"/>
              <w:bottom w:val="nil"/>
            </w:tcBorders>
            <w:shd w:val="clear" w:color="auto" w:fill="auto"/>
            <w:vAlign w:val="center"/>
          </w:tcPr>
          <w:p w14:paraId="34D34D94"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0,752</w:t>
            </w:r>
          </w:p>
        </w:tc>
        <w:tc>
          <w:tcPr>
            <w:tcW w:w="541" w:type="pct"/>
            <w:vMerge w:val="restart"/>
            <w:tcBorders>
              <w:top w:val="single" w:sz="8" w:space="0" w:color="auto"/>
              <w:bottom w:val="nil"/>
            </w:tcBorders>
            <w:shd w:val="clear" w:color="auto" w:fill="auto"/>
            <w:vAlign w:val="center"/>
          </w:tcPr>
          <w:p w14:paraId="2953E45C"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&gt;0,254</w:t>
            </w:r>
          </w:p>
        </w:tc>
        <w:tc>
          <w:tcPr>
            <w:tcW w:w="1004" w:type="pct"/>
            <w:vMerge w:val="restart"/>
            <w:tcBorders>
              <w:top w:val="single" w:sz="8" w:space="0" w:color="auto"/>
            </w:tcBorders>
            <w:shd w:val="clear" w:color="auto" w:fill="auto"/>
            <w:vAlign w:val="center"/>
          </w:tcPr>
          <w:p w14:paraId="126C5CBD"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0,000</w:t>
            </w:r>
          </w:p>
        </w:tc>
        <w:tc>
          <w:tcPr>
            <w:tcW w:w="1002" w:type="pct"/>
            <w:vMerge w:val="restart"/>
            <w:shd w:val="clear" w:color="auto" w:fill="auto"/>
            <w:vAlign w:val="center"/>
          </w:tcPr>
          <w:p w14:paraId="622E84CB"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Valid</w:t>
            </w:r>
          </w:p>
        </w:tc>
      </w:tr>
      <w:tr w:rsidR="00033BE9" w:rsidRPr="0047203B" w14:paraId="7B149818" w14:textId="77777777" w:rsidTr="00033BE9">
        <w:tc>
          <w:tcPr>
            <w:tcW w:w="1203" w:type="pct"/>
            <w:vMerge/>
            <w:shd w:val="clear" w:color="auto" w:fill="auto"/>
            <w:vAlign w:val="center"/>
          </w:tcPr>
          <w:p w14:paraId="502A0021"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7653D0C5"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626" w:type="pct"/>
            <w:tcBorders>
              <w:top w:val="nil"/>
              <w:bottom w:val="nil"/>
            </w:tcBorders>
            <w:shd w:val="clear" w:color="auto" w:fill="auto"/>
            <w:vAlign w:val="center"/>
          </w:tcPr>
          <w:p w14:paraId="087D0D2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0,746</w:t>
            </w:r>
          </w:p>
        </w:tc>
        <w:tc>
          <w:tcPr>
            <w:tcW w:w="541" w:type="pct"/>
            <w:vMerge/>
            <w:tcBorders>
              <w:top w:val="nil"/>
              <w:bottom w:val="nil"/>
            </w:tcBorders>
            <w:shd w:val="clear" w:color="auto" w:fill="auto"/>
            <w:vAlign w:val="center"/>
          </w:tcPr>
          <w:p w14:paraId="406E671C"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6676841F"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6BB78921" w14:textId="77777777" w:rsidR="00033BE9" w:rsidRPr="0047203B" w:rsidRDefault="00033BE9" w:rsidP="00033BE9">
            <w:pPr>
              <w:jc w:val="center"/>
              <w:rPr>
                <w:rFonts w:ascii="Arial" w:eastAsia="EB Garamond" w:hAnsi="Arial" w:cs="Arial"/>
                <w:color w:val="000000" w:themeColor="text1"/>
              </w:rPr>
            </w:pPr>
          </w:p>
        </w:tc>
      </w:tr>
      <w:tr w:rsidR="00033BE9" w:rsidRPr="0047203B" w14:paraId="62A8433E" w14:textId="77777777" w:rsidTr="00033BE9">
        <w:tc>
          <w:tcPr>
            <w:tcW w:w="1203" w:type="pct"/>
            <w:vMerge/>
            <w:shd w:val="clear" w:color="auto" w:fill="auto"/>
            <w:vAlign w:val="center"/>
          </w:tcPr>
          <w:p w14:paraId="601BBA24"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22C0E6CC"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3</w:t>
            </w:r>
          </w:p>
        </w:tc>
        <w:tc>
          <w:tcPr>
            <w:tcW w:w="626" w:type="pct"/>
            <w:tcBorders>
              <w:top w:val="nil"/>
              <w:bottom w:val="nil"/>
            </w:tcBorders>
            <w:shd w:val="clear" w:color="auto" w:fill="auto"/>
            <w:vAlign w:val="center"/>
          </w:tcPr>
          <w:p w14:paraId="5D62F347"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0,758</w:t>
            </w:r>
          </w:p>
        </w:tc>
        <w:tc>
          <w:tcPr>
            <w:tcW w:w="541" w:type="pct"/>
            <w:vMerge/>
            <w:tcBorders>
              <w:top w:val="nil"/>
              <w:bottom w:val="nil"/>
            </w:tcBorders>
            <w:shd w:val="clear" w:color="auto" w:fill="auto"/>
            <w:vAlign w:val="center"/>
          </w:tcPr>
          <w:p w14:paraId="381BDC76"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1FE56366"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3E23134D" w14:textId="77777777" w:rsidR="00033BE9" w:rsidRPr="0047203B" w:rsidRDefault="00033BE9" w:rsidP="00033BE9">
            <w:pPr>
              <w:jc w:val="center"/>
              <w:rPr>
                <w:rFonts w:ascii="Arial" w:eastAsia="EB Garamond" w:hAnsi="Arial" w:cs="Arial"/>
                <w:color w:val="000000" w:themeColor="text1"/>
              </w:rPr>
            </w:pPr>
          </w:p>
        </w:tc>
      </w:tr>
      <w:tr w:rsidR="00033BE9" w:rsidRPr="0047203B" w14:paraId="7BA5473B" w14:textId="77777777" w:rsidTr="00033BE9">
        <w:tc>
          <w:tcPr>
            <w:tcW w:w="1203" w:type="pct"/>
            <w:vMerge/>
            <w:shd w:val="clear" w:color="auto" w:fill="auto"/>
            <w:vAlign w:val="center"/>
          </w:tcPr>
          <w:p w14:paraId="6C288C4B" w14:textId="77777777" w:rsidR="00033BE9" w:rsidRPr="0047203B" w:rsidRDefault="00033BE9" w:rsidP="00033BE9">
            <w:pPr>
              <w:rPr>
                <w:rFonts w:ascii="Arial" w:eastAsia="EB Garamond" w:hAnsi="Arial" w:cs="Arial"/>
                <w:color w:val="000000" w:themeColor="text1"/>
              </w:rPr>
            </w:pPr>
          </w:p>
        </w:tc>
        <w:tc>
          <w:tcPr>
            <w:tcW w:w="624" w:type="pct"/>
            <w:tcBorders>
              <w:top w:val="nil"/>
              <w:bottom w:val="single" w:sz="8" w:space="0" w:color="auto"/>
            </w:tcBorders>
            <w:shd w:val="clear" w:color="auto" w:fill="auto"/>
            <w:vAlign w:val="center"/>
          </w:tcPr>
          <w:p w14:paraId="6A9B133A"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626" w:type="pct"/>
            <w:tcBorders>
              <w:top w:val="nil"/>
              <w:bottom w:val="single" w:sz="8" w:space="0" w:color="auto"/>
            </w:tcBorders>
            <w:shd w:val="clear" w:color="auto" w:fill="auto"/>
            <w:vAlign w:val="center"/>
          </w:tcPr>
          <w:p w14:paraId="5A3D8D2F"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0,735</w:t>
            </w:r>
          </w:p>
        </w:tc>
        <w:tc>
          <w:tcPr>
            <w:tcW w:w="541" w:type="pct"/>
            <w:vMerge/>
            <w:tcBorders>
              <w:top w:val="nil"/>
              <w:bottom w:val="single" w:sz="8" w:space="0" w:color="auto"/>
            </w:tcBorders>
            <w:shd w:val="clear" w:color="auto" w:fill="auto"/>
            <w:vAlign w:val="center"/>
          </w:tcPr>
          <w:p w14:paraId="065E1A3F" w14:textId="77777777" w:rsidR="00033BE9" w:rsidRPr="0047203B" w:rsidRDefault="00033BE9" w:rsidP="00033BE9">
            <w:pPr>
              <w:jc w:val="center"/>
              <w:rPr>
                <w:rFonts w:ascii="Arial" w:eastAsia="EB Garamond" w:hAnsi="Arial" w:cs="Arial"/>
                <w:color w:val="000000" w:themeColor="text1"/>
              </w:rPr>
            </w:pPr>
          </w:p>
        </w:tc>
        <w:tc>
          <w:tcPr>
            <w:tcW w:w="1004" w:type="pct"/>
            <w:vMerge/>
            <w:tcBorders>
              <w:bottom w:val="single" w:sz="8" w:space="0" w:color="auto"/>
            </w:tcBorders>
            <w:shd w:val="clear" w:color="auto" w:fill="auto"/>
          </w:tcPr>
          <w:p w14:paraId="63219204"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19EB86F6" w14:textId="77777777" w:rsidR="00033BE9" w:rsidRPr="0047203B" w:rsidRDefault="00033BE9" w:rsidP="00033BE9">
            <w:pPr>
              <w:jc w:val="center"/>
              <w:rPr>
                <w:rFonts w:ascii="Arial" w:eastAsia="EB Garamond" w:hAnsi="Arial" w:cs="Arial"/>
                <w:color w:val="000000" w:themeColor="text1"/>
              </w:rPr>
            </w:pPr>
          </w:p>
        </w:tc>
      </w:tr>
      <w:tr w:rsidR="00033BE9" w:rsidRPr="0047203B" w14:paraId="57BEA496" w14:textId="77777777" w:rsidTr="00033BE9">
        <w:tc>
          <w:tcPr>
            <w:tcW w:w="1203" w:type="pct"/>
            <w:vMerge w:val="restart"/>
            <w:shd w:val="clear" w:color="auto" w:fill="auto"/>
            <w:vAlign w:val="center"/>
          </w:tcPr>
          <w:p w14:paraId="0EAAA7A9" w14:textId="77777777" w:rsidR="00033BE9" w:rsidRPr="0047203B" w:rsidRDefault="00033BE9" w:rsidP="00033BE9">
            <w:pPr>
              <w:rPr>
                <w:rFonts w:ascii="Arial" w:eastAsia="EB Garamond" w:hAnsi="Arial" w:cs="Arial"/>
                <w:color w:val="000000" w:themeColor="text1"/>
              </w:rPr>
            </w:pPr>
            <w:r w:rsidRPr="0047203B">
              <w:rPr>
                <w:rFonts w:ascii="Arial" w:eastAsia="EB Garamond" w:hAnsi="Arial" w:cs="Arial"/>
                <w:color w:val="000000" w:themeColor="text1"/>
                <w:lang w:val="en"/>
              </w:rPr>
              <w:t>Security(X3)</w:t>
            </w:r>
          </w:p>
        </w:tc>
        <w:tc>
          <w:tcPr>
            <w:tcW w:w="624" w:type="pct"/>
            <w:tcBorders>
              <w:top w:val="single" w:sz="8" w:space="0" w:color="auto"/>
              <w:bottom w:val="nil"/>
            </w:tcBorders>
            <w:shd w:val="clear" w:color="auto" w:fill="auto"/>
            <w:vAlign w:val="center"/>
          </w:tcPr>
          <w:p w14:paraId="43EEB039"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626" w:type="pct"/>
            <w:tcBorders>
              <w:top w:val="single" w:sz="8" w:space="0" w:color="auto"/>
              <w:bottom w:val="nil"/>
            </w:tcBorders>
            <w:shd w:val="clear" w:color="auto" w:fill="auto"/>
            <w:vAlign w:val="center"/>
          </w:tcPr>
          <w:p w14:paraId="36EB4C8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0,866</w:t>
            </w:r>
          </w:p>
        </w:tc>
        <w:tc>
          <w:tcPr>
            <w:tcW w:w="541" w:type="pct"/>
            <w:vMerge w:val="restart"/>
            <w:tcBorders>
              <w:top w:val="single" w:sz="8" w:space="0" w:color="auto"/>
              <w:bottom w:val="nil"/>
            </w:tcBorders>
            <w:shd w:val="clear" w:color="auto" w:fill="auto"/>
            <w:vAlign w:val="center"/>
          </w:tcPr>
          <w:p w14:paraId="7BE3BE5E"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&gt;0,254</w:t>
            </w:r>
          </w:p>
        </w:tc>
        <w:tc>
          <w:tcPr>
            <w:tcW w:w="1004" w:type="pct"/>
            <w:vMerge w:val="restart"/>
            <w:tcBorders>
              <w:top w:val="single" w:sz="8" w:space="0" w:color="auto"/>
            </w:tcBorders>
            <w:shd w:val="clear" w:color="auto" w:fill="auto"/>
            <w:vAlign w:val="center"/>
          </w:tcPr>
          <w:p w14:paraId="6B0B087E"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0,000</w:t>
            </w:r>
          </w:p>
        </w:tc>
        <w:tc>
          <w:tcPr>
            <w:tcW w:w="1002" w:type="pct"/>
            <w:vMerge w:val="restart"/>
            <w:shd w:val="clear" w:color="auto" w:fill="auto"/>
            <w:vAlign w:val="center"/>
          </w:tcPr>
          <w:p w14:paraId="2151BCA4"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Valid</w:t>
            </w:r>
          </w:p>
        </w:tc>
      </w:tr>
      <w:tr w:rsidR="00033BE9" w:rsidRPr="0047203B" w14:paraId="3D479F90" w14:textId="77777777" w:rsidTr="00033BE9">
        <w:tc>
          <w:tcPr>
            <w:tcW w:w="1203" w:type="pct"/>
            <w:vMerge/>
            <w:shd w:val="clear" w:color="auto" w:fill="auto"/>
            <w:vAlign w:val="center"/>
          </w:tcPr>
          <w:p w14:paraId="47BCF37F"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36D6234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626" w:type="pct"/>
            <w:tcBorders>
              <w:top w:val="nil"/>
              <w:bottom w:val="nil"/>
            </w:tcBorders>
            <w:shd w:val="clear" w:color="auto" w:fill="auto"/>
            <w:vAlign w:val="center"/>
          </w:tcPr>
          <w:p w14:paraId="50145A52"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0,885</w:t>
            </w:r>
          </w:p>
        </w:tc>
        <w:tc>
          <w:tcPr>
            <w:tcW w:w="541" w:type="pct"/>
            <w:vMerge/>
            <w:tcBorders>
              <w:top w:val="nil"/>
              <w:bottom w:val="nil"/>
            </w:tcBorders>
            <w:shd w:val="clear" w:color="auto" w:fill="auto"/>
            <w:vAlign w:val="center"/>
          </w:tcPr>
          <w:p w14:paraId="37D9DB79"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3BC58913"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242868C2" w14:textId="77777777" w:rsidR="00033BE9" w:rsidRPr="0047203B" w:rsidRDefault="00033BE9" w:rsidP="00033BE9">
            <w:pPr>
              <w:jc w:val="center"/>
              <w:rPr>
                <w:rFonts w:ascii="Arial" w:eastAsia="EB Garamond" w:hAnsi="Arial" w:cs="Arial"/>
                <w:color w:val="000000" w:themeColor="text1"/>
              </w:rPr>
            </w:pPr>
          </w:p>
        </w:tc>
      </w:tr>
      <w:tr w:rsidR="00033BE9" w:rsidRPr="0047203B" w14:paraId="6B00DB59" w14:textId="77777777" w:rsidTr="00033BE9">
        <w:tc>
          <w:tcPr>
            <w:tcW w:w="1203" w:type="pct"/>
            <w:vMerge/>
            <w:shd w:val="clear" w:color="auto" w:fill="auto"/>
            <w:vAlign w:val="center"/>
          </w:tcPr>
          <w:p w14:paraId="7FC11CEB"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2E7F59C2"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3</w:t>
            </w:r>
          </w:p>
        </w:tc>
        <w:tc>
          <w:tcPr>
            <w:tcW w:w="626" w:type="pct"/>
            <w:tcBorders>
              <w:top w:val="nil"/>
              <w:bottom w:val="nil"/>
            </w:tcBorders>
            <w:shd w:val="clear" w:color="auto" w:fill="auto"/>
            <w:vAlign w:val="center"/>
          </w:tcPr>
          <w:p w14:paraId="66A34104"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0,762</w:t>
            </w:r>
          </w:p>
        </w:tc>
        <w:tc>
          <w:tcPr>
            <w:tcW w:w="541" w:type="pct"/>
            <w:vMerge/>
            <w:tcBorders>
              <w:top w:val="nil"/>
              <w:bottom w:val="nil"/>
            </w:tcBorders>
            <w:shd w:val="clear" w:color="auto" w:fill="auto"/>
            <w:vAlign w:val="center"/>
          </w:tcPr>
          <w:p w14:paraId="2002129E"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0A90FAEA"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76F6895E" w14:textId="77777777" w:rsidR="00033BE9" w:rsidRPr="0047203B" w:rsidRDefault="00033BE9" w:rsidP="00033BE9">
            <w:pPr>
              <w:jc w:val="center"/>
              <w:rPr>
                <w:rFonts w:ascii="Arial" w:eastAsia="EB Garamond" w:hAnsi="Arial" w:cs="Arial"/>
                <w:color w:val="000000" w:themeColor="text1"/>
              </w:rPr>
            </w:pPr>
          </w:p>
        </w:tc>
      </w:tr>
      <w:tr w:rsidR="00033BE9" w:rsidRPr="0047203B" w14:paraId="3F2DF4DA" w14:textId="77777777" w:rsidTr="00033BE9">
        <w:tc>
          <w:tcPr>
            <w:tcW w:w="1203" w:type="pct"/>
            <w:vMerge/>
            <w:shd w:val="clear" w:color="auto" w:fill="auto"/>
            <w:vAlign w:val="center"/>
          </w:tcPr>
          <w:p w14:paraId="1AEBDD72" w14:textId="77777777" w:rsidR="00033BE9" w:rsidRPr="0047203B" w:rsidRDefault="00033BE9" w:rsidP="00033BE9">
            <w:pPr>
              <w:rPr>
                <w:rFonts w:ascii="Arial" w:eastAsia="EB Garamond" w:hAnsi="Arial" w:cs="Arial"/>
                <w:color w:val="000000" w:themeColor="text1"/>
              </w:rPr>
            </w:pPr>
          </w:p>
        </w:tc>
        <w:tc>
          <w:tcPr>
            <w:tcW w:w="624" w:type="pct"/>
            <w:tcBorders>
              <w:top w:val="nil"/>
              <w:bottom w:val="single" w:sz="8" w:space="0" w:color="auto"/>
            </w:tcBorders>
            <w:shd w:val="clear" w:color="auto" w:fill="auto"/>
            <w:vAlign w:val="center"/>
          </w:tcPr>
          <w:p w14:paraId="659B187B"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626" w:type="pct"/>
            <w:tcBorders>
              <w:top w:val="nil"/>
              <w:bottom w:val="single" w:sz="8" w:space="0" w:color="auto"/>
            </w:tcBorders>
            <w:shd w:val="clear" w:color="auto" w:fill="auto"/>
            <w:vAlign w:val="center"/>
          </w:tcPr>
          <w:p w14:paraId="0A071E1F"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0,843</w:t>
            </w:r>
          </w:p>
        </w:tc>
        <w:tc>
          <w:tcPr>
            <w:tcW w:w="541" w:type="pct"/>
            <w:vMerge/>
            <w:tcBorders>
              <w:top w:val="nil"/>
              <w:bottom w:val="single" w:sz="8" w:space="0" w:color="auto"/>
            </w:tcBorders>
            <w:shd w:val="clear" w:color="auto" w:fill="auto"/>
            <w:vAlign w:val="center"/>
          </w:tcPr>
          <w:p w14:paraId="4E1B5344" w14:textId="77777777" w:rsidR="00033BE9" w:rsidRPr="0047203B" w:rsidRDefault="00033BE9" w:rsidP="00033BE9">
            <w:pPr>
              <w:jc w:val="center"/>
              <w:rPr>
                <w:rFonts w:ascii="Arial" w:eastAsia="EB Garamond" w:hAnsi="Arial" w:cs="Arial"/>
                <w:color w:val="000000" w:themeColor="text1"/>
              </w:rPr>
            </w:pPr>
          </w:p>
        </w:tc>
        <w:tc>
          <w:tcPr>
            <w:tcW w:w="1004" w:type="pct"/>
            <w:vMerge/>
            <w:tcBorders>
              <w:bottom w:val="single" w:sz="8" w:space="0" w:color="auto"/>
            </w:tcBorders>
            <w:shd w:val="clear" w:color="auto" w:fill="auto"/>
          </w:tcPr>
          <w:p w14:paraId="095646E6"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4DEAAE4F" w14:textId="77777777" w:rsidR="00033BE9" w:rsidRPr="0047203B" w:rsidRDefault="00033BE9" w:rsidP="00033BE9">
            <w:pPr>
              <w:jc w:val="center"/>
              <w:rPr>
                <w:rFonts w:ascii="Arial" w:eastAsia="EB Garamond" w:hAnsi="Arial" w:cs="Arial"/>
                <w:color w:val="000000" w:themeColor="text1"/>
              </w:rPr>
            </w:pPr>
          </w:p>
        </w:tc>
      </w:tr>
      <w:tr w:rsidR="00033BE9" w:rsidRPr="0047203B" w14:paraId="128AB10B" w14:textId="77777777" w:rsidTr="00033BE9">
        <w:tc>
          <w:tcPr>
            <w:tcW w:w="1203" w:type="pct"/>
            <w:vMerge w:val="restart"/>
            <w:shd w:val="clear" w:color="auto" w:fill="auto"/>
            <w:vAlign w:val="center"/>
          </w:tcPr>
          <w:p w14:paraId="6117151A" w14:textId="77777777" w:rsidR="00033BE9" w:rsidRPr="0047203B" w:rsidRDefault="00033BE9" w:rsidP="00033BE9">
            <w:pPr>
              <w:rPr>
                <w:rFonts w:ascii="Arial" w:eastAsia="EB Garamond" w:hAnsi="Arial" w:cs="Arial"/>
                <w:color w:val="000000" w:themeColor="text1"/>
              </w:rPr>
            </w:pPr>
            <w:r w:rsidRPr="0047203B">
              <w:rPr>
                <w:rFonts w:ascii="Arial" w:eastAsia="EB Garamond" w:hAnsi="Arial" w:cs="Arial"/>
                <w:color w:val="000000" w:themeColor="text1"/>
                <w:lang w:val="en"/>
              </w:rPr>
              <w:t>User Experience(X4)</w:t>
            </w:r>
          </w:p>
        </w:tc>
        <w:tc>
          <w:tcPr>
            <w:tcW w:w="624" w:type="pct"/>
            <w:tcBorders>
              <w:top w:val="single" w:sz="8" w:space="0" w:color="auto"/>
              <w:bottom w:val="nil"/>
            </w:tcBorders>
            <w:shd w:val="clear" w:color="auto" w:fill="auto"/>
            <w:vAlign w:val="center"/>
          </w:tcPr>
          <w:p w14:paraId="4D917257"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626" w:type="pct"/>
            <w:tcBorders>
              <w:top w:val="single" w:sz="8" w:space="0" w:color="auto"/>
              <w:bottom w:val="nil"/>
            </w:tcBorders>
            <w:shd w:val="clear" w:color="auto" w:fill="auto"/>
            <w:vAlign w:val="center"/>
          </w:tcPr>
          <w:p w14:paraId="5FDC6306"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0,807</w:t>
            </w:r>
          </w:p>
        </w:tc>
        <w:tc>
          <w:tcPr>
            <w:tcW w:w="541" w:type="pct"/>
            <w:vMerge w:val="restart"/>
            <w:tcBorders>
              <w:top w:val="single" w:sz="8" w:space="0" w:color="auto"/>
              <w:bottom w:val="nil"/>
            </w:tcBorders>
            <w:shd w:val="clear" w:color="auto" w:fill="auto"/>
            <w:vAlign w:val="center"/>
          </w:tcPr>
          <w:p w14:paraId="24CFBAD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&gt;0,254</w:t>
            </w:r>
          </w:p>
        </w:tc>
        <w:tc>
          <w:tcPr>
            <w:tcW w:w="1004" w:type="pct"/>
            <w:vMerge w:val="restart"/>
            <w:tcBorders>
              <w:top w:val="single" w:sz="8" w:space="0" w:color="auto"/>
            </w:tcBorders>
            <w:shd w:val="clear" w:color="auto" w:fill="auto"/>
            <w:vAlign w:val="center"/>
          </w:tcPr>
          <w:p w14:paraId="503FA5E4"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0,000</w:t>
            </w:r>
          </w:p>
        </w:tc>
        <w:tc>
          <w:tcPr>
            <w:tcW w:w="1002" w:type="pct"/>
            <w:vMerge w:val="restart"/>
            <w:shd w:val="clear" w:color="auto" w:fill="auto"/>
            <w:vAlign w:val="center"/>
          </w:tcPr>
          <w:p w14:paraId="34CC0939"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Valid</w:t>
            </w:r>
          </w:p>
        </w:tc>
      </w:tr>
      <w:tr w:rsidR="00033BE9" w:rsidRPr="0047203B" w14:paraId="3462AD92" w14:textId="77777777" w:rsidTr="00033BE9">
        <w:tc>
          <w:tcPr>
            <w:tcW w:w="1203" w:type="pct"/>
            <w:vMerge/>
            <w:shd w:val="clear" w:color="auto" w:fill="auto"/>
            <w:vAlign w:val="center"/>
          </w:tcPr>
          <w:p w14:paraId="6DB6A499"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12D564DD"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626" w:type="pct"/>
            <w:tcBorders>
              <w:top w:val="nil"/>
              <w:bottom w:val="nil"/>
            </w:tcBorders>
            <w:shd w:val="clear" w:color="auto" w:fill="auto"/>
            <w:vAlign w:val="center"/>
          </w:tcPr>
          <w:p w14:paraId="1F8B3FB0"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0,822</w:t>
            </w:r>
          </w:p>
        </w:tc>
        <w:tc>
          <w:tcPr>
            <w:tcW w:w="541" w:type="pct"/>
            <w:vMerge/>
            <w:tcBorders>
              <w:top w:val="nil"/>
              <w:bottom w:val="nil"/>
            </w:tcBorders>
            <w:shd w:val="clear" w:color="auto" w:fill="auto"/>
            <w:vAlign w:val="center"/>
          </w:tcPr>
          <w:p w14:paraId="3C170EC4"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5B9E4826"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6242B690" w14:textId="77777777" w:rsidR="00033BE9" w:rsidRPr="0047203B" w:rsidRDefault="00033BE9" w:rsidP="00033BE9">
            <w:pPr>
              <w:jc w:val="center"/>
              <w:rPr>
                <w:rFonts w:ascii="Arial" w:eastAsia="EB Garamond" w:hAnsi="Arial" w:cs="Arial"/>
                <w:color w:val="000000" w:themeColor="text1"/>
              </w:rPr>
            </w:pPr>
          </w:p>
        </w:tc>
      </w:tr>
      <w:tr w:rsidR="00033BE9" w:rsidRPr="0047203B" w14:paraId="155B6334" w14:textId="77777777" w:rsidTr="00033BE9">
        <w:tc>
          <w:tcPr>
            <w:tcW w:w="1203" w:type="pct"/>
            <w:vMerge/>
            <w:shd w:val="clear" w:color="auto" w:fill="auto"/>
            <w:vAlign w:val="center"/>
          </w:tcPr>
          <w:p w14:paraId="48A98C29"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2B72DDBB"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3</w:t>
            </w:r>
          </w:p>
        </w:tc>
        <w:tc>
          <w:tcPr>
            <w:tcW w:w="626" w:type="pct"/>
            <w:tcBorders>
              <w:top w:val="nil"/>
              <w:bottom w:val="nil"/>
            </w:tcBorders>
            <w:shd w:val="clear" w:color="auto" w:fill="auto"/>
            <w:vAlign w:val="center"/>
          </w:tcPr>
          <w:p w14:paraId="70B12ACB"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0,859</w:t>
            </w:r>
          </w:p>
        </w:tc>
        <w:tc>
          <w:tcPr>
            <w:tcW w:w="541" w:type="pct"/>
            <w:vMerge/>
            <w:tcBorders>
              <w:top w:val="nil"/>
              <w:bottom w:val="nil"/>
            </w:tcBorders>
            <w:shd w:val="clear" w:color="auto" w:fill="auto"/>
            <w:vAlign w:val="center"/>
          </w:tcPr>
          <w:p w14:paraId="57C3A21C"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072EE976"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2DBF0CD0" w14:textId="77777777" w:rsidR="00033BE9" w:rsidRPr="0047203B" w:rsidRDefault="00033BE9" w:rsidP="00033BE9">
            <w:pPr>
              <w:jc w:val="center"/>
              <w:rPr>
                <w:rFonts w:ascii="Arial" w:eastAsia="EB Garamond" w:hAnsi="Arial" w:cs="Arial"/>
                <w:color w:val="000000" w:themeColor="text1"/>
              </w:rPr>
            </w:pPr>
          </w:p>
        </w:tc>
      </w:tr>
      <w:tr w:rsidR="00033BE9" w:rsidRPr="0047203B" w14:paraId="1019E141" w14:textId="77777777" w:rsidTr="00033BE9">
        <w:tc>
          <w:tcPr>
            <w:tcW w:w="1203" w:type="pct"/>
            <w:vMerge/>
            <w:shd w:val="clear" w:color="auto" w:fill="auto"/>
            <w:vAlign w:val="center"/>
          </w:tcPr>
          <w:p w14:paraId="6DF97AFC" w14:textId="77777777" w:rsidR="00033BE9" w:rsidRPr="0047203B" w:rsidRDefault="00033BE9" w:rsidP="00033BE9">
            <w:pPr>
              <w:rPr>
                <w:rFonts w:ascii="Arial" w:eastAsia="EB Garamond" w:hAnsi="Arial" w:cs="Arial"/>
                <w:color w:val="000000" w:themeColor="text1"/>
              </w:rPr>
            </w:pPr>
          </w:p>
        </w:tc>
        <w:tc>
          <w:tcPr>
            <w:tcW w:w="624" w:type="pct"/>
            <w:tcBorders>
              <w:top w:val="nil"/>
              <w:bottom w:val="single" w:sz="8" w:space="0" w:color="auto"/>
            </w:tcBorders>
            <w:shd w:val="clear" w:color="auto" w:fill="auto"/>
            <w:vAlign w:val="center"/>
          </w:tcPr>
          <w:p w14:paraId="16EFFF20"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626" w:type="pct"/>
            <w:tcBorders>
              <w:top w:val="nil"/>
              <w:bottom w:val="single" w:sz="8" w:space="0" w:color="auto"/>
            </w:tcBorders>
            <w:shd w:val="clear" w:color="auto" w:fill="auto"/>
            <w:vAlign w:val="center"/>
          </w:tcPr>
          <w:p w14:paraId="101B1F8E"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0,767</w:t>
            </w:r>
          </w:p>
        </w:tc>
        <w:tc>
          <w:tcPr>
            <w:tcW w:w="541" w:type="pct"/>
            <w:vMerge/>
            <w:tcBorders>
              <w:top w:val="nil"/>
              <w:bottom w:val="single" w:sz="8" w:space="0" w:color="auto"/>
            </w:tcBorders>
            <w:shd w:val="clear" w:color="auto" w:fill="auto"/>
            <w:vAlign w:val="center"/>
          </w:tcPr>
          <w:p w14:paraId="7B965583" w14:textId="77777777" w:rsidR="00033BE9" w:rsidRPr="0047203B" w:rsidRDefault="00033BE9" w:rsidP="00033BE9">
            <w:pPr>
              <w:jc w:val="center"/>
              <w:rPr>
                <w:rFonts w:ascii="Arial" w:eastAsia="EB Garamond" w:hAnsi="Arial" w:cs="Arial"/>
                <w:color w:val="000000" w:themeColor="text1"/>
              </w:rPr>
            </w:pPr>
          </w:p>
        </w:tc>
        <w:tc>
          <w:tcPr>
            <w:tcW w:w="1004" w:type="pct"/>
            <w:vMerge/>
            <w:tcBorders>
              <w:bottom w:val="single" w:sz="8" w:space="0" w:color="auto"/>
            </w:tcBorders>
            <w:shd w:val="clear" w:color="auto" w:fill="auto"/>
          </w:tcPr>
          <w:p w14:paraId="515B7501"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3CA48F4A" w14:textId="77777777" w:rsidR="00033BE9" w:rsidRPr="0047203B" w:rsidRDefault="00033BE9" w:rsidP="00033BE9">
            <w:pPr>
              <w:jc w:val="center"/>
              <w:rPr>
                <w:rFonts w:ascii="Arial" w:eastAsia="EB Garamond" w:hAnsi="Arial" w:cs="Arial"/>
                <w:color w:val="000000" w:themeColor="text1"/>
              </w:rPr>
            </w:pPr>
          </w:p>
        </w:tc>
      </w:tr>
      <w:tr w:rsidR="00033BE9" w:rsidRPr="0047203B" w14:paraId="79D0B39E" w14:textId="77777777" w:rsidTr="00033BE9">
        <w:tc>
          <w:tcPr>
            <w:tcW w:w="1203" w:type="pct"/>
            <w:vMerge w:val="restart"/>
            <w:shd w:val="clear" w:color="auto" w:fill="auto"/>
            <w:vAlign w:val="center"/>
          </w:tcPr>
          <w:p w14:paraId="4BE32625" w14:textId="77777777" w:rsidR="00033BE9" w:rsidRPr="0047203B" w:rsidRDefault="00033BE9" w:rsidP="00033BE9">
            <w:pPr>
              <w:rPr>
                <w:rFonts w:ascii="Arial" w:eastAsia="EB Garamond" w:hAnsi="Arial" w:cs="Arial"/>
                <w:color w:val="000000" w:themeColor="text1"/>
              </w:rPr>
            </w:pPr>
            <w:r w:rsidRPr="0047203B">
              <w:rPr>
                <w:rFonts w:ascii="Arial" w:eastAsia="EB Garamond" w:hAnsi="Arial" w:cs="Arial"/>
                <w:color w:val="000000" w:themeColor="text1"/>
                <w:lang w:val="en"/>
              </w:rPr>
              <w:t>Advantages and Benefits (X5</w:t>
            </w:r>
          </w:p>
        </w:tc>
        <w:tc>
          <w:tcPr>
            <w:tcW w:w="624" w:type="pct"/>
            <w:tcBorders>
              <w:top w:val="single" w:sz="8" w:space="0" w:color="auto"/>
              <w:bottom w:val="nil"/>
            </w:tcBorders>
            <w:shd w:val="clear" w:color="auto" w:fill="auto"/>
            <w:vAlign w:val="center"/>
          </w:tcPr>
          <w:p w14:paraId="643B47BC"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626" w:type="pct"/>
            <w:tcBorders>
              <w:top w:val="single" w:sz="8" w:space="0" w:color="auto"/>
              <w:bottom w:val="nil"/>
            </w:tcBorders>
            <w:shd w:val="clear" w:color="auto" w:fill="auto"/>
            <w:vAlign w:val="center"/>
          </w:tcPr>
          <w:p w14:paraId="513BDF85"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0,804</w:t>
            </w:r>
          </w:p>
        </w:tc>
        <w:tc>
          <w:tcPr>
            <w:tcW w:w="541" w:type="pct"/>
            <w:vMerge w:val="restart"/>
            <w:tcBorders>
              <w:top w:val="single" w:sz="8" w:space="0" w:color="auto"/>
              <w:bottom w:val="nil"/>
            </w:tcBorders>
            <w:shd w:val="clear" w:color="auto" w:fill="auto"/>
            <w:vAlign w:val="center"/>
          </w:tcPr>
          <w:p w14:paraId="00FAE48F"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&gt;0,254</w:t>
            </w:r>
          </w:p>
        </w:tc>
        <w:tc>
          <w:tcPr>
            <w:tcW w:w="1004" w:type="pct"/>
            <w:vMerge w:val="restart"/>
            <w:tcBorders>
              <w:top w:val="single" w:sz="8" w:space="0" w:color="auto"/>
            </w:tcBorders>
            <w:shd w:val="clear" w:color="auto" w:fill="auto"/>
            <w:vAlign w:val="center"/>
          </w:tcPr>
          <w:p w14:paraId="341F035D"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0,000</w:t>
            </w:r>
          </w:p>
        </w:tc>
        <w:tc>
          <w:tcPr>
            <w:tcW w:w="1002" w:type="pct"/>
            <w:vMerge w:val="restart"/>
            <w:shd w:val="clear" w:color="auto" w:fill="auto"/>
            <w:vAlign w:val="center"/>
          </w:tcPr>
          <w:p w14:paraId="24D0D03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Valid</w:t>
            </w:r>
          </w:p>
        </w:tc>
      </w:tr>
      <w:tr w:rsidR="00033BE9" w:rsidRPr="0047203B" w14:paraId="592FC479" w14:textId="77777777" w:rsidTr="00033BE9">
        <w:tc>
          <w:tcPr>
            <w:tcW w:w="1203" w:type="pct"/>
            <w:vMerge/>
            <w:shd w:val="clear" w:color="auto" w:fill="auto"/>
            <w:vAlign w:val="center"/>
          </w:tcPr>
          <w:p w14:paraId="5687B097"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2E8E8093"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626" w:type="pct"/>
            <w:tcBorders>
              <w:top w:val="nil"/>
              <w:bottom w:val="nil"/>
            </w:tcBorders>
            <w:shd w:val="clear" w:color="auto" w:fill="auto"/>
            <w:vAlign w:val="center"/>
          </w:tcPr>
          <w:p w14:paraId="2BE75A93"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0,824</w:t>
            </w:r>
          </w:p>
        </w:tc>
        <w:tc>
          <w:tcPr>
            <w:tcW w:w="541" w:type="pct"/>
            <w:vMerge/>
            <w:tcBorders>
              <w:top w:val="nil"/>
              <w:bottom w:val="nil"/>
            </w:tcBorders>
            <w:shd w:val="clear" w:color="auto" w:fill="auto"/>
            <w:vAlign w:val="center"/>
          </w:tcPr>
          <w:p w14:paraId="658A84B4"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0E11DC4A"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5E3CAFC3" w14:textId="77777777" w:rsidR="00033BE9" w:rsidRPr="0047203B" w:rsidRDefault="00033BE9" w:rsidP="00033BE9">
            <w:pPr>
              <w:jc w:val="center"/>
              <w:rPr>
                <w:rFonts w:ascii="Arial" w:eastAsia="EB Garamond" w:hAnsi="Arial" w:cs="Arial"/>
                <w:color w:val="000000" w:themeColor="text1"/>
              </w:rPr>
            </w:pPr>
          </w:p>
        </w:tc>
      </w:tr>
      <w:tr w:rsidR="00033BE9" w:rsidRPr="0047203B" w14:paraId="16241614" w14:textId="77777777" w:rsidTr="00033BE9">
        <w:tc>
          <w:tcPr>
            <w:tcW w:w="1203" w:type="pct"/>
            <w:vMerge/>
            <w:shd w:val="clear" w:color="auto" w:fill="auto"/>
            <w:vAlign w:val="center"/>
          </w:tcPr>
          <w:p w14:paraId="189140BC" w14:textId="77777777" w:rsidR="00033BE9" w:rsidRPr="0047203B" w:rsidRDefault="00033BE9" w:rsidP="00033BE9">
            <w:pPr>
              <w:rPr>
                <w:rFonts w:ascii="Arial" w:eastAsia="EB Garamond" w:hAnsi="Arial" w:cs="Arial"/>
                <w:color w:val="000000" w:themeColor="text1"/>
              </w:rPr>
            </w:pPr>
          </w:p>
        </w:tc>
        <w:tc>
          <w:tcPr>
            <w:tcW w:w="624" w:type="pct"/>
            <w:tcBorders>
              <w:top w:val="nil"/>
              <w:bottom w:val="nil"/>
            </w:tcBorders>
            <w:shd w:val="clear" w:color="auto" w:fill="auto"/>
            <w:vAlign w:val="center"/>
          </w:tcPr>
          <w:p w14:paraId="176D198E"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3</w:t>
            </w:r>
          </w:p>
        </w:tc>
        <w:tc>
          <w:tcPr>
            <w:tcW w:w="626" w:type="pct"/>
            <w:tcBorders>
              <w:top w:val="nil"/>
              <w:bottom w:val="nil"/>
            </w:tcBorders>
            <w:shd w:val="clear" w:color="auto" w:fill="auto"/>
            <w:vAlign w:val="center"/>
          </w:tcPr>
          <w:p w14:paraId="4F7A2B56"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0,692</w:t>
            </w:r>
          </w:p>
        </w:tc>
        <w:tc>
          <w:tcPr>
            <w:tcW w:w="541" w:type="pct"/>
            <w:vMerge/>
            <w:tcBorders>
              <w:top w:val="nil"/>
              <w:bottom w:val="nil"/>
            </w:tcBorders>
            <w:shd w:val="clear" w:color="auto" w:fill="auto"/>
            <w:vAlign w:val="center"/>
          </w:tcPr>
          <w:p w14:paraId="1CDD586A"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729589A3"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6DCE15B8" w14:textId="77777777" w:rsidR="00033BE9" w:rsidRPr="0047203B" w:rsidRDefault="00033BE9" w:rsidP="00033BE9">
            <w:pPr>
              <w:jc w:val="center"/>
              <w:rPr>
                <w:rFonts w:ascii="Arial" w:eastAsia="EB Garamond" w:hAnsi="Arial" w:cs="Arial"/>
                <w:color w:val="000000" w:themeColor="text1"/>
              </w:rPr>
            </w:pPr>
          </w:p>
        </w:tc>
      </w:tr>
      <w:tr w:rsidR="00033BE9" w:rsidRPr="0047203B" w14:paraId="742AA453" w14:textId="77777777" w:rsidTr="00033BE9">
        <w:tc>
          <w:tcPr>
            <w:tcW w:w="1203" w:type="pct"/>
            <w:vMerge/>
            <w:shd w:val="clear" w:color="auto" w:fill="auto"/>
            <w:vAlign w:val="center"/>
          </w:tcPr>
          <w:p w14:paraId="016FB5D7" w14:textId="77777777" w:rsidR="00033BE9" w:rsidRPr="0047203B" w:rsidRDefault="00033BE9" w:rsidP="00033BE9">
            <w:pPr>
              <w:rPr>
                <w:rFonts w:ascii="Arial" w:eastAsia="EB Garamond" w:hAnsi="Arial" w:cs="Arial"/>
                <w:color w:val="000000" w:themeColor="text1"/>
              </w:rPr>
            </w:pPr>
          </w:p>
        </w:tc>
        <w:tc>
          <w:tcPr>
            <w:tcW w:w="624" w:type="pct"/>
            <w:tcBorders>
              <w:top w:val="nil"/>
              <w:bottom w:val="single" w:sz="8" w:space="0" w:color="auto"/>
            </w:tcBorders>
            <w:shd w:val="clear" w:color="auto" w:fill="auto"/>
            <w:vAlign w:val="center"/>
          </w:tcPr>
          <w:p w14:paraId="359FB1E7"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626" w:type="pct"/>
            <w:tcBorders>
              <w:top w:val="nil"/>
              <w:bottom w:val="single" w:sz="8" w:space="0" w:color="auto"/>
            </w:tcBorders>
            <w:shd w:val="clear" w:color="auto" w:fill="auto"/>
            <w:vAlign w:val="center"/>
          </w:tcPr>
          <w:p w14:paraId="4A78B89F"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0,771</w:t>
            </w:r>
          </w:p>
        </w:tc>
        <w:tc>
          <w:tcPr>
            <w:tcW w:w="541" w:type="pct"/>
            <w:vMerge/>
            <w:tcBorders>
              <w:top w:val="nil"/>
              <w:bottom w:val="single" w:sz="8" w:space="0" w:color="auto"/>
            </w:tcBorders>
            <w:shd w:val="clear" w:color="auto" w:fill="auto"/>
            <w:vAlign w:val="center"/>
          </w:tcPr>
          <w:p w14:paraId="144F7891" w14:textId="77777777" w:rsidR="00033BE9" w:rsidRPr="0047203B" w:rsidRDefault="00033BE9" w:rsidP="00033BE9">
            <w:pPr>
              <w:jc w:val="center"/>
              <w:rPr>
                <w:rFonts w:ascii="Arial" w:eastAsia="EB Garamond" w:hAnsi="Arial" w:cs="Arial"/>
                <w:color w:val="000000" w:themeColor="text1"/>
              </w:rPr>
            </w:pPr>
          </w:p>
        </w:tc>
        <w:tc>
          <w:tcPr>
            <w:tcW w:w="1004" w:type="pct"/>
            <w:vMerge/>
            <w:tcBorders>
              <w:bottom w:val="single" w:sz="8" w:space="0" w:color="auto"/>
            </w:tcBorders>
            <w:shd w:val="clear" w:color="auto" w:fill="auto"/>
          </w:tcPr>
          <w:p w14:paraId="47D10D1F"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39F12BD0" w14:textId="77777777" w:rsidR="00033BE9" w:rsidRPr="0047203B" w:rsidRDefault="00033BE9" w:rsidP="00033BE9">
            <w:pPr>
              <w:jc w:val="center"/>
              <w:rPr>
                <w:rFonts w:ascii="Arial" w:eastAsia="EB Garamond" w:hAnsi="Arial" w:cs="Arial"/>
                <w:color w:val="000000" w:themeColor="text1"/>
              </w:rPr>
            </w:pPr>
          </w:p>
        </w:tc>
      </w:tr>
      <w:tr w:rsidR="00033BE9" w:rsidRPr="0047203B" w14:paraId="3A0208D7" w14:textId="77777777" w:rsidTr="00033BE9">
        <w:tc>
          <w:tcPr>
            <w:tcW w:w="1203" w:type="pct"/>
            <w:vMerge w:val="restart"/>
            <w:shd w:val="clear" w:color="auto" w:fill="auto"/>
            <w:vAlign w:val="center"/>
          </w:tcPr>
          <w:p w14:paraId="22EEF539" w14:textId="77777777" w:rsidR="00033BE9" w:rsidRPr="0047203B" w:rsidRDefault="00033BE9" w:rsidP="00033BE9">
            <w:pPr>
              <w:rPr>
                <w:rFonts w:ascii="Arial" w:eastAsia="EB Garamond" w:hAnsi="Arial" w:cs="Arial"/>
                <w:color w:val="000000" w:themeColor="text1"/>
              </w:rPr>
            </w:pPr>
            <w:r w:rsidRPr="0047203B">
              <w:rPr>
                <w:rFonts w:ascii="Arial" w:eastAsia="EB Garamond" w:hAnsi="Arial" w:cs="Arial"/>
                <w:color w:val="000000" w:themeColor="text1"/>
                <w:lang w:val="en"/>
              </w:rPr>
              <w:t>Interest in Using E-Banking(Y)</w:t>
            </w:r>
          </w:p>
        </w:tc>
        <w:tc>
          <w:tcPr>
            <w:tcW w:w="624" w:type="pct"/>
            <w:tcBorders>
              <w:top w:val="single" w:sz="8" w:space="0" w:color="auto"/>
              <w:bottom w:val="nil"/>
            </w:tcBorders>
            <w:shd w:val="clear" w:color="auto" w:fill="auto"/>
            <w:vAlign w:val="center"/>
          </w:tcPr>
          <w:p w14:paraId="444242EE"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626" w:type="pct"/>
            <w:tcBorders>
              <w:top w:val="single" w:sz="8" w:space="0" w:color="auto"/>
              <w:bottom w:val="nil"/>
            </w:tcBorders>
            <w:shd w:val="clear" w:color="auto" w:fill="auto"/>
            <w:vAlign w:val="center"/>
          </w:tcPr>
          <w:p w14:paraId="3D0E794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0,819</w:t>
            </w:r>
          </w:p>
        </w:tc>
        <w:tc>
          <w:tcPr>
            <w:tcW w:w="541" w:type="pct"/>
            <w:vMerge w:val="restart"/>
            <w:tcBorders>
              <w:top w:val="single" w:sz="8" w:space="0" w:color="auto"/>
              <w:bottom w:val="nil"/>
            </w:tcBorders>
            <w:shd w:val="clear" w:color="auto" w:fill="auto"/>
            <w:vAlign w:val="center"/>
          </w:tcPr>
          <w:p w14:paraId="6F4F8A4F"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&gt;0,254</w:t>
            </w:r>
          </w:p>
        </w:tc>
        <w:tc>
          <w:tcPr>
            <w:tcW w:w="1004" w:type="pct"/>
            <w:vMerge w:val="restart"/>
            <w:tcBorders>
              <w:top w:val="single" w:sz="8" w:space="0" w:color="auto"/>
            </w:tcBorders>
            <w:shd w:val="clear" w:color="auto" w:fill="auto"/>
            <w:vAlign w:val="center"/>
          </w:tcPr>
          <w:p w14:paraId="5979D9A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0,000</w:t>
            </w:r>
          </w:p>
        </w:tc>
        <w:tc>
          <w:tcPr>
            <w:tcW w:w="1002" w:type="pct"/>
            <w:vMerge w:val="restart"/>
            <w:shd w:val="clear" w:color="auto" w:fill="auto"/>
            <w:vAlign w:val="center"/>
          </w:tcPr>
          <w:p w14:paraId="329FDD85"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Valid</w:t>
            </w:r>
          </w:p>
        </w:tc>
      </w:tr>
      <w:tr w:rsidR="00033BE9" w:rsidRPr="0047203B" w14:paraId="2F9AF33A" w14:textId="77777777" w:rsidTr="00033BE9">
        <w:tc>
          <w:tcPr>
            <w:tcW w:w="1203" w:type="pct"/>
            <w:vMerge/>
            <w:shd w:val="clear" w:color="auto" w:fill="auto"/>
            <w:vAlign w:val="center"/>
          </w:tcPr>
          <w:p w14:paraId="7B19EB8E" w14:textId="77777777" w:rsidR="00033BE9" w:rsidRPr="0047203B" w:rsidRDefault="00033BE9" w:rsidP="00033BE9">
            <w:pPr>
              <w:jc w:val="center"/>
              <w:rPr>
                <w:rFonts w:ascii="Arial" w:eastAsia="EB Garamond" w:hAnsi="Arial" w:cs="Arial"/>
                <w:color w:val="000000" w:themeColor="text1"/>
              </w:rPr>
            </w:pPr>
          </w:p>
        </w:tc>
        <w:tc>
          <w:tcPr>
            <w:tcW w:w="624" w:type="pct"/>
            <w:tcBorders>
              <w:top w:val="nil"/>
              <w:bottom w:val="nil"/>
            </w:tcBorders>
            <w:shd w:val="clear" w:color="auto" w:fill="auto"/>
            <w:vAlign w:val="center"/>
          </w:tcPr>
          <w:p w14:paraId="2C6EA36B"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2</w:t>
            </w:r>
          </w:p>
        </w:tc>
        <w:tc>
          <w:tcPr>
            <w:tcW w:w="626" w:type="pct"/>
            <w:tcBorders>
              <w:top w:val="nil"/>
              <w:bottom w:val="nil"/>
            </w:tcBorders>
            <w:shd w:val="clear" w:color="auto" w:fill="auto"/>
            <w:vAlign w:val="center"/>
          </w:tcPr>
          <w:p w14:paraId="2B800AE0"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0,799</w:t>
            </w:r>
          </w:p>
        </w:tc>
        <w:tc>
          <w:tcPr>
            <w:tcW w:w="541" w:type="pct"/>
            <w:vMerge/>
            <w:tcBorders>
              <w:top w:val="nil"/>
              <w:bottom w:val="nil"/>
            </w:tcBorders>
            <w:shd w:val="clear" w:color="auto" w:fill="auto"/>
            <w:vAlign w:val="center"/>
          </w:tcPr>
          <w:p w14:paraId="6A2E0665"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02B8346D"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6FBFE401" w14:textId="77777777" w:rsidR="00033BE9" w:rsidRPr="0047203B" w:rsidRDefault="00033BE9" w:rsidP="00033BE9">
            <w:pPr>
              <w:jc w:val="center"/>
              <w:rPr>
                <w:rFonts w:ascii="Arial" w:eastAsia="EB Garamond" w:hAnsi="Arial" w:cs="Arial"/>
                <w:color w:val="000000" w:themeColor="text1"/>
              </w:rPr>
            </w:pPr>
          </w:p>
        </w:tc>
      </w:tr>
      <w:tr w:rsidR="00033BE9" w:rsidRPr="0047203B" w14:paraId="745E971F" w14:textId="77777777" w:rsidTr="00033BE9">
        <w:tc>
          <w:tcPr>
            <w:tcW w:w="1203" w:type="pct"/>
            <w:vMerge/>
            <w:shd w:val="clear" w:color="auto" w:fill="auto"/>
            <w:vAlign w:val="center"/>
          </w:tcPr>
          <w:p w14:paraId="6671C206" w14:textId="77777777" w:rsidR="00033BE9" w:rsidRPr="0047203B" w:rsidRDefault="00033BE9" w:rsidP="00033BE9">
            <w:pPr>
              <w:jc w:val="center"/>
              <w:rPr>
                <w:rFonts w:ascii="Arial" w:eastAsia="EB Garamond" w:hAnsi="Arial" w:cs="Arial"/>
                <w:color w:val="000000" w:themeColor="text1"/>
              </w:rPr>
            </w:pPr>
          </w:p>
        </w:tc>
        <w:tc>
          <w:tcPr>
            <w:tcW w:w="624" w:type="pct"/>
            <w:tcBorders>
              <w:top w:val="nil"/>
              <w:bottom w:val="nil"/>
            </w:tcBorders>
            <w:shd w:val="clear" w:color="auto" w:fill="auto"/>
            <w:vAlign w:val="center"/>
          </w:tcPr>
          <w:p w14:paraId="352D44BC"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3</w:t>
            </w:r>
          </w:p>
        </w:tc>
        <w:tc>
          <w:tcPr>
            <w:tcW w:w="626" w:type="pct"/>
            <w:tcBorders>
              <w:top w:val="nil"/>
              <w:bottom w:val="nil"/>
            </w:tcBorders>
            <w:shd w:val="clear" w:color="auto" w:fill="auto"/>
            <w:vAlign w:val="center"/>
          </w:tcPr>
          <w:p w14:paraId="24B2B0FF"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0,840</w:t>
            </w:r>
          </w:p>
        </w:tc>
        <w:tc>
          <w:tcPr>
            <w:tcW w:w="541" w:type="pct"/>
            <w:vMerge/>
            <w:tcBorders>
              <w:top w:val="nil"/>
              <w:bottom w:val="nil"/>
            </w:tcBorders>
            <w:shd w:val="clear" w:color="auto" w:fill="auto"/>
            <w:vAlign w:val="center"/>
          </w:tcPr>
          <w:p w14:paraId="763CF229" w14:textId="77777777" w:rsidR="00033BE9" w:rsidRPr="0047203B" w:rsidRDefault="00033BE9" w:rsidP="00033BE9">
            <w:pPr>
              <w:jc w:val="center"/>
              <w:rPr>
                <w:rFonts w:ascii="Arial" w:eastAsia="EB Garamond" w:hAnsi="Arial" w:cs="Arial"/>
                <w:color w:val="000000" w:themeColor="text1"/>
              </w:rPr>
            </w:pPr>
          </w:p>
        </w:tc>
        <w:tc>
          <w:tcPr>
            <w:tcW w:w="1004" w:type="pct"/>
            <w:vMerge/>
            <w:shd w:val="clear" w:color="auto" w:fill="auto"/>
          </w:tcPr>
          <w:p w14:paraId="1B2312B2"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2B90FD9F" w14:textId="77777777" w:rsidR="00033BE9" w:rsidRPr="0047203B" w:rsidRDefault="00033BE9" w:rsidP="00033BE9">
            <w:pPr>
              <w:jc w:val="center"/>
              <w:rPr>
                <w:rFonts w:ascii="Arial" w:eastAsia="EB Garamond" w:hAnsi="Arial" w:cs="Arial"/>
                <w:color w:val="000000" w:themeColor="text1"/>
              </w:rPr>
            </w:pPr>
          </w:p>
        </w:tc>
      </w:tr>
      <w:tr w:rsidR="00033BE9" w:rsidRPr="0047203B" w14:paraId="5B339CDE" w14:textId="77777777" w:rsidTr="00033BE9">
        <w:tc>
          <w:tcPr>
            <w:tcW w:w="1203" w:type="pct"/>
            <w:vMerge/>
            <w:shd w:val="clear" w:color="auto" w:fill="auto"/>
            <w:vAlign w:val="center"/>
          </w:tcPr>
          <w:p w14:paraId="6BD882B6" w14:textId="77777777" w:rsidR="00033BE9" w:rsidRPr="0047203B" w:rsidRDefault="00033BE9" w:rsidP="00033BE9">
            <w:pPr>
              <w:jc w:val="center"/>
              <w:rPr>
                <w:rFonts w:ascii="Arial" w:eastAsia="EB Garamond" w:hAnsi="Arial" w:cs="Arial"/>
                <w:color w:val="000000" w:themeColor="text1"/>
              </w:rPr>
            </w:pPr>
          </w:p>
        </w:tc>
        <w:tc>
          <w:tcPr>
            <w:tcW w:w="624" w:type="pct"/>
            <w:tcBorders>
              <w:top w:val="nil"/>
              <w:bottom w:val="single" w:sz="8" w:space="0" w:color="auto"/>
            </w:tcBorders>
            <w:shd w:val="clear" w:color="auto" w:fill="auto"/>
            <w:vAlign w:val="center"/>
          </w:tcPr>
          <w:p w14:paraId="6C1B631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4</w:t>
            </w:r>
          </w:p>
        </w:tc>
        <w:tc>
          <w:tcPr>
            <w:tcW w:w="626" w:type="pct"/>
            <w:tcBorders>
              <w:top w:val="nil"/>
              <w:bottom w:val="single" w:sz="8" w:space="0" w:color="auto"/>
            </w:tcBorders>
            <w:shd w:val="clear" w:color="auto" w:fill="auto"/>
            <w:vAlign w:val="center"/>
          </w:tcPr>
          <w:p w14:paraId="71B58DF8" w14:textId="77777777" w:rsidR="00033BE9" w:rsidRPr="0047203B" w:rsidRDefault="00033BE9" w:rsidP="00033BE9">
            <w:pPr>
              <w:jc w:val="center"/>
              <w:rPr>
                <w:rFonts w:ascii="Arial" w:eastAsia="EB Garamond" w:hAnsi="Arial" w:cs="Arial"/>
                <w:color w:val="000000" w:themeColor="text1"/>
              </w:rPr>
            </w:pPr>
            <w:r w:rsidRPr="0047203B">
              <w:rPr>
                <w:rFonts w:ascii="Arial" w:eastAsia="EB Garamond" w:hAnsi="Arial" w:cs="Arial"/>
                <w:color w:val="000000" w:themeColor="text1"/>
              </w:rPr>
              <w:t>0,818</w:t>
            </w:r>
          </w:p>
        </w:tc>
        <w:tc>
          <w:tcPr>
            <w:tcW w:w="541" w:type="pct"/>
            <w:vMerge/>
            <w:tcBorders>
              <w:top w:val="nil"/>
              <w:bottom w:val="single" w:sz="8" w:space="0" w:color="auto"/>
            </w:tcBorders>
            <w:shd w:val="clear" w:color="auto" w:fill="auto"/>
            <w:vAlign w:val="center"/>
          </w:tcPr>
          <w:p w14:paraId="5D1465D8" w14:textId="77777777" w:rsidR="00033BE9" w:rsidRPr="0047203B" w:rsidRDefault="00033BE9" w:rsidP="00033BE9">
            <w:pPr>
              <w:jc w:val="center"/>
              <w:rPr>
                <w:rFonts w:ascii="Arial" w:eastAsia="EB Garamond" w:hAnsi="Arial" w:cs="Arial"/>
                <w:color w:val="000000" w:themeColor="text1"/>
              </w:rPr>
            </w:pPr>
          </w:p>
        </w:tc>
        <w:tc>
          <w:tcPr>
            <w:tcW w:w="1004" w:type="pct"/>
            <w:vMerge/>
            <w:tcBorders>
              <w:bottom w:val="single" w:sz="8" w:space="0" w:color="auto"/>
            </w:tcBorders>
            <w:shd w:val="clear" w:color="auto" w:fill="auto"/>
          </w:tcPr>
          <w:p w14:paraId="7293E7F5" w14:textId="77777777" w:rsidR="00033BE9" w:rsidRPr="0047203B" w:rsidRDefault="00033BE9" w:rsidP="00033BE9">
            <w:pPr>
              <w:jc w:val="center"/>
              <w:rPr>
                <w:rFonts w:ascii="Arial" w:eastAsia="EB Garamond" w:hAnsi="Arial" w:cs="Arial"/>
                <w:color w:val="000000" w:themeColor="text1"/>
              </w:rPr>
            </w:pPr>
          </w:p>
        </w:tc>
        <w:tc>
          <w:tcPr>
            <w:tcW w:w="1002" w:type="pct"/>
            <w:vMerge/>
            <w:shd w:val="clear" w:color="auto" w:fill="auto"/>
            <w:vAlign w:val="center"/>
          </w:tcPr>
          <w:p w14:paraId="2F368FB3" w14:textId="77777777" w:rsidR="00033BE9" w:rsidRPr="0047203B" w:rsidRDefault="00033BE9" w:rsidP="00033BE9">
            <w:pPr>
              <w:jc w:val="center"/>
              <w:rPr>
                <w:rFonts w:ascii="Arial" w:eastAsia="EB Garamond" w:hAnsi="Arial" w:cs="Arial"/>
                <w:color w:val="000000" w:themeColor="text1"/>
              </w:rPr>
            </w:pPr>
          </w:p>
        </w:tc>
      </w:tr>
      <w:tr w:rsidR="00033BE9" w:rsidRPr="0047203B" w14:paraId="70056C8D" w14:textId="77777777" w:rsidTr="00033BE9">
        <w:tc>
          <w:tcPr>
            <w:tcW w:w="5000" w:type="pct"/>
            <w:gridSpan w:val="6"/>
            <w:shd w:val="clear" w:color="auto" w:fill="auto"/>
            <w:vAlign w:val="center"/>
          </w:tcPr>
          <w:p w14:paraId="06AF802B" w14:textId="77777777" w:rsidR="00440093" w:rsidRDefault="00033BE9" w:rsidP="00033BE9">
            <w:pPr>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6615DE7E" w14:textId="408C51C4" w:rsidR="00255D8C" w:rsidRPr="0047203B" w:rsidRDefault="00255D8C" w:rsidP="00033BE9">
            <w:pPr>
              <w:rPr>
                <w:rFonts w:ascii="Arial" w:eastAsia="EB Garamond" w:hAnsi="Arial" w:cs="Arial"/>
                <w:color w:val="000000" w:themeColor="text1"/>
              </w:rPr>
            </w:pPr>
          </w:p>
        </w:tc>
      </w:tr>
    </w:tbl>
    <w:p w14:paraId="0C6A7E2F" w14:textId="77777777" w:rsidR="00033BE9" w:rsidRDefault="00033BE9"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033BE9">
          <w:type w:val="continuous"/>
          <w:pgSz w:w="11906" w:h="16838"/>
          <w:pgMar w:top="1440" w:right="1440" w:bottom="1440" w:left="1440" w:header="397" w:footer="708" w:gutter="0"/>
          <w:cols w:space="720"/>
        </w:sectPr>
      </w:pPr>
    </w:p>
    <w:p w14:paraId="65D33635" w14:textId="2FE3192A" w:rsidR="000B303C" w:rsidRPr="0047203B" w:rsidRDefault="00B63D4B" w:rsidP="0054195E">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Based on </w:t>
      </w:r>
      <w:r w:rsidR="00EC7439">
        <w:rPr>
          <w:rFonts w:ascii="Arial" w:eastAsia="EB Garamond" w:hAnsi="Arial" w:cs="Arial"/>
          <w:color w:val="000000" w:themeColor="text1"/>
        </w:rPr>
        <w:t>Ta</w:t>
      </w:r>
      <w:r w:rsidR="00255D8C">
        <w:rPr>
          <w:rFonts w:ascii="Arial" w:eastAsia="EB Garamond" w:hAnsi="Arial" w:cs="Arial"/>
          <w:color w:val="000000" w:themeColor="text1"/>
        </w:rPr>
        <w:t>ble 5</w:t>
      </w:r>
      <w:r w:rsidRPr="0047203B">
        <w:rPr>
          <w:rFonts w:ascii="Arial" w:eastAsia="EB Garamond" w:hAnsi="Arial" w:cs="Arial"/>
          <w:color w:val="000000" w:themeColor="text1"/>
        </w:rPr>
        <w:t xml:space="preserve"> validity test, the correlation coefficient value (r count) of each indicator ranges from 0.658 to 0.818. The r table value with df = n2 (60- 2)58 at a significance level of 5% (0.05) is 0.254. Because all indicators have a calculated r value greater than the r table value and at the sig. </w:t>
      </w:r>
      <w:r w:rsidR="00EB3602">
        <w:rPr>
          <w:rFonts w:ascii="Arial" w:eastAsia="EB Garamond" w:hAnsi="Arial" w:cs="Arial"/>
          <w:color w:val="000000" w:themeColor="text1"/>
        </w:rPr>
        <w:t>V</w:t>
      </w:r>
      <w:r w:rsidRPr="0047203B">
        <w:rPr>
          <w:rFonts w:ascii="Arial" w:eastAsia="EB Garamond" w:hAnsi="Arial" w:cs="Arial"/>
          <w:color w:val="000000" w:themeColor="text1"/>
        </w:rPr>
        <w:t>alue (2-tailed value) each variable has a value of 0.000 0.05. Therefore, it can be concluded that all indicators show very good validity. This shows that the research tool used has succeeded in measuring the constructs to be measured, namely financial literacy, infrastructure, security, user experience, advantages and benefits, and interest in using e-banking.</w:t>
      </w:r>
    </w:p>
    <w:p w14:paraId="2482697E" w14:textId="4EB4AE80" w:rsidR="002301E5" w:rsidRPr="0054195E" w:rsidRDefault="00631142" w:rsidP="00033BE9">
      <w:pPr>
        <w:pBdr>
          <w:top w:val="nil"/>
          <w:left w:val="nil"/>
          <w:bottom w:val="nil"/>
          <w:right w:val="nil"/>
          <w:between w:val="nil"/>
        </w:pBdr>
        <w:spacing w:after="0" w:line="240" w:lineRule="auto"/>
        <w:jc w:val="both"/>
        <w:rPr>
          <w:rFonts w:ascii="Arial" w:hAnsi="Arial" w:cs="Arial"/>
          <w:b/>
          <w:i/>
          <w:color w:val="000000" w:themeColor="text1"/>
        </w:rPr>
      </w:pPr>
      <w:r w:rsidRPr="0054195E">
        <w:rPr>
          <w:rFonts w:ascii="Arial" w:hAnsi="Arial" w:cs="Arial"/>
          <w:b/>
          <w:i/>
          <w:color w:val="000000" w:themeColor="text1"/>
        </w:rPr>
        <w:t>Reliability Test Results</w:t>
      </w:r>
    </w:p>
    <w:p w14:paraId="72C1ED92" w14:textId="2E9BEE15" w:rsidR="00A57D84" w:rsidRPr="0047203B" w:rsidRDefault="00BF0C5C"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Reliability testing aims to ensure that the measuring instrument used is reliable and provides consistent results. Sugi</w:t>
      </w:r>
      <w:r w:rsidR="00B069B4" w:rsidRPr="0047203B">
        <w:rPr>
          <w:rFonts w:ascii="Arial" w:eastAsia="EB Garamond" w:hAnsi="Arial" w:cs="Arial"/>
          <w:color w:val="000000" w:themeColor="text1"/>
        </w:rPr>
        <w:t xml:space="preserve">yono </w:t>
      </w:r>
      <w:r w:rsidR="00CA4D4F" w:rsidRPr="0047203B">
        <w:rPr>
          <w:rFonts w:ascii="Arial" w:eastAsia="EB Garamond" w:hAnsi="Arial" w:cs="Arial"/>
          <w:color w:val="000000" w:themeColor="text1"/>
        </w:rPr>
        <w:t>stated that a research instrument is considered reliable if its Cronbach Alpha value is at least 0.6</w:t>
      </w:r>
      <w:r w:rsidR="00B069B4" w:rsidRPr="0047203B">
        <w:rPr>
          <w:rFonts w:ascii="Arial" w:eastAsia="EB Garamond" w:hAnsi="Arial" w:cs="Arial"/>
          <w:color w:val="000000" w:themeColor="text1"/>
        </w:rPr>
        <w:t xml:space="preserve"> </w:t>
      </w:r>
      <w:r w:rsidR="00B069B4" w:rsidRPr="0047203B">
        <w:rPr>
          <w:rFonts w:ascii="Arial" w:eastAsia="EB Garamond" w:hAnsi="Arial" w:cs="Arial"/>
          <w:color w:val="000000" w:themeColor="text1"/>
        </w:rPr>
        <w:fldChar w:fldCharType="begin" w:fldLock="1"/>
      </w:r>
      <w:r w:rsidR="00984067" w:rsidRPr="0047203B">
        <w:rPr>
          <w:rFonts w:ascii="Arial" w:eastAsia="EB Garamond" w:hAnsi="Arial" w:cs="Arial"/>
          <w:color w:val="000000" w:themeColor="text1"/>
        </w:rPr>
        <w:instrText>ADDIN CSL_CITATION {"citationItems":[{"id":"ITEM-1","itemData":{"abstract":"Penelitian ini bertujuan untuk mengetahui apakah motivasi, gaya kepemimpinan berpengaruh terhadap produktivitas kerja pada karyawan bagian produksi di PT Tuntex Garment Indonesia Cikupa 1 Kecamatan Cikupa Kabupaten Tangerang, baik secara parsial maupun simultan. Penelitian menggunakan metode kuantitatif, dengan mengumpulkan data primer dan data sekunder. Dalam metode pengumpulan data menggunakan penelitian lapangan berupa observasi, wawancara dan kuesioner serta penelitian kepustakaan. PT Tuntex Garment Indonesia Cikupa 1 Kecamatan Cikupa Kabupaten Tangerang dengan jumlah karyawan bagian produksi berjumlah 771 orang dan 189 orang diantaranya merupakan populasi yang sesuai dengan kriteria responden yang ditetapkan, dengan metode non probability sampling dan rumus slovin dengan tingkat error 10% didapat sampel penelitian sebanyak 65 orang. Instrumen penelitian kemudian diuji dengan uji validitas dan reliabilitas. Teknik analisa menggunakan uji korelasi parsial, analisis regresi berganda, koefisien determinasi serta uji hipotesis berupa uji t (parsial) dan uji f (simultan). Berdasarkan perhitungan koefisien determinasi menunjukkan pengaruh variabel motivasi dan gaya kepemimpinan terhadap produktivitas kerja adalah sebesar 23,4%. Hal ini menunjukkan bahwa terdapat pengaruh yang signifikan baik secara parsial maupun simultan antara variabel motivasi dan gaya kepemimpinan terhadap produktivitas kerja di PT Tuntex Garment Indonesia Cikupa 1 Kecamatan Cikupa Kabupaten Tangerang. Kata","author":[{"dropping-particle":"","family":"Sugiyono","given":"","non-dropping-particle":"","parse-names":false,"suffix":""}],"container-title":"Prof. Dr. Sugiyono. 2018. Metode Penelitian Kuantitatif, Kualitatif, dan R&amp;D. Bandung: Alfabeta.","id":"ITEM-1","issued":{"date-parts":[["2018"]]},"title":"Prof. Dr. Sugiyono. 2018. Metode Penelitian Kuantitatif, Kualitatif, dan R&amp;D. Bandung: Alfabeta.","type":"article-journal"},"uris":["http://www.mendeley.com/documents/?uuid=7e766ef2-8875-3411-b9fc-2230922d60c1"]}],"mendeley":{"formattedCitation":"(Sugiyono, 2018)","plainTextFormattedCitation":"(Sugiyono, 2018)","previouslyFormattedCitation":"(Sugiyono, 2018)"},"properties":{"noteIndex":0},"schema":"https://github.com/citation-style-language/schema/raw/master/csl-citation.json"}</w:instrText>
      </w:r>
      <w:r w:rsidR="00B069B4" w:rsidRPr="0047203B">
        <w:rPr>
          <w:rFonts w:ascii="Arial" w:eastAsia="EB Garamond" w:hAnsi="Arial" w:cs="Arial"/>
          <w:color w:val="000000" w:themeColor="text1"/>
        </w:rPr>
        <w:fldChar w:fldCharType="separate"/>
      </w:r>
      <w:r w:rsidR="00B069B4" w:rsidRPr="0047203B">
        <w:rPr>
          <w:rFonts w:ascii="Arial" w:eastAsia="EB Garamond" w:hAnsi="Arial" w:cs="Arial"/>
          <w:noProof/>
          <w:color w:val="000000" w:themeColor="text1"/>
        </w:rPr>
        <w:t>(Sugiyono, 2018)</w:t>
      </w:r>
      <w:r w:rsidR="00B069B4" w:rsidRPr="0047203B">
        <w:rPr>
          <w:rFonts w:ascii="Arial" w:eastAsia="EB Garamond" w:hAnsi="Arial" w:cs="Arial"/>
          <w:color w:val="000000" w:themeColor="text1"/>
        </w:rPr>
        <w:fldChar w:fldCharType="end"/>
      </w:r>
      <w:r w:rsidR="00CA4D4F" w:rsidRPr="0047203B">
        <w:rPr>
          <w:rFonts w:ascii="Arial" w:eastAsia="EB Garamond" w:hAnsi="Arial" w:cs="Arial"/>
          <w:color w:val="000000" w:themeColor="text1"/>
        </w:rPr>
        <w:t>.</w:t>
      </w:r>
    </w:p>
    <w:p w14:paraId="40D9FEBF" w14:textId="77777777" w:rsidR="00033BE9" w:rsidRDefault="00033BE9" w:rsidP="005C23AF">
      <w:pPr>
        <w:ind w:firstLine="567"/>
        <w:jc w:val="center"/>
        <w:rPr>
          <w:rFonts w:ascii="Arial" w:eastAsia="EB Garamond" w:hAnsi="Arial" w:cs="Arial"/>
          <w:b/>
          <w:color w:val="000000" w:themeColor="text1"/>
          <w:lang w:val="en"/>
        </w:rPr>
        <w:sectPr w:rsidR="00033BE9" w:rsidSect="00033BE9">
          <w:type w:val="continuous"/>
          <w:pgSz w:w="11906" w:h="16838"/>
          <w:pgMar w:top="1440" w:right="1440" w:bottom="1440" w:left="1440" w:header="397" w:footer="708" w:gutter="0"/>
          <w:cols w:num="2" w:space="720"/>
        </w:sectPr>
      </w:pPr>
    </w:p>
    <w:tbl>
      <w:tblPr>
        <w:tblStyle w:val="TableGrid"/>
        <w:tblW w:w="4908" w:type="pct"/>
        <w:tblInd w:w="108" w:type="dxa"/>
        <w:tblBorders>
          <w:top w:val="none" w:sz="0" w:space="0" w:color="auto"/>
          <w:left w:val="none" w:sz="0" w:space="0" w:color="auto"/>
          <w:bottom w:val="none" w:sz="0" w:space="0" w:color="auto"/>
          <w:right w:val="none" w:sz="0" w:space="0" w:color="auto"/>
          <w:insideH w:val="single" w:sz="8" w:space="0" w:color="auto"/>
          <w:insideV w:val="none" w:sz="0" w:space="0" w:color="auto"/>
        </w:tblBorders>
        <w:tblLook w:val="04A0" w:firstRow="1" w:lastRow="0" w:firstColumn="1" w:lastColumn="0" w:noHBand="0" w:noVBand="1"/>
      </w:tblPr>
      <w:tblGrid>
        <w:gridCol w:w="2977"/>
        <w:gridCol w:w="2834"/>
        <w:gridCol w:w="1702"/>
        <w:gridCol w:w="1559"/>
      </w:tblGrid>
      <w:tr w:rsidR="00BD5CB3" w:rsidRPr="0047203B" w14:paraId="4ACAD9C1" w14:textId="77777777" w:rsidTr="00033BE9">
        <w:tc>
          <w:tcPr>
            <w:tcW w:w="5000" w:type="pct"/>
            <w:gridSpan w:val="4"/>
            <w:shd w:val="clear" w:color="auto" w:fill="auto"/>
            <w:vAlign w:val="center"/>
          </w:tcPr>
          <w:p w14:paraId="6A095AA1" w14:textId="17E49EBE" w:rsidR="00033BE9" w:rsidRDefault="00E26C41" w:rsidP="00033BE9">
            <w:pPr>
              <w:spacing w:line="259" w:lineRule="auto"/>
              <w:jc w:val="center"/>
              <w:rPr>
                <w:rFonts w:ascii="Arial" w:eastAsia="EB Garamond" w:hAnsi="Arial" w:cs="Arial"/>
                <w:b/>
                <w:color w:val="000000" w:themeColor="text1"/>
                <w:lang w:val="en"/>
              </w:rPr>
            </w:pPr>
            <w:r>
              <w:rPr>
                <w:rFonts w:ascii="Arial" w:eastAsia="EB Garamond" w:hAnsi="Arial" w:cs="Arial"/>
                <w:b/>
                <w:color w:val="000000" w:themeColor="text1"/>
                <w:lang w:val="en"/>
              </w:rPr>
              <w:lastRenderedPageBreak/>
              <w:t>Table 6</w:t>
            </w:r>
            <w:r w:rsidR="000B303C" w:rsidRPr="0047203B">
              <w:rPr>
                <w:rFonts w:ascii="Arial" w:eastAsia="EB Garamond" w:hAnsi="Arial" w:cs="Arial"/>
                <w:b/>
                <w:color w:val="000000" w:themeColor="text1"/>
                <w:lang w:val="en"/>
              </w:rPr>
              <w:t>.</w:t>
            </w:r>
          </w:p>
          <w:p w14:paraId="02DF479C" w14:textId="03E6D4CB" w:rsidR="00901C62" w:rsidRPr="0047203B" w:rsidRDefault="00C02E41" w:rsidP="00033BE9">
            <w:pPr>
              <w:spacing w:line="259" w:lineRule="auto"/>
              <w:jc w:val="center"/>
              <w:rPr>
                <w:rFonts w:ascii="Arial" w:eastAsia="EB Garamond" w:hAnsi="Arial" w:cs="Arial"/>
                <w:b/>
                <w:color w:val="000000" w:themeColor="text1"/>
              </w:rPr>
            </w:pPr>
            <w:r w:rsidRPr="0047203B">
              <w:rPr>
                <w:rFonts w:ascii="Arial" w:eastAsia="EB Garamond" w:hAnsi="Arial" w:cs="Arial"/>
                <w:b/>
                <w:color w:val="000000" w:themeColor="text1"/>
                <w:lang w:val="en"/>
              </w:rPr>
              <w:t>Reliability Test Results</w:t>
            </w:r>
          </w:p>
        </w:tc>
      </w:tr>
      <w:tr w:rsidR="00033BE9" w:rsidRPr="0047203B" w14:paraId="00A1D02D" w14:textId="77777777" w:rsidTr="00744D05">
        <w:tc>
          <w:tcPr>
            <w:tcW w:w="1641" w:type="pct"/>
            <w:tcBorders>
              <w:top w:val="single" w:sz="8" w:space="0" w:color="auto"/>
              <w:bottom w:val="single" w:sz="18" w:space="0" w:color="auto"/>
            </w:tcBorders>
            <w:shd w:val="clear" w:color="auto" w:fill="auto"/>
          </w:tcPr>
          <w:p w14:paraId="63108FCA" w14:textId="18034843" w:rsidR="002953EE" w:rsidRPr="00033BE9" w:rsidRDefault="002953EE" w:rsidP="00033BE9">
            <w:pPr>
              <w:jc w:val="center"/>
              <w:rPr>
                <w:rFonts w:ascii="Arial" w:eastAsia="EB Garamond" w:hAnsi="Arial" w:cs="Arial"/>
                <w:b/>
                <w:bCs/>
                <w:color w:val="000000" w:themeColor="text1"/>
              </w:rPr>
            </w:pPr>
            <w:r w:rsidRPr="00033BE9">
              <w:rPr>
                <w:rStyle w:val="y2iqfc"/>
                <w:rFonts w:ascii="Arial" w:hAnsi="Arial" w:cs="Arial"/>
                <w:b/>
                <w:color w:val="000000" w:themeColor="text1"/>
                <w:lang w:val="en"/>
              </w:rPr>
              <w:t>Variable</w:t>
            </w:r>
          </w:p>
        </w:tc>
        <w:tc>
          <w:tcPr>
            <w:tcW w:w="1562" w:type="pct"/>
            <w:tcBorders>
              <w:top w:val="single" w:sz="8" w:space="0" w:color="auto"/>
            </w:tcBorders>
            <w:shd w:val="clear" w:color="auto" w:fill="auto"/>
            <w:vAlign w:val="center"/>
          </w:tcPr>
          <w:p w14:paraId="0D691E97" w14:textId="1A54B9B2" w:rsidR="002953EE" w:rsidRPr="0047203B" w:rsidRDefault="002953EE"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lang w:val="en"/>
              </w:rPr>
              <w:t>Cronbach's Alpha value</w:t>
            </w:r>
          </w:p>
        </w:tc>
        <w:tc>
          <w:tcPr>
            <w:tcW w:w="938" w:type="pct"/>
            <w:shd w:val="clear" w:color="auto" w:fill="auto"/>
            <w:vAlign w:val="center"/>
          </w:tcPr>
          <w:p w14:paraId="14C7310B" w14:textId="3EBE51C4" w:rsidR="002953EE" w:rsidRPr="0047203B" w:rsidRDefault="002953EE"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lang w:val="en"/>
              </w:rPr>
              <w:t>Critical point</w:t>
            </w:r>
          </w:p>
        </w:tc>
        <w:tc>
          <w:tcPr>
            <w:tcW w:w="859" w:type="pct"/>
            <w:shd w:val="clear" w:color="auto" w:fill="auto"/>
            <w:vAlign w:val="center"/>
          </w:tcPr>
          <w:p w14:paraId="38B13097" w14:textId="69B56C33" w:rsidR="002953EE" w:rsidRPr="0047203B" w:rsidRDefault="002953EE" w:rsidP="00033BE9">
            <w:pPr>
              <w:jc w:val="center"/>
              <w:rPr>
                <w:rFonts w:ascii="Arial" w:eastAsia="EB Garamond" w:hAnsi="Arial" w:cs="Arial"/>
                <w:b/>
                <w:bCs/>
                <w:color w:val="000000" w:themeColor="text1"/>
              </w:rPr>
            </w:pPr>
            <w:r w:rsidRPr="0047203B">
              <w:rPr>
                <w:rFonts w:ascii="Arial" w:eastAsia="EB Garamond" w:hAnsi="Arial" w:cs="Arial"/>
                <w:b/>
                <w:bCs/>
                <w:color w:val="000000" w:themeColor="text1"/>
                <w:lang w:val="en"/>
              </w:rPr>
              <w:t>Description</w:t>
            </w:r>
          </w:p>
        </w:tc>
      </w:tr>
      <w:tr w:rsidR="00033BE9" w:rsidRPr="0047203B" w14:paraId="5D48980E" w14:textId="77777777" w:rsidTr="00033BE9">
        <w:tc>
          <w:tcPr>
            <w:tcW w:w="1641" w:type="pct"/>
            <w:tcBorders>
              <w:top w:val="single" w:sz="18" w:space="0" w:color="auto"/>
            </w:tcBorders>
            <w:shd w:val="clear" w:color="auto" w:fill="auto"/>
          </w:tcPr>
          <w:p w14:paraId="5ABBEE1E" w14:textId="504C9F34" w:rsidR="002953EE" w:rsidRPr="0047203B" w:rsidRDefault="002953EE" w:rsidP="00033BE9">
            <w:pPr>
              <w:rPr>
                <w:rFonts w:ascii="Arial" w:eastAsia="EB Garamond" w:hAnsi="Arial" w:cs="Arial"/>
                <w:color w:val="000000" w:themeColor="text1"/>
              </w:rPr>
            </w:pPr>
            <w:r w:rsidRPr="0047203B">
              <w:rPr>
                <w:rStyle w:val="y2iqfc"/>
                <w:rFonts w:ascii="Arial" w:hAnsi="Arial" w:cs="Arial"/>
                <w:color w:val="000000" w:themeColor="text1"/>
                <w:lang w:val="en"/>
              </w:rPr>
              <w:t>Financial Literacy</w:t>
            </w:r>
          </w:p>
        </w:tc>
        <w:tc>
          <w:tcPr>
            <w:tcW w:w="1562" w:type="pct"/>
            <w:tcBorders>
              <w:top w:val="single" w:sz="18" w:space="0" w:color="auto"/>
            </w:tcBorders>
            <w:shd w:val="clear" w:color="auto" w:fill="auto"/>
            <w:vAlign w:val="center"/>
          </w:tcPr>
          <w:p w14:paraId="76AACF56"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0.653</w:t>
            </w:r>
          </w:p>
        </w:tc>
        <w:tc>
          <w:tcPr>
            <w:tcW w:w="938" w:type="pct"/>
            <w:vMerge w:val="restart"/>
            <w:tcBorders>
              <w:top w:val="single" w:sz="18" w:space="0" w:color="auto"/>
            </w:tcBorders>
            <w:shd w:val="clear" w:color="auto" w:fill="auto"/>
            <w:vAlign w:val="center"/>
          </w:tcPr>
          <w:p w14:paraId="11E104C4"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&gt;0.60</w:t>
            </w:r>
          </w:p>
        </w:tc>
        <w:tc>
          <w:tcPr>
            <w:tcW w:w="859" w:type="pct"/>
            <w:vMerge w:val="restart"/>
            <w:tcBorders>
              <w:top w:val="single" w:sz="18" w:space="0" w:color="auto"/>
            </w:tcBorders>
            <w:shd w:val="clear" w:color="auto" w:fill="auto"/>
            <w:vAlign w:val="center"/>
          </w:tcPr>
          <w:p w14:paraId="008083B0"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Reliabel</w:t>
            </w:r>
          </w:p>
        </w:tc>
      </w:tr>
      <w:tr w:rsidR="00033BE9" w:rsidRPr="0047203B" w14:paraId="03917816" w14:textId="77777777" w:rsidTr="00033BE9">
        <w:tc>
          <w:tcPr>
            <w:tcW w:w="1641" w:type="pct"/>
            <w:shd w:val="clear" w:color="auto" w:fill="auto"/>
          </w:tcPr>
          <w:p w14:paraId="44FE35DE" w14:textId="3F61500E" w:rsidR="002953EE" w:rsidRPr="0047203B" w:rsidRDefault="002953EE" w:rsidP="00033BE9">
            <w:pPr>
              <w:rPr>
                <w:rFonts w:ascii="Arial" w:eastAsia="EB Garamond" w:hAnsi="Arial" w:cs="Arial"/>
                <w:color w:val="000000" w:themeColor="text1"/>
              </w:rPr>
            </w:pPr>
            <w:r w:rsidRPr="0047203B">
              <w:rPr>
                <w:rStyle w:val="y2iqfc"/>
                <w:rFonts w:ascii="Arial" w:hAnsi="Arial" w:cs="Arial"/>
                <w:color w:val="000000" w:themeColor="text1"/>
                <w:lang w:val="en"/>
              </w:rPr>
              <w:t>Infrastructure</w:t>
            </w:r>
          </w:p>
        </w:tc>
        <w:tc>
          <w:tcPr>
            <w:tcW w:w="1562" w:type="pct"/>
            <w:shd w:val="clear" w:color="auto" w:fill="auto"/>
            <w:vAlign w:val="center"/>
          </w:tcPr>
          <w:p w14:paraId="6765505A"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0.736</w:t>
            </w:r>
          </w:p>
        </w:tc>
        <w:tc>
          <w:tcPr>
            <w:tcW w:w="938" w:type="pct"/>
            <w:vMerge/>
            <w:shd w:val="clear" w:color="auto" w:fill="auto"/>
            <w:vAlign w:val="center"/>
          </w:tcPr>
          <w:p w14:paraId="34C86A35" w14:textId="77777777" w:rsidR="002953EE" w:rsidRPr="0047203B" w:rsidRDefault="002953EE" w:rsidP="00033BE9">
            <w:pPr>
              <w:jc w:val="center"/>
              <w:rPr>
                <w:rFonts w:ascii="Arial" w:eastAsia="EB Garamond" w:hAnsi="Arial" w:cs="Arial"/>
                <w:color w:val="000000" w:themeColor="text1"/>
              </w:rPr>
            </w:pPr>
          </w:p>
        </w:tc>
        <w:tc>
          <w:tcPr>
            <w:tcW w:w="859" w:type="pct"/>
            <w:vMerge/>
            <w:shd w:val="clear" w:color="auto" w:fill="auto"/>
            <w:vAlign w:val="center"/>
          </w:tcPr>
          <w:p w14:paraId="079F411C" w14:textId="77777777" w:rsidR="002953EE" w:rsidRPr="0047203B" w:rsidRDefault="002953EE" w:rsidP="00033BE9">
            <w:pPr>
              <w:jc w:val="center"/>
              <w:rPr>
                <w:rFonts w:ascii="Arial" w:eastAsia="EB Garamond" w:hAnsi="Arial" w:cs="Arial"/>
                <w:color w:val="000000" w:themeColor="text1"/>
              </w:rPr>
            </w:pPr>
          </w:p>
        </w:tc>
      </w:tr>
      <w:tr w:rsidR="00033BE9" w:rsidRPr="0047203B" w14:paraId="1984F6E1" w14:textId="77777777" w:rsidTr="00033BE9">
        <w:tc>
          <w:tcPr>
            <w:tcW w:w="1641" w:type="pct"/>
            <w:shd w:val="clear" w:color="auto" w:fill="auto"/>
          </w:tcPr>
          <w:p w14:paraId="7EB89E35" w14:textId="73EDC529" w:rsidR="002953EE" w:rsidRPr="0047203B" w:rsidRDefault="002953EE" w:rsidP="00033BE9">
            <w:pPr>
              <w:rPr>
                <w:rFonts w:ascii="Arial" w:eastAsia="EB Garamond" w:hAnsi="Arial" w:cs="Arial"/>
                <w:color w:val="000000" w:themeColor="text1"/>
              </w:rPr>
            </w:pPr>
            <w:r w:rsidRPr="0047203B">
              <w:rPr>
                <w:rStyle w:val="y2iqfc"/>
                <w:rFonts w:ascii="Arial" w:hAnsi="Arial" w:cs="Arial"/>
                <w:color w:val="000000" w:themeColor="text1"/>
                <w:lang w:val="en"/>
              </w:rPr>
              <w:t>Security</w:t>
            </w:r>
          </w:p>
        </w:tc>
        <w:tc>
          <w:tcPr>
            <w:tcW w:w="1562" w:type="pct"/>
            <w:shd w:val="clear" w:color="auto" w:fill="auto"/>
            <w:vAlign w:val="center"/>
          </w:tcPr>
          <w:p w14:paraId="0B9A5CA1"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0.857</w:t>
            </w:r>
          </w:p>
        </w:tc>
        <w:tc>
          <w:tcPr>
            <w:tcW w:w="938" w:type="pct"/>
            <w:vMerge/>
            <w:shd w:val="clear" w:color="auto" w:fill="auto"/>
            <w:vAlign w:val="center"/>
          </w:tcPr>
          <w:p w14:paraId="3BE04C41" w14:textId="77777777" w:rsidR="002953EE" w:rsidRPr="0047203B" w:rsidRDefault="002953EE" w:rsidP="00033BE9">
            <w:pPr>
              <w:jc w:val="center"/>
              <w:rPr>
                <w:rFonts w:ascii="Arial" w:eastAsia="EB Garamond" w:hAnsi="Arial" w:cs="Arial"/>
                <w:color w:val="000000" w:themeColor="text1"/>
              </w:rPr>
            </w:pPr>
          </w:p>
        </w:tc>
        <w:tc>
          <w:tcPr>
            <w:tcW w:w="859" w:type="pct"/>
            <w:vMerge/>
            <w:shd w:val="clear" w:color="auto" w:fill="auto"/>
            <w:vAlign w:val="center"/>
          </w:tcPr>
          <w:p w14:paraId="26DA2332" w14:textId="77777777" w:rsidR="002953EE" w:rsidRPr="0047203B" w:rsidRDefault="002953EE" w:rsidP="00033BE9">
            <w:pPr>
              <w:jc w:val="center"/>
              <w:rPr>
                <w:rFonts w:ascii="Arial" w:eastAsia="EB Garamond" w:hAnsi="Arial" w:cs="Arial"/>
                <w:color w:val="000000" w:themeColor="text1"/>
              </w:rPr>
            </w:pPr>
          </w:p>
        </w:tc>
      </w:tr>
      <w:tr w:rsidR="00033BE9" w:rsidRPr="0047203B" w14:paraId="179D6D0F" w14:textId="77777777" w:rsidTr="00033BE9">
        <w:tc>
          <w:tcPr>
            <w:tcW w:w="1641" w:type="pct"/>
            <w:shd w:val="clear" w:color="auto" w:fill="auto"/>
          </w:tcPr>
          <w:p w14:paraId="1CFFD4AE" w14:textId="54AC22EE" w:rsidR="002953EE" w:rsidRPr="0047203B" w:rsidRDefault="002953EE" w:rsidP="00033BE9">
            <w:pPr>
              <w:rPr>
                <w:rFonts w:ascii="Arial" w:eastAsia="EB Garamond" w:hAnsi="Arial" w:cs="Arial"/>
                <w:color w:val="000000" w:themeColor="text1"/>
              </w:rPr>
            </w:pPr>
            <w:r w:rsidRPr="0047203B">
              <w:rPr>
                <w:rStyle w:val="y2iqfc"/>
                <w:rFonts w:ascii="Arial" w:hAnsi="Arial" w:cs="Arial"/>
                <w:color w:val="000000" w:themeColor="text1"/>
                <w:lang w:val="en"/>
              </w:rPr>
              <w:t>User Experience</w:t>
            </w:r>
          </w:p>
        </w:tc>
        <w:tc>
          <w:tcPr>
            <w:tcW w:w="1562" w:type="pct"/>
            <w:shd w:val="clear" w:color="auto" w:fill="auto"/>
            <w:vAlign w:val="center"/>
          </w:tcPr>
          <w:p w14:paraId="1D8EE0DE"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0.824</w:t>
            </w:r>
          </w:p>
        </w:tc>
        <w:tc>
          <w:tcPr>
            <w:tcW w:w="938" w:type="pct"/>
            <w:vMerge/>
            <w:shd w:val="clear" w:color="auto" w:fill="auto"/>
            <w:vAlign w:val="center"/>
          </w:tcPr>
          <w:p w14:paraId="0D556D55" w14:textId="77777777" w:rsidR="002953EE" w:rsidRPr="0047203B" w:rsidRDefault="002953EE" w:rsidP="00033BE9">
            <w:pPr>
              <w:jc w:val="center"/>
              <w:rPr>
                <w:rFonts w:ascii="Arial" w:eastAsia="EB Garamond" w:hAnsi="Arial" w:cs="Arial"/>
                <w:color w:val="000000" w:themeColor="text1"/>
              </w:rPr>
            </w:pPr>
          </w:p>
        </w:tc>
        <w:tc>
          <w:tcPr>
            <w:tcW w:w="859" w:type="pct"/>
            <w:vMerge/>
            <w:shd w:val="clear" w:color="auto" w:fill="auto"/>
            <w:vAlign w:val="center"/>
          </w:tcPr>
          <w:p w14:paraId="215010B3" w14:textId="77777777" w:rsidR="002953EE" w:rsidRPr="0047203B" w:rsidRDefault="002953EE" w:rsidP="00033BE9">
            <w:pPr>
              <w:jc w:val="center"/>
              <w:rPr>
                <w:rFonts w:ascii="Arial" w:eastAsia="EB Garamond" w:hAnsi="Arial" w:cs="Arial"/>
                <w:color w:val="000000" w:themeColor="text1"/>
              </w:rPr>
            </w:pPr>
          </w:p>
        </w:tc>
      </w:tr>
      <w:tr w:rsidR="00033BE9" w:rsidRPr="0047203B" w14:paraId="72767144" w14:textId="77777777" w:rsidTr="00033BE9">
        <w:tc>
          <w:tcPr>
            <w:tcW w:w="1641" w:type="pct"/>
            <w:shd w:val="clear" w:color="auto" w:fill="auto"/>
          </w:tcPr>
          <w:p w14:paraId="0D6D9D9D" w14:textId="1F378EA3" w:rsidR="002953EE" w:rsidRPr="0047203B" w:rsidRDefault="002953EE" w:rsidP="00033BE9">
            <w:pPr>
              <w:rPr>
                <w:rFonts w:ascii="Arial" w:eastAsia="EB Garamond" w:hAnsi="Arial" w:cs="Arial"/>
                <w:color w:val="000000" w:themeColor="text1"/>
              </w:rPr>
            </w:pPr>
            <w:r w:rsidRPr="0047203B">
              <w:rPr>
                <w:rStyle w:val="y2iqfc"/>
                <w:rFonts w:ascii="Arial" w:hAnsi="Arial" w:cs="Arial"/>
                <w:color w:val="000000" w:themeColor="text1"/>
                <w:lang w:val="en"/>
              </w:rPr>
              <w:t>Advantages and Benefits</w:t>
            </w:r>
          </w:p>
        </w:tc>
        <w:tc>
          <w:tcPr>
            <w:tcW w:w="1562" w:type="pct"/>
            <w:shd w:val="clear" w:color="auto" w:fill="auto"/>
            <w:vAlign w:val="center"/>
          </w:tcPr>
          <w:p w14:paraId="41443640"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0.763</w:t>
            </w:r>
          </w:p>
        </w:tc>
        <w:tc>
          <w:tcPr>
            <w:tcW w:w="938" w:type="pct"/>
            <w:vMerge/>
            <w:shd w:val="clear" w:color="auto" w:fill="auto"/>
            <w:vAlign w:val="center"/>
          </w:tcPr>
          <w:p w14:paraId="70E20126" w14:textId="77777777" w:rsidR="002953EE" w:rsidRPr="0047203B" w:rsidRDefault="002953EE" w:rsidP="00033BE9">
            <w:pPr>
              <w:jc w:val="center"/>
              <w:rPr>
                <w:rFonts w:ascii="Arial" w:eastAsia="EB Garamond" w:hAnsi="Arial" w:cs="Arial"/>
                <w:color w:val="000000" w:themeColor="text1"/>
              </w:rPr>
            </w:pPr>
          </w:p>
        </w:tc>
        <w:tc>
          <w:tcPr>
            <w:tcW w:w="859" w:type="pct"/>
            <w:vMerge/>
            <w:shd w:val="clear" w:color="auto" w:fill="auto"/>
            <w:vAlign w:val="center"/>
          </w:tcPr>
          <w:p w14:paraId="29530F15" w14:textId="77777777" w:rsidR="002953EE" w:rsidRPr="0047203B" w:rsidRDefault="002953EE" w:rsidP="00033BE9">
            <w:pPr>
              <w:jc w:val="center"/>
              <w:rPr>
                <w:rFonts w:ascii="Arial" w:eastAsia="EB Garamond" w:hAnsi="Arial" w:cs="Arial"/>
                <w:color w:val="000000" w:themeColor="text1"/>
              </w:rPr>
            </w:pPr>
          </w:p>
        </w:tc>
      </w:tr>
      <w:tr w:rsidR="00033BE9" w:rsidRPr="0047203B" w14:paraId="103FF69A" w14:textId="77777777" w:rsidTr="00033BE9">
        <w:tc>
          <w:tcPr>
            <w:tcW w:w="1641" w:type="pct"/>
            <w:shd w:val="clear" w:color="auto" w:fill="auto"/>
          </w:tcPr>
          <w:p w14:paraId="44E43956" w14:textId="73FDA8C7" w:rsidR="002953EE" w:rsidRPr="0047203B" w:rsidRDefault="002953EE" w:rsidP="00033BE9">
            <w:pPr>
              <w:rPr>
                <w:rFonts w:ascii="Arial" w:eastAsia="EB Garamond" w:hAnsi="Arial" w:cs="Arial"/>
                <w:color w:val="000000" w:themeColor="text1"/>
              </w:rPr>
            </w:pPr>
            <w:r w:rsidRPr="0047203B">
              <w:rPr>
                <w:rStyle w:val="y2iqfc"/>
                <w:rFonts w:ascii="Arial" w:hAnsi="Arial" w:cs="Arial"/>
                <w:color w:val="000000" w:themeColor="text1"/>
                <w:lang w:val="en"/>
              </w:rPr>
              <w:t>Interest in Using E-Banking</w:t>
            </w:r>
          </w:p>
        </w:tc>
        <w:tc>
          <w:tcPr>
            <w:tcW w:w="1562" w:type="pct"/>
            <w:shd w:val="clear" w:color="auto" w:fill="auto"/>
            <w:vAlign w:val="center"/>
          </w:tcPr>
          <w:p w14:paraId="027866D9" w14:textId="77777777" w:rsidR="002953EE" w:rsidRPr="0047203B" w:rsidRDefault="002953EE" w:rsidP="00033BE9">
            <w:pPr>
              <w:jc w:val="center"/>
              <w:rPr>
                <w:rFonts w:ascii="Arial" w:eastAsia="EB Garamond" w:hAnsi="Arial" w:cs="Arial"/>
                <w:color w:val="000000" w:themeColor="text1"/>
              </w:rPr>
            </w:pPr>
            <w:r w:rsidRPr="0047203B">
              <w:rPr>
                <w:rFonts w:ascii="Arial" w:eastAsia="EB Garamond" w:hAnsi="Arial" w:cs="Arial"/>
                <w:color w:val="000000" w:themeColor="text1"/>
              </w:rPr>
              <w:t>0.836</w:t>
            </w:r>
          </w:p>
        </w:tc>
        <w:tc>
          <w:tcPr>
            <w:tcW w:w="938" w:type="pct"/>
            <w:vMerge/>
            <w:shd w:val="clear" w:color="auto" w:fill="auto"/>
            <w:vAlign w:val="center"/>
          </w:tcPr>
          <w:p w14:paraId="600E34B3" w14:textId="77777777" w:rsidR="002953EE" w:rsidRPr="0047203B" w:rsidRDefault="002953EE" w:rsidP="00033BE9">
            <w:pPr>
              <w:jc w:val="center"/>
              <w:rPr>
                <w:rFonts w:ascii="Arial" w:eastAsia="EB Garamond" w:hAnsi="Arial" w:cs="Arial"/>
                <w:color w:val="000000" w:themeColor="text1"/>
              </w:rPr>
            </w:pPr>
          </w:p>
        </w:tc>
        <w:tc>
          <w:tcPr>
            <w:tcW w:w="859" w:type="pct"/>
            <w:vMerge/>
            <w:shd w:val="clear" w:color="auto" w:fill="auto"/>
            <w:vAlign w:val="center"/>
          </w:tcPr>
          <w:p w14:paraId="1C0894C4" w14:textId="77777777" w:rsidR="002953EE" w:rsidRPr="0047203B" w:rsidRDefault="002953EE" w:rsidP="00033BE9">
            <w:pPr>
              <w:jc w:val="center"/>
              <w:rPr>
                <w:rFonts w:ascii="Arial" w:eastAsia="EB Garamond" w:hAnsi="Arial" w:cs="Arial"/>
                <w:color w:val="000000" w:themeColor="text1"/>
              </w:rPr>
            </w:pPr>
          </w:p>
        </w:tc>
      </w:tr>
      <w:tr w:rsidR="00BD5CB3" w:rsidRPr="0047203B" w14:paraId="4C70C6EA" w14:textId="77777777" w:rsidTr="00033BE9">
        <w:tc>
          <w:tcPr>
            <w:tcW w:w="5000" w:type="pct"/>
            <w:gridSpan w:val="4"/>
            <w:shd w:val="clear" w:color="auto" w:fill="auto"/>
            <w:vAlign w:val="center"/>
          </w:tcPr>
          <w:p w14:paraId="364935D4" w14:textId="77777777" w:rsidR="00440093" w:rsidRDefault="00850067" w:rsidP="00033BE9">
            <w:pPr>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00E42BCB" w14:textId="6229A01F" w:rsidR="00255D8C" w:rsidRPr="0047203B" w:rsidRDefault="00255D8C" w:rsidP="00033BE9">
            <w:pPr>
              <w:rPr>
                <w:rFonts w:ascii="Arial" w:eastAsia="EB Garamond" w:hAnsi="Arial" w:cs="Arial"/>
                <w:color w:val="000000" w:themeColor="text1"/>
              </w:rPr>
            </w:pPr>
          </w:p>
        </w:tc>
      </w:tr>
    </w:tbl>
    <w:p w14:paraId="3852D608" w14:textId="77777777" w:rsidR="00F829CF" w:rsidRDefault="00F829CF"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F829CF">
          <w:type w:val="continuous"/>
          <w:pgSz w:w="11906" w:h="16838"/>
          <w:pgMar w:top="1440" w:right="1440" w:bottom="1440" w:left="1440" w:header="397" w:footer="708" w:gutter="0"/>
          <w:cols w:space="720"/>
        </w:sectPr>
      </w:pPr>
    </w:p>
    <w:p w14:paraId="662D9250" w14:textId="55AAD094" w:rsidR="00E2025F" w:rsidRPr="0047203B" w:rsidRDefault="00E2025F"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lastRenderedPageBreak/>
        <w:t>The results of the reliability test show that all research variables have very good Cronbach's Alpha values, which are more than 0.60. The Cronbach's Alpha value can vary between 0.653 and 0.836. This indicates that the questions in the research tool</w:t>
      </w:r>
      <w:r w:rsidR="00046854">
        <w:rPr>
          <w:rFonts w:ascii="Arial" w:eastAsia="EB Garamond" w:hAnsi="Arial" w:cs="Arial"/>
          <w:color w:val="000000" w:themeColor="text1"/>
        </w:rPr>
        <w:t xml:space="preserve"> can</w:t>
      </w:r>
      <w:r w:rsidRPr="0047203B">
        <w:rPr>
          <w:rFonts w:ascii="Arial" w:eastAsia="EB Garamond" w:hAnsi="Arial" w:cs="Arial"/>
          <w:color w:val="000000" w:themeColor="text1"/>
        </w:rPr>
        <w:t xml:space="preserve"> measure the desired constructs with consistency. Therefore, the information obtained from this study can be considered reliable and can be used for further analysis with a high degree of confidence.</w:t>
      </w:r>
    </w:p>
    <w:p w14:paraId="71A73746" w14:textId="77777777" w:rsidR="00E2025F" w:rsidRPr="0047203B" w:rsidRDefault="00E2025F" w:rsidP="005C23AF">
      <w:pPr>
        <w:pStyle w:val="ListParagraph"/>
        <w:pBdr>
          <w:top w:val="nil"/>
          <w:left w:val="nil"/>
          <w:bottom w:val="nil"/>
          <w:right w:val="nil"/>
          <w:between w:val="nil"/>
        </w:pBdr>
        <w:spacing w:after="0" w:line="240" w:lineRule="auto"/>
        <w:ind w:left="0" w:firstLine="567"/>
        <w:jc w:val="both"/>
        <w:rPr>
          <w:rFonts w:ascii="Arial" w:eastAsia="EB Garamond" w:hAnsi="Arial" w:cs="Arial"/>
          <w:color w:val="000000" w:themeColor="text1"/>
        </w:rPr>
      </w:pPr>
    </w:p>
    <w:p w14:paraId="16EA5F97" w14:textId="73A21373" w:rsidR="00872FA5" w:rsidRPr="0054195E" w:rsidRDefault="00621E1A" w:rsidP="00033BE9">
      <w:pPr>
        <w:pBdr>
          <w:top w:val="nil"/>
          <w:left w:val="nil"/>
          <w:bottom w:val="nil"/>
          <w:right w:val="nil"/>
          <w:between w:val="nil"/>
        </w:pBdr>
        <w:spacing w:after="0" w:line="240" w:lineRule="auto"/>
        <w:jc w:val="both"/>
        <w:rPr>
          <w:rFonts w:ascii="Arial" w:hAnsi="Arial" w:cs="Arial"/>
          <w:b/>
          <w:i/>
          <w:color w:val="000000" w:themeColor="text1"/>
        </w:rPr>
      </w:pPr>
      <w:r w:rsidRPr="0054195E">
        <w:rPr>
          <w:rFonts w:ascii="Arial" w:hAnsi="Arial" w:cs="Arial"/>
          <w:b/>
          <w:i/>
          <w:color w:val="000000" w:themeColor="text1"/>
        </w:rPr>
        <w:lastRenderedPageBreak/>
        <w:t>Classic Assumption Test</w:t>
      </w:r>
    </w:p>
    <w:p w14:paraId="7E9EC0CA" w14:textId="1111B7A0" w:rsidR="00CB0B31" w:rsidRPr="00033BE9" w:rsidRDefault="00C61BDE" w:rsidP="00033BE9">
      <w:pPr>
        <w:pStyle w:val="ListParagraph"/>
        <w:numPr>
          <w:ilvl w:val="0"/>
          <w:numId w:val="32"/>
        </w:numPr>
        <w:pBdr>
          <w:top w:val="nil"/>
          <w:left w:val="nil"/>
          <w:bottom w:val="nil"/>
          <w:right w:val="nil"/>
          <w:between w:val="nil"/>
        </w:pBdr>
        <w:spacing w:after="0" w:line="240" w:lineRule="auto"/>
        <w:jc w:val="both"/>
        <w:rPr>
          <w:rFonts w:ascii="Arial" w:eastAsia="EB Garamond" w:hAnsi="Arial" w:cs="Arial"/>
          <w:color w:val="000000" w:themeColor="text1"/>
        </w:rPr>
      </w:pPr>
      <w:r w:rsidRPr="00033BE9">
        <w:rPr>
          <w:rFonts w:ascii="Arial" w:eastAsia="EB Garamond" w:hAnsi="Arial" w:cs="Arial"/>
          <w:color w:val="000000" w:themeColor="text1"/>
        </w:rPr>
        <w:t>Normality Test Results</w:t>
      </w:r>
    </w:p>
    <w:p w14:paraId="1B09E6EC" w14:textId="7780880A" w:rsidR="002301E5" w:rsidRPr="0047203B" w:rsidRDefault="00DD6A03"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Pr>
          <w:rFonts w:ascii="Arial" w:eastAsia="EB Garamond" w:hAnsi="Arial" w:cs="Arial"/>
          <w:color w:val="000000" w:themeColor="text1"/>
        </w:rPr>
        <w:t>T</w:t>
      </w:r>
      <w:r w:rsidR="00EC15AC" w:rsidRPr="0047203B">
        <w:rPr>
          <w:rFonts w:ascii="Arial" w:eastAsia="EB Garamond" w:hAnsi="Arial" w:cs="Arial"/>
          <w:color w:val="000000" w:themeColor="text1"/>
        </w:rPr>
        <w:t>o ensure that the assumption of normality is met in data analysis, normality testing is carried out. The methods used include visualization of data distribution through scatterplots and one-sample Kolmogorov-Smirnov statistical tests. Visual analysis helps in identifying general data distribution patterns, while the Kolmogorov-Smirnov test provides more formal results regarding the suitability of the data to a normal distribution.</w:t>
      </w:r>
    </w:p>
    <w:p w14:paraId="0E05CABB" w14:textId="77777777" w:rsidR="00F829CF" w:rsidRDefault="00F829CF" w:rsidP="00B43DDD">
      <w:pPr>
        <w:pBdr>
          <w:top w:val="nil"/>
          <w:left w:val="nil"/>
          <w:bottom w:val="nil"/>
          <w:right w:val="nil"/>
          <w:between w:val="nil"/>
        </w:pBdr>
        <w:spacing w:after="0" w:line="240" w:lineRule="auto"/>
        <w:jc w:val="both"/>
        <w:rPr>
          <w:rFonts w:ascii="Arial" w:eastAsia="EB Garamond" w:hAnsi="Arial" w:cs="Arial"/>
          <w:color w:val="000000" w:themeColor="text1"/>
        </w:rPr>
        <w:sectPr w:rsidR="00F829CF" w:rsidSect="00F829CF">
          <w:type w:val="continuous"/>
          <w:pgSz w:w="11906" w:h="16838"/>
          <w:pgMar w:top="1440" w:right="1440" w:bottom="1440" w:left="1440" w:header="397" w:footer="708" w:gutter="0"/>
          <w:cols w:num="2" w:space="720"/>
        </w:sectPr>
      </w:pPr>
    </w:p>
    <w:p w14:paraId="3888B530" w14:textId="77777777" w:rsidR="00901C62" w:rsidRPr="0047203B" w:rsidRDefault="00901C62" w:rsidP="00024F08">
      <w:pPr>
        <w:spacing w:after="0" w:line="240" w:lineRule="auto"/>
        <w:jc w:val="center"/>
        <w:rPr>
          <w:rFonts w:ascii="Arial" w:eastAsia="Times New Roman" w:hAnsi="Arial" w:cs="Arial"/>
          <w:color w:val="000000" w:themeColor="text1"/>
        </w:rPr>
      </w:pPr>
      <w:r w:rsidRPr="0047203B">
        <w:rPr>
          <w:rFonts w:ascii="Arial" w:hAnsi="Arial" w:cs="Arial"/>
          <w:noProof/>
          <w:color w:val="000000" w:themeColor="text1"/>
          <w:lang w:eastAsia="en-US"/>
        </w:rPr>
        <w:lastRenderedPageBreak/>
        <w:drawing>
          <wp:inline distT="0" distB="0" distL="0" distR="0" wp14:anchorId="16470EE5" wp14:editId="7F998008">
            <wp:extent cx="4691270" cy="222314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1270" cy="2223145"/>
                    </a:xfrm>
                    <a:prstGeom prst="rect">
                      <a:avLst/>
                    </a:prstGeom>
                    <a:noFill/>
                    <a:ln>
                      <a:noFill/>
                    </a:ln>
                  </pic:spPr>
                </pic:pic>
              </a:graphicData>
            </a:graphic>
          </wp:inline>
        </w:drawing>
      </w:r>
    </w:p>
    <w:p w14:paraId="35476DA1" w14:textId="795767A4" w:rsidR="00F829CF" w:rsidRDefault="00E26C41" w:rsidP="00024F08">
      <w:pPr>
        <w:spacing w:after="0"/>
        <w:jc w:val="center"/>
        <w:rPr>
          <w:rFonts w:ascii="Arial" w:eastAsia="EB Garamond" w:hAnsi="Arial" w:cs="Arial"/>
          <w:b/>
          <w:color w:val="000000" w:themeColor="text1"/>
        </w:rPr>
      </w:pPr>
      <w:r>
        <w:rPr>
          <w:rFonts w:ascii="Arial" w:eastAsia="EB Garamond" w:hAnsi="Arial" w:cs="Arial"/>
          <w:b/>
          <w:color w:val="000000" w:themeColor="text1"/>
        </w:rPr>
        <w:t>Figure</w:t>
      </w:r>
      <w:r w:rsidR="002953EE" w:rsidRPr="0047203B">
        <w:rPr>
          <w:rFonts w:ascii="Arial" w:eastAsia="EB Garamond" w:hAnsi="Arial" w:cs="Arial"/>
          <w:b/>
          <w:color w:val="000000" w:themeColor="text1"/>
        </w:rPr>
        <w:t xml:space="preserve"> 2</w:t>
      </w:r>
      <w:r w:rsidR="00F829CF">
        <w:rPr>
          <w:rFonts w:ascii="Arial" w:eastAsia="EB Garamond" w:hAnsi="Arial" w:cs="Arial"/>
          <w:b/>
          <w:color w:val="000000" w:themeColor="text1"/>
        </w:rPr>
        <w:t>.</w:t>
      </w:r>
    </w:p>
    <w:p w14:paraId="56EDB142" w14:textId="35232712" w:rsidR="00E26C41" w:rsidRDefault="00E26C41" w:rsidP="00E26C41">
      <w:pPr>
        <w:spacing w:after="0"/>
        <w:jc w:val="center"/>
        <w:rPr>
          <w:rFonts w:ascii="Arial" w:eastAsia="EB Garamond" w:hAnsi="Arial" w:cs="Arial"/>
          <w:b/>
          <w:bCs/>
          <w:color w:val="000000" w:themeColor="text1"/>
        </w:rPr>
      </w:pPr>
      <w:r w:rsidRPr="00E26C41">
        <w:rPr>
          <w:rFonts w:ascii="Arial" w:eastAsia="EB Garamond" w:hAnsi="Arial" w:cs="Arial"/>
          <w:b/>
          <w:bCs/>
          <w:color w:val="000000" w:themeColor="text1"/>
        </w:rPr>
        <w:t>Scatterplot Normality Test</w:t>
      </w:r>
    </w:p>
    <w:p w14:paraId="68B10494" w14:textId="77B613A7" w:rsidR="00850067" w:rsidRPr="0047203B" w:rsidRDefault="00850067" w:rsidP="00E26C4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74FF0EC8" w14:textId="77777777" w:rsidR="00F829CF" w:rsidRDefault="00F829CF"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F829CF">
          <w:type w:val="continuous"/>
          <w:pgSz w:w="11906" w:h="16838"/>
          <w:pgMar w:top="1440" w:right="1440" w:bottom="1440" w:left="1440" w:header="397" w:footer="708" w:gutter="0"/>
          <w:cols w:space="720"/>
        </w:sectPr>
      </w:pPr>
    </w:p>
    <w:p w14:paraId="74773395" w14:textId="05EB6BC3" w:rsidR="00F829CF" w:rsidRDefault="00D47C91"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F829CF" w:rsidSect="00F829CF">
          <w:type w:val="continuous"/>
          <w:pgSz w:w="11906" w:h="16838"/>
          <w:pgMar w:top="1440" w:right="1440" w:bottom="1440" w:left="1440" w:header="397" w:footer="708" w:gutter="0"/>
          <w:cols w:num="2" w:space="720"/>
        </w:sectPr>
      </w:pPr>
      <w:r w:rsidRPr="0047203B">
        <w:rPr>
          <w:rFonts w:ascii="Arial" w:eastAsia="EB Garamond" w:hAnsi="Arial" w:cs="Arial"/>
          <w:color w:val="000000" w:themeColor="text1"/>
        </w:rPr>
        <w:lastRenderedPageBreak/>
        <w:t xml:space="preserve">Based on the visualization in Figure 2, </w:t>
      </w:r>
      <w:r w:rsidR="001335E5">
        <w:rPr>
          <w:rFonts w:ascii="Arial" w:eastAsia="EB Garamond" w:hAnsi="Arial" w:cs="Arial"/>
          <w:color w:val="000000" w:themeColor="text1"/>
        </w:rPr>
        <w:t>the</w:t>
      </w:r>
      <w:r w:rsidRPr="0047203B">
        <w:rPr>
          <w:rFonts w:ascii="Arial" w:eastAsia="EB Garamond" w:hAnsi="Arial" w:cs="Arial"/>
          <w:color w:val="000000" w:themeColor="text1"/>
        </w:rPr>
        <w:t xml:space="preserve"> plot shows a data distribution pattern that tends to be linear. This indicates the possibility of a linear relationship between the independent and </w:t>
      </w:r>
      <w:r w:rsidRPr="0047203B">
        <w:rPr>
          <w:rFonts w:ascii="Arial" w:eastAsia="EB Garamond" w:hAnsi="Arial" w:cs="Arial"/>
          <w:color w:val="000000" w:themeColor="text1"/>
        </w:rPr>
        <w:lastRenderedPageBreak/>
        <w:t>dependent variables. In addition, the relatively even data distribution pattern along the regression line supports the assumption that both variables are normally distributed</w:t>
      </w:r>
    </w:p>
    <w:tbl>
      <w:tblPr>
        <w:tblpPr w:leftFromText="180" w:rightFromText="180" w:vertAnchor="text" w:horzAnchor="margin" w:tblpY="35"/>
        <w:tblW w:w="494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084"/>
        <w:gridCol w:w="2454"/>
        <w:gridCol w:w="3392"/>
      </w:tblGrid>
      <w:tr w:rsidR="00F829CF" w:rsidRPr="0047203B" w14:paraId="66C84327" w14:textId="77777777" w:rsidTr="00722F4A">
        <w:trPr>
          <w:cantSplit/>
          <w:trHeight w:val="248"/>
        </w:trPr>
        <w:tc>
          <w:tcPr>
            <w:tcW w:w="5000" w:type="pct"/>
            <w:gridSpan w:val="3"/>
            <w:tcBorders>
              <w:top w:val="nil"/>
              <w:left w:val="nil"/>
              <w:bottom w:val="single" w:sz="8" w:space="0" w:color="AEAEAE"/>
              <w:right w:val="nil"/>
            </w:tcBorders>
            <w:shd w:val="clear" w:color="auto" w:fill="auto"/>
          </w:tcPr>
          <w:p w14:paraId="735A5841" w14:textId="69555473" w:rsidR="00F829CF" w:rsidRDefault="00E26C41" w:rsidP="00F829CF">
            <w:pPr>
              <w:spacing w:after="0"/>
              <w:jc w:val="center"/>
              <w:rPr>
                <w:rFonts w:ascii="Arial" w:eastAsia="EB Garamond" w:hAnsi="Arial" w:cs="Arial"/>
                <w:b/>
                <w:color w:val="000000" w:themeColor="text1"/>
                <w:lang w:val="en"/>
              </w:rPr>
            </w:pPr>
            <w:r>
              <w:rPr>
                <w:rFonts w:ascii="Arial" w:eastAsia="EB Garamond" w:hAnsi="Arial" w:cs="Arial"/>
                <w:b/>
                <w:color w:val="000000" w:themeColor="text1"/>
                <w:lang w:val="en"/>
              </w:rPr>
              <w:t>Table 7</w:t>
            </w:r>
            <w:r w:rsidR="00F829CF" w:rsidRPr="0047203B">
              <w:rPr>
                <w:rFonts w:ascii="Arial" w:eastAsia="EB Garamond" w:hAnsi="Arial" w:cs="Arial"/>
                <w:b/>
                <w:color w:val="000000" w:themeColor="text1"/>
                <w:lang w:val="en"/>
              </w:rPr>
              <w:t>.</w:t>
            </w:r>
          </w:p>
          <w:p w14:paraId="62515F77" w14:textId="6BF8B91C" w:rsidR="00F829CF" w:rsidRPr="0047203B" w:rsidRDefault="00F829CF" w:rsidP="00F829CF">
            <w:pPr>
              <w:spacing w:after="0"/>
              <w:jc w:val="center"/>
              <w:rPr>
                <w:rFonts w:ascii="Arial" w:eastAsia="EB Garamond" w:hAnsi="Arial" w:cs="Arial"/>
                <w:b/>
                <w:color w:val="000000" w:themeColor="text1"/>
              </w:rPr>
            </w:pPr>
            <w:r w:rsidRPr="0047203B">
              <w:rPr>
                <w:rFonts w:ascii="Arial" w:eastAsia="EB Garamond" w:hAnsi="Arial" w:cs="Arial"/>
                <w:b/>
                <w:color w:val="000000" w:themeColor="text1"/>
                <w:lang w:val="en"/>
              </w:rPr>
              <w:t>Kolmogorov-Smirnov Test Results</w:t>
            </w:r>
          </w:p>
        </w:tc>
      </w:tr>
      <w:tr w:rsidR="00F829CF" w:rsidRPr="0047203B" w14:paraId="4C01B42F" w14:textId="77777777" w:rsidTr="00722F4A">
        <w:trPr>
          <w:cantSplit/>
          <w:trHeight w:val="248"/>
        </w:trPr>
        <w:tc>
          <w:tcPr>
            <w:tcW w:w="3100" w:type="pct"/>
            <w:gridSpan w:val="2"/>
            <w:tcBorders>
              <w:top w:val="single" w:sz="18" w:space="0" w:color="auto"/>
              <w:left w:val="nil"/>
              <w:bottom w:val="single" w:sz="8" w:space="0" w:color="AEAEAE"/>
              <w:right w:val="nil"/>
            </w:tcBorders>
            <w:shd w:val="clear" w:color="auto" w:fill="auto"/>
          </w:tcPr>
          <w:p w14:paraId="2BC510BA"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N</w:t>
            </w:r>
          </w:p>
        </w:tc>
        <w:tc>
          <w:tcPr>
            <w:tcW w:w="1900" w:type="pct"/>
            <w:tcBorders>
              <w:top w:val="single" w:sz="18" w:space="0" w:color="auto"/>
              <w:left w:val="nil"/>
              <w:bottom w:val="single" w:sz="8" w:space="0" w:color="AEAEAE"/>
              <w:right w:val="nil"/>
            </w:tcBorders>
            <w:shd w:val="clear" w:color="auto" w:fill="auto"/>
          </w:tcPr>
          <w:p w14:paraId="421F7614"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60</w:t>
            </w:r>
          </w:p>
        </w:tc>
      </w:tr>
      <w:tr w:rsidR="00F829CF" w:rsidRPr="0047203B" w14:paraId="54C5D959" w14:textId="77777777" w:rsidTr="00722F4A">
        <w:trPr>
          <w:cantSplit/>
          <w:trHeight w:val="239"/>
        </w:trPr>
        <w:tc>
          <w:tcPr>
            <w:tcW w:w="1727" w:type="pct"/>
            <w:vMerge w:val="restart"/>
            <w:tcBorders>
              <w:top w:val="single" w:sz="8" w:space="0" w:color="AEAEAE"/>
              <w:left w:val="nil"/>
              <w:bottom w:val="single" w:sz="8" w:space="0" w:color="AEAEAE"/>
              <w:right w:val="nil"/>
            </w:tcBorders>
            <w:shd w:val="clear" w:color="auto" w:fill="auto"/>
          </w:tcPr>
          <w:p w14:paraId="786A3D85"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Normal Parametersa,b</w:t>
            </w:r>
          </w:p>
        </w:tc>
        <w:tc>
          <w:tcPr>
            <w:tcW w:w="1374" w:type="pct"/>
            <w:tcBorders>
              <w:top w:val="single" w:sz="8" w:space="0" w:color="AEAEAE"/>
              <w:left w:val="nil"/>
              <w:bottom w:val="single" w:sz="8" w:space="0" w:color="AEAEAE"/>
              <w:right w:val="nil"/>
            </w:tcBorders>
            <w:shd w:val="clear" w:color="auto" w:fill="auto"/>
          </w:tcPr>
          <w:p w14:paraId="1EC71E57"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Mean</w:t>
            </w:r>
          </w:p>
        </w:tc>
        <w:tc>
          <w:tcPr>
            <w:tcW w:w="1900" w:type="pct"/>
            <w:tcBorders>
              <w:top w:val="single" w:sz="8" w:space="0" w:color="AEAEAE"/>
              <w:left w:val="nil"/>
              <w:bottom w:val="single" w:sz="8" w:space="0" w:color="AEAEAE"/>
              <w:right w:val="nil"/>
            </w:tcBorders>
            <w:shd w:val="clear" w:color="auto" w:fill="auto"/>
          </w:tcPr>
          <w:p w14:paraId="57E3AF38"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.0000000</w:t>
            </w:r>
          </w:p>
        </w:tc>
      </w:tr>
      <w:tr w:rsidR="00F829CF" w:rsidRPr="0047203B" w14:paraId="64D9B24A" w14:textId="77777777" w:rsidTr="00722F4A">
        <w:trPr>
          <w:cantSplit/>
          <w:trHeight w:val="245"/>
        </w:trPr>
        <w:tc>
          <w:tcPr>
            <w:tcW w:w="1727" w:type="pct"/>
            <w:vMerge/>
            <w:tcBorders>
              <w:top w:val="single" w:sz="8" w:space="0" w:color="AEAEAE"/>
              <w:left w:val="nil"/>
              <w:bottom w:val="single" w:sz="8" w:space="0" w:color="AEAEAE"/>
              <w:right w:val="nil"/>
            </w:tcBorders>
            <w:shd w:val="clear" w:color="auto" w:fill="auto"/>
          </w:tcPr>
          <w:p w14:paraId="45301BA6" w14:textId="77777777" w:rsidR="00F829CF" w:rsidRPr="0047203B" w:rsidRDefault="00F829CF" w:rsidP="00F829CF">
            <w:pPr>
              <w:spacing w:after="0" w:line="240" w:lineRule="auto"/>
              <w:rPr>
                <w:rFonts w:ascii="Arial" w:eastAsia="EB Garamond" w:hAnsi="Arial" w:cs="Arial"/>
                <w:color w:val="000000" w:themeColor="text1"/>
              </w:rPr>
            </w:pPr>
          </w:p>
        </w:tc>
        <w:tc>
          <w:tcPr>
            <w:tcW w:w="1374" w:type="pct"/>
            <w:tcBorders>
              <w:top w:val="single" w:sz="8" w:space="0" w:color="AEAEAE"/>
              <w:left w:val="nil"/>
              <w:bottom w:val="single" w:sz="8" w:space="0" w:color="AEAEAE"/>
              <w:right w:val="nil"/>
            </w:tcBorders>
            <w:shd w:val="clear" w:color="auto" w:fill="auto"/>
          </w:tcPr>
          <w:p w14:paraId="61A193DB"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Std. Deviation</w:t>
            </w:r>
          </w:p>
        </w:tc>
        <w:tc>
          <w:tcPr>
            <w:tcW w:w="1900" w:type="pct"/>
            <w:tcBorders>
              <w:top w:val="single" w:sz="8" w:space="0" w:color="AEAEAE"/>
              <w:left w:val="nil"/>
              <w:bottom w:val="single" w:sz="8" w:space="0" w:color="AEAEAE"/>
              <w:right w:val="nil"/>
            </w:tcBorders>
            <w:shd w:val="clear" w:color="auto" w:fill="auto"/>
          </w:tcPr>
          <w:p w14:paraId="0EB22F9F"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1.62569489</w:t>
            </w:r>
          </w:p>
        </w:tc>
      </w:tr>
      <w:tr w:rsidR="00F829CF" w:rsidRPr="0047203B" w14:paraId="70D7D2F2" w14:textId="77777777" w:rsidTr="00722F4A">
        <w:trPr>
          <w:cantSplit/>
          <w:trHeight w:val="238"/>
        </w:trPr>
        <w:tc>
          <w:tcPr>
            <w:tcW w:w="1727" w:type="pct"/>
            <w:vMerge w:val="restart"/>
            <w:tcBorders>
              <w:top w:val="single" w:sz="8" w:space="0" w:color="AEAEAE"/>
              <w:left w:val="nil"/>
              <w:bottom w:val="single" w:sz="8" w:space="0" w:color="AEAEAE"/>
              <w:right w:val="nil"/>
            </w:tcBorders>
            <w:shd w:val="clear" w:color="auto" w:fill="auto"/>
          </w:tcPr>
          <w:p w14:paraId="0E999E52"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Most Extreme Differences</w:t>
            </w:r>
          </w:p>
        </w:tc>
        <w:tc>
          <w:tcPr>
            <w:tcW w:w="1374" w:type="pct"/>
            <w:tcBorders>
              <w:top w:val="single" w:sz="8" w:space="0" w:color="AEAEAE"/>
              <w:left w:val="nil"/>
              <w:bottom w:val="single" w:sz="8" w:space="0" w:color="AEAEAE"/>
              <w:right w:val="nil"/>
            </w:tcBorders>
            <w:shd w:val="clear" w:color="auto" w:fill="auto"/>
          </w:tcPr>
          <w:p w14:paraId="365B76AC"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Absolute</w:t>
            </w:r>
          </w:p>
        </w:tc>
        <w:tc>
          <w:tcPr>
            <w:tcW w:w="1900" w:type="pct"/>
            <w:tcBorders>
              <w:top w:val="single" w:sz="8" w:space="0" w:color="AEAEAE"/>
              <w:left w:val="nil"/>
              <w:bottom w:val="single" w:sz="8" w:space="0" w:color="auto"/>
              <w:right w:val="nil"/>
            </w:tcBorders>
            <w:shd w:val="clear" w:color="auto" w:fill="auto"/>
          </w:tcPr>
          <w:p w14:paraId="6DE477E1"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.084</w:t>
            </w:r>
          </w:p>
        </w:tc>
      </w:tr>
      <w:tr w:rsidR="00F829CF" w:rsidRPr="0047203B" w14:paraId="71FFCBC7" w14:textId="77777777" w:rsidTr="00722F4A">
        <w:trPr>
          <w:cantSplit/>
          <w:trHeight w:val="258"/>
        </w:trPr>
        <w:tc>
          <w:tcPr>
            <w:tcW w:w="1727" w:type="pct"/>
            <w:vMerge/>
            <w:tcBorders>
              <w:top w:val="single" w:sz="8" w:space="0" w:color="AEAEAE"/>
              <w:left w:val="nil"/>
              <w:bottom w:val="single" w:sz="8" w:space="0" w:color="AEAEAE"/>
              <w:right w:val="nil"/>
            </w:tcBorders>
            <w:shd w:val="clear" w:color="auto" w:fill="auto"/>
          </w:tcPr>
          <w:p w14:paraId="22C47072" w14:textId="77777777" w:rsidR="00F829CF" w:rsidRPr="0047203B" w:rsidRDefault="00F829CF" w:rsidP="00F829CF">
            <w:pPr>
              <w:spacing w:after="0" w:line="240" w:lineRule="auto"/>
              <w:rPr>
                <w:rFonts w:ascii="Arial" w:eastAsia="EB Garamond" w:hAnsi="Arial" w:cs="Arial"/>
                <w:color w:val="000000" w:themeColor="text1"/>
              </w:rPr>
            </w:pPr>
          </w:p>
        </w:tc>
        <w:tc>
          <w:tcPr>
            <w:tcW w:w="1374" w:type="pct"/>
            <w:tcBorders>
              <w:top w:val="single" w:sz="8" w:space="0" w:color="AEAEAE"/>
              <w:left w:val="nil"/>
              <w:bottom w:val="single" w:sz="8" w:space="0" w:color="AEAEAE"/>
              <w:right w:val="nil"/>
            </w:tcBorders>
            <w:shd w:val="clear" w:color="auto" w:fill="auto"/>
          </w:tcPr>
          <w:p w14:paraId="651A99DB"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Positive</w:t>
            </w:r>
          </w:p>
        </w:tc>
        <w:tc>
          <w:tcPr>
            <w:tcW w:w="1900" w:type="pct"/>
            <w:tcBorders>
              <w:top w:val="single" w:sz="8" w:space="0" w:color="auto"/>
              <w:left w:val="nil"/>
              <w:bottom w:val="single" w:sz="8" w:space="0" w:color="AEAEAE"/>
              <w:right w:val="nil"/>
            </w:tcBorders>
            <w:shd w:val="clear" w:color="auto" w:fill="auto"/>
          </w:tcPr>
          <w:p w14:paraId="488D5B99"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.072</w:t>
            </w:r>
          </w:p>
        </w:tc>
      </w:tr>
      <w:tr w:rsidR="00F829CF" w:rsidRPr="0047203B" w14:paraId="17C33A59" w14:textId="77777777" w:rsidTr="00722F4A">
        <w:trPr>
          <w:cantSplit/>
          <w:trHeight w:val="249"/>
        </w:trPr>
        <w:tc>
          <w:tcPr>
            <w:tcW w:w="1727" w:type="pct"/>
            <w:vMerge/>
            <w:tcBorders>
              <w:top w:val="single" w:sz="8" w:space="0" w:color="AEAEAE"/>
              <w:left w:val="nil"/>
              <w:bottom w:val="single" w:sz="8" w:space="0" w:color="AEAEAE"/>
              <w:right w:val="nil"/>
            </w:tcBorders>
            <w:shd w:val="clear" w:color="auto" w:fill="auto"/>
          </w:tcPr>
          <w:p w14:paraId="7D399144" w14:textId="77777777" w:rsidR="00F829CF" w:rsidRPr="0047203B" w:rsidRDefault="00F829CF" w:rsidP="00F829CF">
            <w:pPr>
              <w:spacing w:after="0" w:line="240" w:lineRule="auto"/>
              <w:rPr>
                <w:rFonts w:ascii="Arial" w:eastAsia="EB Garamond" w:hAnsi="Arial" w:cs="Arial"/>
                <w:color w:val="000000" w:themeColor="text1"/>
              </w:rPr>
            </w:pPr>
          </w:p>
        </w:tc>
        <w:tc>
          <w:tcPr>
            <w:tcW w:w="1374" w:type="pct"/>
            <w:tcBorders>
              <w:top w:val="single" w:sz="8" w:space="0" w:color="AEAEAE"/>
              <w:left w:val="nil"/>
              <w:bottom w:val="single" w:sz="8" w:space="0" w:color="AEAEAE"/>
              <w:right w:val="nil"/>
            </w:tcBorders>
            <w:shd w:val="clear" w:color="auto" w:fill="auto"/>
          </w:tcPr>
          <w:p w14:paraId="2486E733"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Negative</w:t>
            </w:r>
          </w:p>
        </w:tc>
        <w:tc>
          <w:tcPr>
            <w:tcW w:w="1900" w:type="pct"/>
            <w:tcBorders>
              <w:top w:val="single" w:sz="8" w:space="0" w:color="AEAEAE"/>
              <w:left w:val="nil"/>
              <w:bottom w:val="single" w:sz="8" w:space="0" w:color="AEAEAE"/>
              <w:right w:val="nil"/>
            </w:tcBorders>
            <w:shd w:val="clear" w:color="auto" w:fill="auto"/>
          </w:tcPr>
          <w:p w14:paraId="66604EFD"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-.084</w:t>
            </w:r>
          </w:p>
        </w:tc>
      </w:tr>
      <w:tr w:rsidR="00F829CF" w:rsidRPr="0047203B" w14:paraId="0D07048F" w14:textId="77777777" w:rsidTr="00722F4A">
        <w:trPr>
          <w:cantSplit/>
          <w:trHeight w:val="114"/>
        </w:trPr>
        <w:tc>
          <w:tcPr>
            <w:tcW w:w="3100" w:type="pct"/>
            <w:gridSpan w:val="2"/>
            <w:tcBorders>
              <w:top w:val="single" w:sz="8" w:space="0" w:color="AEAEAE"/>
              <w:left w:val="nil"/>
              <w:bottom w:val="single" w:sz="8" w:space="0" w:color="AEAEAE"/>
              <w:right w:val="nil"/>
            </w:tcBorders>
            <w:shd w:val="clear" w:color="auto" w:fill="auto"/>
          </w:tcPr>
          <w:p w14:paraId="37A2142A"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Test Statistic</w:t>
            </w:r>
          </w:p>
        </w:tc>
        <w:tc>
          <w:tcPr>
            <w:tcW w:w="1900" w:type="pct"/>
            <w:tcBorders>
              <w:top w:val="single" w:sz="8" w:space="0" w:color="AEAEAE"/>
              <w:left w:val="nil"/>
              <w:bottom w:val="single" w:sz="8" w:space="0" w:color="AEAEAE"/>
              <w:right w:val="nil"/>
            </w:tcBorders>
            <w:shd w:val="clear" w:color="auto" w:fill="auto"/>
          </w:tcPr>
          <w:p w14:paraId="5FEC7310"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.084</w:t>
            </w:r>
          </w:p>
        </w:tc>
      </w:tr>
      <w:tr w:rsidR="00F829CF" w:rsidRPr="0047203B" w14:paraId="07CF0F30" w14:textId="77777777" w:rsidTr="00722F4A">
        <w:trPr>
          <w:cantSplit/>
          <w:trHeight w:val="106"/>
        </w:trPr>
        <w:tc>
          <w:tcPr>
            <w:tcW w:w="3100" w:type="pct"/>
            <w:gridSpan w:val="2"/>
            <w:tcBorders>
              <w:top w:val="single" w:sz="8" w:space="0" w:color="AEAEAE"/>
              <w:left w:val="nil"/>
              <w:bottom w:val="single" w:sz="8" w:space="0" w:color="AEAEAE"/>
              <w:right w:val="nil"/>
            </w:tcBorders>
            <w:shd w:val="clear" w:color="auto" w:fill="auto"/>
          </w:tcPr>
          <w:p w14:paraId="614689F6" w14:textId="77777777" w:rsidR="00F829CF"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Asymp. Sig. (2-tailed)</w:t>
            </w:r>
          </w:p>
        </w:tc>
        <w:tc>
          <w:tcPr>
            <w:tcW w:w="1900" w:type="pct"/>
            <w:tcBorders>
              <w:top w:val="single" w:sz="8" w:space="0" w:color="AEAEAE"/>
              <w:left w:val="nil"/>
              <w:bottom w:val="single" w:sz="8" w:space="0" w:color="AEAEAE"/>
              <w:right w:val="nil"/>
            </w:tcBorders>
            <w:shd w:val="clear" w:color="auto" w:fill="auto"/>
          </w:tcPr>
          <w:p w14:paraId="6A277C0E" w14:textId="77777777" w:rsidR="00F829CF" w:rsidRPr="0047203B" w:rsidRDefault="00F829CF" w:rsidP="00F829CF">
            <w:pPr>
              <w:spacing w:after="0" w:line="240" w:lineRule="auto"/>
              <w:jc w:val="center"/>
              <w:rPr>
                <w:rFonts w:ascii="Arial" w:eastAsia="EB Garamond" w:hAnsi="Arial" w:cs="Arial"/>
                <w:color w:val="000000" w:themeColor="text1"/>
              </w:rPr>
            </w:pPr>
            <w:r w:rsidRPr="0047203B">
              <w:rPr>
                <w:rFonts w:ascii="Arial" w:eastAsia="EB Garamond" w:hAnsi="Arial" w:cs="Arial"/>
                <w:color w:val="000000" w:themeColor="text1"/>
              </w:rPr>
              <w:t>.200c,d</w:t>
            </w:r>
          </w:p>
        </w:tc>
      </w:tr>
      <w:tr w:rsidR="00F829CF" w:rsidRPr="0047203B" w14:paraId="1712703C" w14:textId="77777777" w:rsidTr="00722F4A">
        <w:trPr>
          <w:cantSplit/>
          <w:trHeight w:val="240"/>
        </w:trPr>
        <w:tc>
          <w:tcPr>
            <w:tcW w:w="5000" w:type="pct"/>
            <w:gridSpan w:val="3"/>
            <w:tcBorders>
              <w:top w:val="single" w:sz="8" w:space="0" w:color="AEAEAE"/>
              <w:left w:val="nil"/>
              <w:bottom w:val="nil"/>
            </w:tcBorders>
            <w:shd w:val="clear" w:color="auto" w:fill="auto"/>
          </w:tcPr>
          <w:p w14:paraId="2D865FB5" w14:textId="39985D26" w:rsidR="00B43DDD" w:rsidRPr="0047203B" w:rsidRDefault="00F829CF" w:rsidP="00F829CF">
            <w:pPr>
              <w:spacing w:after="0" w:line="240" w:lineRule="auto"/>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tc>
      </w:tr>
    </w:tbl>
    <w:p w14:paraId="29A2610D" w14:textId="77777777" w:rsidR="00F829CF" w:rsidRDefault="00F829CF"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F829CF">
          <w:type w:val="continuous"/>
          <w:pgSz w:w="11906" w:h="16838"/>
          <w:pgMar w:top="1440" w:right="1440" w:bottom="1440" w:left="1440" w:header="397" w:footer="708" w:gutter="0"/>
          <w:cols w:space="720"/>
        </w:sectPr>
      </w:pPr>
    </w:p>
    <w:p w14:paraId="56059876" w14:textId="77777777" w:rsidR="00FD0F47" w:rsidRDefault="00FD0F47" w:rsidP="0089084C">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FD0F47" w:rsidSect="00F829CF">
          <w:type w:val="continuous"/>
          <w:pgSz w:w="11906" w:h="16838"/>
          <w:pgMar w:top="1440" w:right="1440" w:bottom="1440" w:left="1440" w:header="397" w:footer="708" w:gutter="0"/>
          <w:cols w:num="2" w:space="720"/>
        </w:sectPr>
      </w:pPr>
    </w:p>
    <w:p w14:paraId="7FDEE945" w14:textId="6D9C0A87" w:rsidR="00FD0F47" w:rsidRDefault="00FD0F47" w:rsidP="00FD0F47">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FD0F47">
        <w:rPr>
          <w:rFonts w:ascii="Arial" w:eastAsia="EB Garamond" w:hAnsi="Arial" w:cs="Arial"/>
          <w:color w:val="000000" w:themeColor="text1"/>
        </w:rPr>
        <w:lastRenderedPageBreak/>
        <w:t>The results of the Kolmogorov-S</w:t>
      </w:r>
      <w:r w:rsidR="00255D8C">
        <w:rPr>
          <w:rFonts w:ascii="Arial" w:eastAsia="EB Garamond" w:hAnsi="Arial" w:cs="Arial"/>
          <w:color w:val="000000" w:themeColor="text1"/>
        </w:rPr>
        <w:t>mirnov normality test in Table 7</w:t>
      </w:r>
      <w:r w:rsidRPr="00FD0F47">
        <w:rPr>
          <w:rFonts w:ascii="Arial" w:eastAsia="EB Garamond" w:hAnsi="Arial" w:cs="Arial"/>
          <w:color w:val="000000" w:themeColor="text1"/>
        </w:rPr>
        <w:t xml:space="preserve"> show that the research data is normally distributed, with a significance value of 0.200. This is because the significance value exceeds the established significance level (0.05). </w:t>
      </w:r>
    </w:p>
    <w:p w14:paraId="41971A37" w14:textId="77777777" w:rsidR="00024F08" w:rsidRPr="00FD0F47" w:rsidRDefault="00024F08" w:rsidP="00B43DDD">
      <w:pPr>
        <w:pBdr>
          <w:top w:val="nil"/>
          <w:left w:val="nil"/>
          <w:bottom w:val="nil"/>
          <w:right w:val="nil"/>
          <w:between w:val="nil"/>
        </w:pBdr>
        <w:spacing w:after="0" w:line="240" w:lineRule="auto"/>
        <w:jc w:val="both"/>
        <w:rPr>
          <w:rFonts w:ascii="Arial" w:eastAsia="EB Garamond" w:hAnsi="Arial" w:cs="Arial"/>
          <w:color w:val="000000" w:themeColor="text1"/>
        </w:rPr>
      </w:pPr>
    </w:p>
    <w:p w14:paraId="306B7C3D" w14:textId="57D05278" w:rsidR="00FD0F47" w:rsidRPr="00FD0F47" w:rsidRDefault="00FD0F47" w:rsidP="00FD0F47">
      <w:pPr>
        <w:pStyle w:val="ListParagraph"/>
        <w:numPr>
          <w:ilvl w:val="0"/>
          <w:numId w:val="32"/>
        </w:numPr>
        <w:pBdr>
          <w:top w:val="nil"/>
          <w:left w:val="nil"/>
          <w:bottom w:val="nil"/>
          <w:right w:val="nil"/>
          <w:between w:val="nil"/>
        </w:pBdr>
        <w:spacing w:after="0" w:line="240" w:lineRule="auto"/>
        <w:jc w:val="both"/>
        <w:rPr>
          <w:rFonts w:ascii="Arial" w:eastAsia="EB Garamond" w:hAnsi="Arial" w:cs="Arial"/>
          <w:color w:val="000000" w:themeColor="text1"/>
        </w:rPr>
      </w:pPr>
      <w:r w:rsidRPr="00FD0F47">
        <w:rPr>
          <w:rFonts w:ascii="Arial" w:eastAsia="EB Garamond" w:hAnsi="Arial" w:cs="Arial"/>
          <w:color w:val="000000" w:themeColor="text1"/>
        </w:rPr>
        <w:t>Multicollinearity Test</w:t>
      </w:r>
    </w:p>
    <w:p w14:paraId="35E1AF3F" w14:textId="77777777" w:rsidR="00FD0F47" w:rsidRDefault="00FD0F47" w:rsidP="00FD0F47">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FD0F47" w:rsidSect="00FD0F47">
          <w:type w:val="continuous"/>
          <w:pgSz w:w="11906" w:h="16838"/>
          <w:pgMar w:top="1440" w:right="1440" w:bottom="1440" w:left="1440" w:header="397" w:footer="708" w:gutter="0"/>
          <w:cols w:num="2" w:space="720"/>
        </w:sectPr>
      </w:pPr>
      <w:r w:rsidRPr="00FD0F47">
        <w:rPr>
          <w:rFonts w:ascii="Arial" w:eastAsia="EB Garamond" w:hAnsi="Arial" w:cs="Arial"/>
          <w:color w:val="000000" w:themeColor="text1"/>
        </w:rPr>
        <w:lastRenderedPageBreak/>
        <w:t>To ensure that there are no multicollinearity problems that can interfere with the estimation of the regression coefficient, a test is carried out by looking at the VIF value which is less than 10, indicating that the independent variables in the model do not have a multicollinearity problem</w:t>
      </w:r>
    </w:p>
    <w:tbl>
      <w:tblPr>
        <w:tblpPr w:leftFromText="180" w:rightFromText="180" w:vertAnchor="text" w:horzAnchor="margin" w:tblpY="27"/>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
        <w:gridCol w:w="2387"/>
        <w:gridCol w:w="851"/>
        <w:gridCol w:w="1134"/>
        <w:gridCol w:w="1417"/>
        <w:gridCol w:w="709"/>
        <w:gridCol w:w="709"/>
        <w:gridCol w:w="1134"/>
        <w:gridCol w:w="579"/>
        <w:gridCol w:w="102"/>
      </w:tblGrid>
      <w:tr w:rsidR="00B43DDD" w:rsidRPr="0047203B" w14:paraId="0CEE7D5A" w14:textId="77777777" w:rsidTr="00B43DDD">
        <w:trPr>
          <w:cantSplit/>
          <w:trHeight w:val="326"/>
        </w:trPr>
        <w:tc>
          <w:tcPr>
            <w:tcW w:w="9045" w:type="dxa"/>
            <w:gridSpan w:val="10"/>
            <w:tcBorders>
              <w:top w:val="nil"/>
              <w:left w:val="nil"/>
              <w:bottom w:val="single" w:sz="8" w:space="0" w:color="auto"/>
              <w:right w:val="nil"/>
            </w:tcBorders>
            <w:shd w:val="clear" w:color="auto" w:fill="auto"/>
            <w:vAlign w:val="center"/>
          </w:tcPr>
          <w:p w14:paraId="04BB610E" w14:textId="77777777" w:rsidR="00B43DDD" w:rsidRDefault="00B43DDD" w:rsidP="00B43DDD">
            <w:pPr>
              <w:autoSpaceDE w:val="0"/>
              <w:autoSpaceDN w:val="0"/>
              <w:adjustRightInd w:val="0"/>
              <w:spacing w:after="0" w:line="320" w:lineRule="atLeast"/>
              <w:ind w:right="60"/>
              <w:jc w:val="center"/>
              <w:rPr>
                <w:rFonts w:ascii="Arial" w:hAnsi="Arial" w:cs="Arial"/>
                <w:b/>
                <w:bCs/>
                <w:color w:val="000000" w:themeColor="text1"/>
                <w:lang w:val="en"/>
              </w:rPr>
            </w:pPr>
            <w:r>
              <w:rPr>
                <w:rFonts w:ascii="Arial" w:hAnsi="Arial" w:cs="Arial"/>
                <w:b/>
                <w:bCs/>
                <w:color w:val="000000" w:themeColor="text1"/>
                <w:lang w:val="en"/>
              </w:rPr>
              <w:t>Table 8</w:t>
            </w:r>
            <w:r w:rsidRPr="0047203B">
              <w:rPr>
                <w:rFonts w:ascii="Arial" w:hAnsi="Arial" w:cs="Arial"/>
                <w:b/>
                <w:bCs/>
                <w:color w:val="000000" w:themeColor="text1"/>
                <w:lang w:val="en"/>
              </w:rPr>
              <w:t>.</w:t>
            </w:r>
          </w:p>
          <w:p w14:paraId="2386FEED" w14:textId="77777777" w:rsidR="00B43DDD" w:rsidRPr="0047203B" w:rsidRDefault="00B43DDD" w:rsidP="00B43DDD">
            <w:pPr>
              <w:autoSpaceDE w:val="0"/>
              <w:autoSpaceDN w:val="0"/>
              <w:adjustRightInd w:val="0"/>
              <w:spacing w:after="0" w:line="320" w:lineRule="atLeast"/>
              <w:ind w:right="60"/>
              <w:jc w:val="center"/>
              <w:rPr>
                <w:rFonts w:ascii="Arial" w:hAnsi="Arial" w:cs="Arial"/>
                <w:b/>
                <w:bCs/>
                <w:color w:val="000000" w:themeColor="text1"/>
              </w:rPr>
            </w:pPr>
            <w:r w:rsidRPr="0047203B">
              <w:rPr>
                <w:rFonts w:ascii="Arial" w:hAnsi="Arial" w:cs="Arial"/>
                <w:b/>
                <w:bCs/>
                <w:color w:val="000000" w:themeColor="text1"/>
                <w:lang w:val="en"/>
              </w:rPr>
              <w:t>Multicollinearity Test Results</w:t>
            </w:r>
          </w:p>
        </w:tc>
      </w:tr>
      <w:tr w:rsidR="00B43DDD" w:rsidRPr="0047203B" w14:paraId="54A46E9E" w14:textId="77777777" w:rsidTr="00B43DDD">
        <w:trPr>
          <w:cantSplit/>
          <w:trHeight w:val="310"/>
        </w:trPr>
        <w:tc>
          <w:tcPr>
            <w:tcW w:w="9045" w:type="dxa"/>
            <w:gridSpan w:val="10"/>
            <w:tcBorders>
              <w:top w:val="single" w:sz="8" w:space="0" w:color="auto"/>
              <w:left w:val="nil"/>
              <w:bottom w:val="nil"/>
              <w:right w:val="nil"/>
            </w:tcBorders>
            <w:shd w:val="clear" w:color="auto" w:fill="auto"/>
            <w:vAlign w:val="center"/>
          </w:tcPr>
          <w:p w14:paraId="344BA277"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b/>
                <w:bCs/>
                <w:color w:val="000000" w:themeColor="text1"/>
              </w:rPr>
              <w:t>Coefficients</w:t>
            </w:r>
            <w:r w:rsidRPr="0047203B">
              <w:rPr>
                <w:rFonts w:ascii="Arial" w:hAnsi="Arial" w:cs="Arial"/>
                <w:b/>
                <w:bCs/>
                <w:color w:val="000000" w:themeColor="text1"/>
                <w:vertAlign w:val="superscript"/>
              </w:rPr>
              <w:t>a</w:t>
            </w:r>
          </w:p>
        </w:tc>
      </w:tr>
      <w:tr w:rsidR="00B43DDD" w:rsidRPr="0047203B" w14:paraId="7C1E8806" w14:textId="77777777" w:rsidTr="00B43DDD">
        <w:trPr>
          <w:cantSplit/>
          <w:trHeight w:val="239"/>
        </w:trPr>
        <w:tc>
          <w:tcPr>
            <w:tcW w:w="2410" w:type="dxa"/>
            <w:gridSpan w:val="2"/>
            <w:vMerge w:val="restart"/>
            <w:tcBorders>
              <w:top w:val="single" w:sz="18" w:space="0" w:color="auto"/>
              <w:left w:val="nil"/>
              <w:bottom w:val="nil"/>
              <w:right w:val="nil"/>
            </w:tcBorders>
            <w:shd w:val="clear" w:color="auto" w:fill="auto"/>
            <w:vAlign w:val="bottom"/>
          </w:tcPr>
          <w:p w14:paraId="433496DD"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Model</w:t>
            </w:r>
          </w:p>
        </w:tc>
        <w:tc>
          <w:tcPr>
            <w:tcW w:w="1985" w:type="dxa"/>
            <w:gridSpan w:val="2"/>
            <w:tcBorders>
              <w:top w:val="single" w:sz="18" w:space="0" w:color="auto"/>
              <w:left w:val="nil"/>
              <w:bottom w:val="nil"/>
              <w:right w:val="single" w:sz="8" w:space="0" w:color="E0E0E0"/>
            </w:tcBorders>
            <w:shd w:val="clear" w:color="auto" w:fill="auto"/>
            <w:vAlign w:val="bottom"/>
          </w:tcPr>
          <w:p w14:paraId="538C729A"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Unstandardized Coefficients</w:t>
            </w:r>
          </w:p>
        </w:tc>
        <w:tc>
          <w:tcPr>
            <w:tcW w:w="1417" w:type="dxa"/>
            <w:tcBorders>
              <w:top w:val="single" w:sz="18" w:space="0" w:color="auto"/>
              <w:left w:val="single" w:sz="8" w:space="0" w:color="E0E0E0"/>
              <w:bottom w:val="nil"/>
              <w:right w:val="single" w:sz="8" w:space="0" w:color="E0E0E0"/>
            </w:tcBorders>
            <w:shd w:val="clear" w:color="auto" w:fill="auto"/>
            <w:vAlign w:val="bottom"/>
          </w:tcPr>
          <w:p w14:paraId="4E156160"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Standardized Coefficients</w:t>
            </w:r>
          </w:p>
        </w:tc>
        <w:tc>
          <w:tcPr>
            <w:tcW w:w="709" w:type="dxa"/>
            <w:vMerge w:val="restart"/>
            <w:tcBorders>
              <w:top w:val="single" w:sz="18" w:space="0" w:color="auto"/>
              <w:left w:val="single" w:sz="8" w:space="0" w:color="E0E0E0"/>
              <w:bottom w:val="nil"/>
              <w:right w:val="single" w:sz="8" w:space="0" w:color="E0E0E0"/>
            </w:tcBorders>
            <w:shd w:val="clear" w:color="auto" w:fill="auto"/>
            <w:vAlign w:val="bottom"/>
          </w:tcPr>
          <w:p w14:paraId="25457B24"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t</w:t>
            </w:r>
          </w:p>
        </w:tc>
        <w:tc>
          <w:tcPr>
            <w:tcW w:w="709" w:type="dxa"/>
            <w:vMerge w:val="restart"/>
            <w:tcBorders>
              <w:top w:val="single" w:sz="18" w:space="0" w:color="auto"/>
              <w:left w:val="single" w:sz="8" w:space="0" w:color="E0E0E0"/>
              <w:bottom w:val="nil"/>
              <w:right w:val="single" w:sz="8" w:space="0" w:color="E0E0E0"/>
            </w:tcBorders>
            <w:shd w:val="clear" w:color="auto" w:fill="auto"/>
            <w:vAlign w:val="bottom"/>
          </w:tcPr>
          <w:p w14:paraId="7591D0B1"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Sig.</w:t>
            </w:r>
          </w:p>
        </w:tc>
        <w:tc>
          <w:tcPr>
            <w:tcW w:w="1815" w:type="dxa"/>
            <w:gridSpan w:val="3"/>
            <w:tcBorders>
              <w:top w:val="single" w:sz="18" w:space="0" w:color="auto"/>
              <w:left w:val="single" w:sz="8" w:space="0" w:color="E0E0E0"/>
              <w:bottom w:val="nil"/>
              <w:right w:val="nil"/>
            </w:tcBorders>
            <w:shd w:val="clear" w:color="auto" w:fill="auto"/>
            <w:vAlign w:val="bottom"/>
          </w:tcPr>
          <w:p w14:paraId="7600147A"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Collinearity Statistics</w:t>
            </w:r>
          </w:p>
        </w:tc>
      </w:tr>
      <w:tr w:rsidR="00B43DDD" w:rsidRPr="0047203B" w14:paraId="2CA3284E" w14:textId="77777777" w:rsidTr="00B43DDD">
        <w:trPr>
          <w:cantSplit/>
          <w:trHeight w:val="83"/>
        </w:trPr>
        <w:tc>
          <w:tcPr>
            <w:tcW w:w="2410" w:type="dxa"/>
            <w:gridSpan w:val="2"/>
            <w:vMerge/>
            <w:tcBorders>
              <w:top w:val="nil"/>
              <w:left w:val="nil"/>
              <w:bottom w:val="nil"/>
              <w:right w:val="nil"/>
            </w:tcBorders>
            <w:shd w:val="clear" w:color="auto" w:fill="auto"/>
            <w:vAlign w:val="bottom"/>
          </w:tcPr>
          <w:p w14:paraId="3A554A30"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851" w:type="dxa"/>
            <w:tcBorders>
              <w:top w:val="nil"/>
              <w:left w:val="nil"/>
              <w:bottom w:val="single" w:sz="8" w:space="0" w:color="152935"/>
              <w:right w:val="single" w:sz="8" w:space="0" w:color="E0E0E0"/>
            </w:tcBorders>
            <w:shd w:val="clear" w:color="auto" w:fill="auto"/>
            <w:vAlign w:val="bottom"/>
          </w:tcPr>
          <w:p w14:paraId="750BDE96"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B</w:t>
            </w:r>
          </w:p>
        </w:tc>
        <w:tc>
          <w:tcPr>
            <w:tcW w:w="1134" w:type="dxa"/>
            <w:tcBorders>
              <w:top w:val="nil"/>
              <w:left w:val="single" w:sz="8" w:space="0" w:color="E0E0E0"/>
              <w:bottom w:val="single" w:sz="8" w:space="0" w:color="152935"/>
              <w:right w:val="single" w:sz="8" w:space="0" w:color="E0E0E0"/>
            </w:tcBorders>
            <w:shd w:val="clear" w:color="auto" w:fill="auto"/>
            <w:vAlign w:val="bottom"/>
          </w:tcPr>
          <w:p w14:paraId="636727D0"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Std. Error</w:t>
            </w:r>
          </w:p>
        </w:tc>
        <w:tc>
          <w:tcPr>
            <w:tcW w:w="1417" w:type="dxa"/>
            <w:tcBorders>
              <w:top w:val="nil"/>
              <w:left w:val="single" w:sz="8" w:space="0" w:color="E0E0E0"/>
              <w:bottom w:val="single" w:sz="8" w:space="0" w:color="152935"/>
              <w:right w:val="single" w:sz="8" w:space="0" w:color="E0E0E0"/>
            </w:tcBorders>
            <w:shd w:val="clear" w:color="auto" w:fill="auto"/>
            <w:vAlign w:val="bottom"/>
          </w:tcPr>
          <w:p w14:paraId="076F320E"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Beta</w:t>
            </w:r>
          </w:p>
        </w:tc>
        <w:tc>
          <w:tcPr>
            <w:tcW w:w="709" w:type="dxa"/>
            <w:vMerge/>
            <w:tcBorders>
              <w:top w:val="nil"/>
              <w:left w:val="single" w:sz="8" w:space="0" w:color="E0E0E0"/>
              <w:bottom w:val="nil"/>
              <w:right w:val="single" w:sz="8" w:space="0" w:color="E0E0E0"/>
            </w:tcBorders>
            <w:shd w:val="clear" w:color="auto" w:fill="auto"/>
            <w:vAlign w:val="bottom"/>
          </w:tcPr>
          <w:p w14:paraId="4FDFEE3E"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709" w:type="dxa"/>
            <w:vMerge/>
            <w:tcBorders>
              <w:top w:val="nil"/>
              <w:left w:val="single" w:sz="8" w:space="0" w:color="E0E0E0"/>
              <w:bottom w:val="nil"/>
              <w:right w:val="single" w:sz="8" w:space="0" w:color="E0E0E0"/>
            </w:tcBorders>
            <w:shd w:val="clear" w:color="auto" w:fill="auto"/>
            <w:vAlign w:val="bottom"/>
          </w:tcPr>
          <w:p w14:paraId="5CC3B257"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1134" w:type="dxa"/>
            <w:tcBorders>
              <w:top w:val="nil"/>
              <w:left w:val="single" w:sz="8" w:space="0" w:color="E0E0E0"/>
              <w:bottom w:val="single" w:sz="8" w:space="0" w:color="152935"/>
              <w:right w:val="single" w:sz="8" w:space="0" w:color="E0E0E0"/>
            </w:tcBorders>
            <w:shd w:val="clear" w:color="auto" w:fill="auto"/>
            <w:vAlign w:val="bottom"/>
          </w:tcPr>
          <w:p w14:paraId="5A9D8A12"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Tolerance</w:t>
            </w:r>
          </w:p>
        </w:tc>
        <w:tc>
          <w:tcPr>
            <w:tcW w:w="681" w:type="dxa"/>
            <w:gridSpan w:val="2"/>
            <w:tcBorders>
              <w:top w:val="nil"/>
              <w:left w:val="single" w:sz="8" w:space="0" w:color="E0E0E0"/>
              <w:bottom w:val="single" w:sz="8" w:space="0" w:color="152935"/>
              <w:right w:val="nil"/>
            </w:tcBorders>
            <w:shd w:val="clear" w:color="auto" w:fill="auto"/>
            <w:vAlign w:val="bottom"/>
          </w:tcPr>
          <w:p w14:paraId="68C6C5E7"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VIF</w:t>
            </w:r>
          </w:p>
        </w:tc>
      </w:tr>
      <w:tr w:rsidR="00B43DDD" w:rsidRPr="0047203B" w14:paraId="40882826" w14:textId="77777777" w:rsidTr="00B43DDD">
        <w:trPr>
          <w:cantSplit/>
          <w:trHeight w:val="264"/>
        </w:trPr>
        <w:tc>
          <w:tcPr>
            <w:tcW w:w="23" w:type="dxa"/>
            <w:vMerge w:val="restart"/>
            <w:tcBorders>
              <w:top w:val="single" w:sz="8" w:space="0" w:color="152935"/>
              <w:left w:val="nil"/>
              <w:bottom w:val="single" w:sz="8" w:space="0" w:color="152935"/>
              <w:right w:val="nil"/>
            </w:tcBorders>
            <w:shd w:val="clear" w:color="auto" w:fill="auto"/>
          </w:tcPr>
          <w:p w14:paraId="0A4DF5B5" w14:textId="77777777" w:rsidR="00B43DDD" w:rsidRPr="0047203B" w:rsidRDefault="00B43DDD" w:rsidP="00B43DDD">
            <w:pPr>
              <w:autoSpaceDE w:val="0"/>
              <w:autoSpaceDN w:val="0"/>
              <w:adjustRightInd w:val="0"/>
              <w:spacing w:after="0" w:line="320" w:lineRule="atLeast"/>
              <w:ind w:right="60"/>
              <w:rPr>
                <w:rFonts w:ascii="Arial" w:hAnsi="Arial" w:cs="Arial"/>
                <w:color w:val="000000" w:themeColor="text1"/>
              </w:rPr>
            </w:pPr>
          </w:p>
        </w:tc>
        <w:tc>
          <w:tcPr>
            <w:tcW w:w="2387" w:type="dxa"/>
            <w:tcBorders>
              <w:top w:val="single" w:sz="8" w:space="0" w:color="152935"/>
              <w:left w:val="nil"/>
              <w:bottom w:val="single" w:sz="8" w:space="0" w:color="AEAEAE"/>
              <w:right w:val="nil"/>
            </w:tcBorders>
            <w:shd w:val="clear" w:color="auto" w:fill="auto"/>
          </w:tcPr>
          <w:p w14:paraId="6BD7CB29" w14:textId="77777777" w:rsidR="00B43DDD" w:rsidRPr="0047203B" w:rsidRDefault="00B43DDD" w:rsidP="00B43DDD">
            <w:pPr>
              <w:autoSpaceDE w:val="0"/>
              <w:autoSpaceDN w:val="0"/>
              <w:adjustRightInd w:val="0"/>
              <w:spacing w:after="0" w:line="320" w:lineRule="atLeast"/>
              <w:ind w:right="60"/>
              <w:rPr>
                <w:rFonts w:ascii="Arial" w:hAnsi="Arial" w:cs="Arial"/>
                <w:color w:val="000000" w:themeColor="text1"/>
              </w:rPr>
            </w:pPr>
            <w:r w:rsidRPr="0047203B">
              <w:rPr>
                <w:rFonts w:ascii="Arial" w:hAnsi="Arial" w:cs="Arial"/>
                <w:color w:val="000000" w:themeColor="text1"/>
              </w:rPr>
              <w:t>(Constant)</w:t>
            </w:r>
          </w:p>
        </w:tc>
        <w:tc>
          <w:tcPr>
            <w:tcW w:w="851" w:type="dxa"/>
            <w:tcBorders>
              <w:top w:val="single" w:sz="8" w:space="0" w:color="152935"/>
              <w:left w:val="nil"/>
              <w:bottom w:val="single" w:sz="8" w:space="0" w:color="AEAEAE"/>
              <w:right w:val="single" w:sz="8" w:space="0" w:color="E0E0E0"/>
            </w:tcBorders>
            <w:shd w:val="clear" w:color="auto" w:fill="auto"/>
            <w:vAlign w:val="center"/>
          </w:tcPr>
          <w:p w14:paraId="5099DCC1"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5.663</w:t>
            </w:r>
          </w:p>
        </w:tc>
        <w:tc>
          <w:tcPr>
            <w:tcW w:w="1134"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9B6B181"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2.410</w:t>
            </w:r>
          </w:p>
        </w:tc>
        <w:tc>
          <w:tcPr>
            <w:tcW w:w="141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0C47017" w14:textId="77777777" w:rsidR="00B43DDD" w:rsidRPr="0047203B" w:rsidRDefault="00B43DDD" w:rsidP="00B43DDD">
            <w:pPr>
              <w:autoSpaceDE w:val="0"/>
              <w:autoSpaceDN w:val="0"/>
              <w:adjustRightInd w:val="0"/>
              <w:spacing w:after="0" w:line="240" w:lineRule="auto"/>
              <w:jc w:val="center"/>
              <w:rPr>
                <w:rFonts w:ascii="Arial" w:hAnsi="Arial" w:cs="Arial"/>
                <w:color w:val="000000" w:themeColor="text1"/>
              </w:rPr>
            </w:pPr>
          </w:p>
        </w:tc>
        <w:tc>
          <w:tcPr>
            <w:tcW w:w="70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7B0CEE1B"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2.349</w:t>
            </w:r>
          </w:p>
        </w:tc>
        <w:tc>
          <w:tcPr>
            <w:tcW w:w="70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A177426"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.022</w:t>
            </w:r>
          </w:p>
        </w:tc>
        <w:tc>
          <w:tcPr>
            <w:tcW w:w="1134"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0CFB6B0" w14:textId="77777777" w:rsidR="00B43DDD" w:rsidRPr="0047203B" w:rsidRDefault="00B43DDD" w:rsidP="00B43DDD">
            <w:pPr>
              <w:autoSpaceDE w:val="0"/>
              <w:autoSpaceDN w:val="0"/>
              <w:adjustRightInd w:val="0"/>
              <w:spacing w:after="0" w:line="240" w:lineRule="auto"/>
              <w:jc w:val="center"/>
              <w:rPr>
                <w:rFonts w:ascii="Arial" w:hAnsi="Arial" w:cs="Arial"/>
                <w:color w:val="000000" w:themeColor="text1"/>
              </w:rPr>
            </w:pPr>
          </w:p>
        </w:tc>
        <w:tc>
          <w:tcPr>
            <w:tcW w:w="681" w:type="dxa"/>
            <w:gridSpan w:val="2"/>
            <w:tcBorders>
              <w:top w:val="single" w:sz="8" w:space="0" w:color="152935"/>
              <w:left w:val="single" w:sz="8" w:space="0" w:color="E0E0E0"/>
              <w:bottom w:val="single" w:sz="8" w:space="0" w:color="AEAEAE"/>
              <w:right w:val="nil"/>
            </w:tcBorders>
            <w:shd w:val="clear" w:color="auto" w:fill="auto"/>
            <w:vAlign w:val="center"/>
          </w:tcPr>
          <w:p w14:paraId="2BA05275" w14:textId="77777777" w:rsidR="00B43DDD" w:rsidRPr="0047203B" w:rsidRDefault="00B43DDD" w:rsidP="00B43DDD">
            <w:pPr>
              <w:autoSpaceDE w:val="0"/>
              <w:autoSpaceDN w:val="0"/>
              <w:adjustRightInd w:val="0"/>
              <w:spacing w:after="0" w:line="240" w:lineRule="auto"/>
              <w:jc w:val="center"/>
              <w:rPr>
                <w:rFonts w:ascii="Arial" w:hAnsi="Arial" w:cs="Arial"/>
                <w:color w:val="000000" w:themeColor="text1"/>
              </w:rPr>
            </w:pPr>
          </w:p>
        </w:tc>
      </w:tr>
      <w:tr w:rsidR="00B43DDD" w:rsidRPr="0047203B" w14:paraId="07FFCD7F" w14:textId="77777777" w:rsidTr="00B43DDD">
        <w:trPr>
          <w:cantSplit/>
          <w:trHeight w:val="199"/>
        </w:trPr>
        <w:tc>
          <w:tcPr>
            <w:tcW w:w="23" w:type="dxa"/>
            <w:vMerge/>
            <w:tcBorders>
              <w:top w:val="single" w:sz="8" w:space="0" w:color="152935"/>
              <w:left w:val="nil"/>
              <w:bottom w:val="single" w:sz="8" w:space="0" w:color="152935"/>
              <w:right w:val="nil"/>
            </w:tcBorders>
            <w:shd w:val="clear" w:color="auto" w:fill="auto"/>
          </w:tcPr>
          <w:p w14:paraId="427904E2"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2387" w:type="dxa"/>
            <w:tcBorders>
              <w:top w:val="single" w:sz="8" w:space="0" w:color="AEAEAE"/>
              <w:left w:val="nil"/>
              <w:bottom w:val="single" w:sz="8" w:space="0" w:color="AEAEAE"/>
              <w:right w:val="nil"/>
            </w:tcBorders>
            <w:shd w:val="clear" w:color="auto" w:fill="auto"/>
          </w:tcPr>
          <w:p w14:paraId="37BD2C17" w14:textId="77777777" w:rsidR="00B43DDD" w:rsidRPr="0047203B" w:rsidRDefault="00B43DDD" w:rsidP="00B43DDD">
            <w:pPr>
              <w:autoSpaceDE w:val="0"/>
              <w:autoSpaceDN w:val="0"/>
              <w:adjustRightInd w:val="0"/>
              <w:spacing w:after="0" w:line="320" w:lineRule="atLeast"/>
              <w:ind w:right="60"/>
              <w:rPr>
                <w:rFonts w:ascii="Arial" w:hAnsi="Arial" w:cs="Arial"/>
                <w:color w:val="000000" w:themeColor="text1"/>
              </w:rPr>
            </w:pPr>
            <w:r w:rsidRPr="0047203B">
              <w:rPr>
                <w:rStyle w:val="y2iqfc"/>
                <w:rFonts w:ascii="Arial" w:hAnsi="Arial" w:cs="Arial"/>
                <w:color w:val="000000" w:themeColor="text1"/>
                <w:lang w:val="en"/>
              </w:rPr>
              <w:t>Financial Literacy</w:t>
            </w:r>
          </w:p>
        </w:tc>
        <w:tc>
          <w:tcPr>
            <w:tcW w:w="851" w:type="dxa"/>
            <w:tcBorders>
              <w:top w:val="single" w:sz="8" w:space="0" w:color="AEAEAE"/>
              <w:left w:val="nil"/>
              <w:bottom w:val="single" w:sz="8" w:space="0" w:color="AEAEAE"/>
              <w:right w:val="single" w:sz="8" w:space="0" w:color="E0E0E0"/>
            </w:tcBorders>
            <w:shd w:val="clear" w:color="auto" w:fill="auto"/>
            <w:vAlign w:val="center"/>
          </w:tcPr>
          <w:p w14:paraId="6F514DF6"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-.103</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D28CDE1"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.188</w:t>
            </w:r>
          </w:p>
        </w:tc>
        <w:tc>
          <w:tcPr>
            <w:tcW w:w="141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16EFFCA"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-.077</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A57B40F"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-.546</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1A38ED2"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.587</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AAAF34B"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.464</w:t>
            </w:r>
          </w:p>
        </w:tc>
        <w:tc>
          <w:tcPr>
            <w:tcW w:w="681" w:type="dxa"/>
            <w:gridSpan w:val="2"/>
            <w:tcBorders>
              <w:top w:val="single" w:sz="8" w:space="0" w:color="AEAEAE"/>
              <w:left w:val="single" w:sz="8" w:space="0" w:color="E0E0E0"/>
              <w:bottom w:val="single" w:sz="8" w:space="0" w:color="AEAEAE"/>
              <w:right w:val="nil"/>
            </w:tcBorders>
            <w:shd w:val="clear" w:color="auto" w:fill="auto"/>
            <w:vAlign w:val="center"/>
          </w:tcPr>
          <w:p w14:paraId="7B445863"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2.157</w:t>
            </w:r>
          </w:p>
        </w:tc>
      </w:tr>
      <w:tr w:rsidR="00B43DDD" w:rsidRPr="0047203B" w14:paraId="3AFB8A6B" w14:textId="77777777" w:rsidTr="00B43DDD">
        <w:trPr>
          <w:cantSplit/>
          <w:trHeight w:val="341"/>
        </w:trPr>
        <w:tc>
          <w:tcPr>
            <w:tcW w:w="23" w:type="dxa"/>
            <w:vMerge/>
            <w:tcBorders>
              <w:top w:val="single" w:sz="8" w:space="0" w:color="152935"/>
              <w:left w:val="nil"/>
              <w:bottom w:val="single" w:sz="8" w:space="0" w:color="152935"/>
              <w:right w:val="nil"/>
            </w:tcBorders>
            <w:shd w:val="clear" w:color="auto" w:fill="auto"/>
          </w:tcPr>
          <w:p w14:paraId="7B7B3A74"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2387" w:type="dxa"/>
            <w:tcBorders>
              <w:top w:val="single" w:sz="8" w:space="0" w:color="AEAEAE"/>
              <w:left w:val="nil"/>
              <w:bottom w:val="single" w:sz="8" w:space="0" w:color="AEAEAE"/>
              <w:right w:val="nil"/>
            </w:tcBorders>
            <w:shd w:val="clear" w:color="auto" w:fill="auto"/>
          </w:tcPr>
          <w:p w14:paraId="417E729F" w14:textId="77777777" w:rsidR="00B43DDD" w:rsidRPr="0047203B" w:rsidRDefault="00B43DDD" w:rsidP="00B43DDD">
            <w:pPr>
              <w:autoSpaceDE w:val="0"/>
              <w:autoSpaceDN w:val="0"/>
              <w:adjustRightInd w:val="0"/>
              <w:spacing w:after="0" w:line="320" w:lineRule="atLeast"/>
              <w:ind w:right="60"/>
              <w:rPr>
                <w:rFonts w:ascii="Arial" w:hAnsi="Arial" w:cs="Arial"/>
                <w:color w:val="000000" w:themeColor="text1"/>
              </w:rPr>
            </w:pPr>
            <w:r w:rsidRPr="0047203B">
              <w:rPr>
                <w:rStyle w:val="y2iqfc"/>
                <w:rFonts w:ascii="Arial" w:hAnsi="Arial" w:cs="Arial"/>
                <w:color w:val="000000" w:themeColor="text1"/>
                <w:lang w:val="en"/>
              </w:rPr>
              <w:t>Infrastructure</w:t>
            </w:r>
          </w:p>
        </w:tc>
        <w:tc>
          <w:tcPr>
            <w:tcW w:w="851" w:type="dxa"/>
            <w:tcBorders>
              <w:top w:val="single" w:sz="8" w:space="0" w:color="AEAEAE"/>
              <w:left w:val="nil"/>
              <w:bottom w:val="single" w:sz="8" w:space="0" w:color="AEAEAE"/>
              <w:right w:val="single" w:sz="8" w:space="0" w:color="E0E0E0"/>
            </w:tcBorders>
            <w:shd w:val="clear" w:color="auto" w:fill="auto"/>
            <w:vAlign w:val="center"/>
          </w:tcPr>
          <w:p w14:paraId="2B00089E"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-.139</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B575A7C"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.134</w:t>
            </w:r>
          </w:p>
        </w:tc>
        <w:tc>
          <w:tcPr>
            <w:tcW w:w="141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1370CA8"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-.142</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7ED590E"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-1.032</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77E47A0"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.307</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28EA149"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.484</w:t>
            </w:r>
          </w:p>
        </w:tc>
        <w:tc>
          <w:tcPr>
            <w:tcW w:w="681" w:type="dxa"/>
            <w:gridSpan w:val="2"/>
            <w:tcBorders>
              <w:top w:val="single" w:sz="8" w:space="0" w:color="AEAEAE"/>
              <w:left w:val="single" w:sz="8" w:space="0" w:color="E0E0E0"/>
              <w:bottom w:val="single" w:sz="8" w:space="0" w:color="AEAEAE"/>
              <w:right w:val="nil"/>
            </w:tcBorders>
            <w:shd w:val="clear" w:color="auto" w:fill="auto"/>
            <w:vAlign w:val="center"/>
          </w:tcPr>
          <w:p w14:paraId="44CE5765"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2.065</w:t>
            </w:r>
          </w:p>
        </w:tc>
      </w:tr>
      <w:tr w:rsidR="00B43DDD" w:rsidRPr="0047203B" w14:paraId="49F188E9" w14:textId="77777777" w:rsidTr="00B43DDD">
        <w:trPr>
          <w:cantSplit/>
          <w:trHeight w:val="341"/>
        </w:trPr>
        <w:tc>
          <w:tcPr>
            <w:tcW w:w="23" w:type="dxa"/>
            <w:vMerge/>
            <w:tcBorders>
              <w:top w:val="single" w:sz="8" w:space="0" w:color="152935"/>
              <w:left w:val="nil"/>
              <w:bottom w:val="single" w:sz="8" w:space="0" w:color="152935"/>
              <w:right w:val="nil"/>
            </w:tcBorders>
            <w:shd w:val="clear" w:color="auto" w:fill="auto"/>
          </w:tcPr>
          <w:p w14:paraId="5EFA04B5"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2387" w:type="dxa"/>
            <w:tcBorders>
              <w:top w:val="single" w:sz="8" w:space="0" w:color="AEAEAE"/>
              <w:left w:val="nil"/>
              <w:bottom w:val="single" w:sz="8" w:space="0" w:color="AEAEAE"/>
              <w:right w:val="nil"/>
            </w:tcBorders>
            <w:shd w:val="clear" w:color="auto" w:fill="auto"/>
          </w:tcPr>
          <w:p w14:paraId="38938BCA" w14:textId="77777777" w:rsidR="00B43DDD" w:rsidRPr="0047203B" w:rsidRDefault="00B43DDD" w:rsidP="00B43DDD">
            <w:pPr>
              <w:autoSpaceDE w:val="0"/>
              <w:autoSpaceDN w:val="0"/>
              <w:adjustRightInd w:val="0"/>
              <w:spacing w:after="0" w:line="320" w:lineRule="atLeast"/>
              <w:ind w:right="60"/>
              <w:rPr>
                <w:rFonts w:ascii="Arial" w:hAnsi="Arial" w:cs="Arial"/>
                <w:color w:val="000000" w:themeColor="text1"/>
              </w:rPr>
            </w:pPr>
            <w:r w:rsidRPr="0047203B">
              <w:rPr>
                <w:rStyle w:val="y2iqfc"/>
                <w:rFonts w:ascii="Arial" w:hAnsi="Arial" w:cs="Arial"/>
                <w:color w:val="000000" w:themeColor="text1"/>
                <w:lang w:val="en"/>
              </w:rPr>
              <w:t>Security</w:t>
            </w:r>
          </w:p>
        </w:tc>
        <w:tc>
          <w:tcPr>
            <w:tcW w:w="851" w:type="dxa"/>
            <w:tcBorders>
              <w:top w:val="single" w:sz="8" w:space="0" w:color="AEAEAE"/>
              <w:left w:val="nil"/>
              <w:bottom w:val="single" w:sz="8" w:space="0" w:color="AEAEAE"/>
              <w:right w:val="single" w:sz="8" w:space="0" w:color="E0E0E0"/>
            </w:tcBorders>
            <w:shd w:val="clear" w:color="auto" w:fill="auto"/>
            <w:vAlign w:val="center"/>
          </w:tcPr>
          <w:p w14:paraId="0F669DC7"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.654</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EBF8327"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.137</w:t>
            </w:r>
          </w:p>
        </w:tc>
        <w:tc>
          <w:tcPr>
            <w:tcW w:w="141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4176149"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.731</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FFBF992"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4.777</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0A23DE5"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.000</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B2D243A"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.389</w:t>
            </w:r>
          </w:p>
        </w:tc>
        <w:tc>
          <w:tcPr>
            <w:tcW w:w="681" w:type="dxa"/>
            <w:gridSpan w:val="2"/>
            <w:tcBorders>
              <w:top w:val="single" w:sz="8" w:space="0" w:color="AEAEAE"/>
              <w:left w:val="single" w:sz="8" w:space="0" w:color="E0E0E0"/>
              <w:bottom w:val="single" w:sz="8" w:space="0" w:color="AEAEAE"/>
              <w:right w:val="nil"/>
            </w:tcBorders>
            <w:shd w:val="clear" w:color="auto" w:fill="auto"/>
            <w:vAlign w:val="center"/>
          </w:tcPr>
          <w:p w14:paraId="4DD39B16"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2.573</w:t>
            </w:r>
          </w:p>
        </w:tc>
      </w:tr>
      <w:tr w:rsidR="00B43DDD" w:rsidRPr="0047203B" w14:paraId="1117E30D" w14:textId="77777777" w:rsidTr="00B43DDD">
        <w:trPr>
          <w:cantSplit/>
          <w:trHeight w:val="270"/>
        </w:trPr>
        <w:tc>
          <w:tcPr>
            <w:tcW w:w="23" w:type="dxa"/>
            <w:vMerge/>
            <w:tcBorders>
              <w:top w:val="single" w:sz="8" w:space="0" w:color="152935"/>
              <w:left w:val="nil"/>
              <w:bottom w:val="single" w:sz="8" w:space="0" w:color="152935"/>
              <w:right w:val="nil"/>
            </w:tcBorders>
            <w:shd w:val="clear" w:color="auto" w:fill="auto"/>
          </w:tcPr>
          <w:p w14:paraId="521E3E64"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2387" w:type="dxa"/>
            <w:tcBorders>
              <w:top w:val="single" w:sz="8" w:space="0" w:color="AEAEAE"/>
              <w:left w:val="nil"/>
              <w:bottom w:val="single" w:sz="8" w:space="0" w:color="AEAEAE"/>
              <w:right w:val="nil"/>
            </w:tcBorders>
            <w:shd w:val="clear" w:color="auto" w:fill="auto"/>
          </w:tcPr>
          <w:p w14:paraId="6D4C63CF" w14:textId="77777777" w:rsidR="00B43DDD" w:rsidRPr="0047203B" w:rsidRDefault="00B43DDD" w:rsidP="00B43DDD">
            <w:pPr>
              <w:autoSpaceDE w:val="0"/>
              <w:autoSpaceDN w:val="0"/>
              <w:adjustRightInd w:val="0"/>
              <w:spacing w:after="0" w:line="320" w:lineRule="atLeast"/>
              <w:ind w:right="60"/>
              <w:rPr>
                <w:rFonts w:ascii="Arial" w:hAnsi="Arial" w:cs="Arial"/>
                <w:color w:val="000000" w:themeColor="text1"/>
              </w:rPr>
            </w:pPr>
            <w:r w:rsidRPr="0047203B">
              <w:rPr>
                <w:rStyle w:val="y2iqfc"/>
                <w:rFonts w:ascii="Arial" w:hAnsi="Arial" w:cs="Arial"/>
                <w:color w:val="000000" w:themeColor="text1"/>
                <w:lang w:val="en"/>
              </w:rPr>
              <w:t>User Experience</w:t>
            </w:r>
          </w:p>
        </w:tc>
        <w:tc>
          <w:tcPr>
            <w:tcW w:w="851" w:type="dxa"/>
            <w:tcBorders>
              <w:top w:val="single" w:sz="8" w:space="0" w:color="AEAEAE"/>
              <w:left w:val="nil"/>
              <w:bottom w:val="single" w:sz="8" w:space="0" w:color="AEAEAE"/>
              <w:right w:val="single" w:sz="8" w:space="0" w:color="E0E0E0"/>
            </w:tcBorders>
            <w:shd w:val="clear" w:color="auto" w:fill="auto"/>
            <w:vAlign w:val="center"/>
          </w:tcPr>
          <w:p w14:paraId="269DE21B"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-.146</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1F7DA7C"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.151</w:t>
            </w:r>
          </w:p>
        </w:tc>
        <w:tc>
          <w:tcPr>
            <w:tcW w:w="141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C85951F"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-.139</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BB6AA71"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-.962</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9B58559"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.340</w:t>
            </w:r>
          </w:p>
        </w:tc>
        <w:tc>
          <w:tcPr>
            <w:tcW w:w="1134"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3C96813"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.440</w:t>
            </w:r>
          </w:p>
        </w:tc>
        <w:tc>
          <w:tcPr>
            <w:tcW w:w="681" w:type="dxa"/>
            <w:gridSpan w:val="2"/>
            <w:tcBorders>
              <w:top w:val="single" w:sz="8" w:space="0" w:color="AEAEAE"/>
              <w:left w:val="single" w:sz="8" w:space="0" w:color="E0E0E0"/>
              <w:bottom w:val="single" w:sz="8" w:space="0" w:color="AEAEAE"/>
              <w:right w:val="nil"/>
            </w:tcBorders>
            <w:shd w:val="clear" w:color="auto" w:fill="auto"/>
            <w:vAlign w:val="center"/>
          </w:tcPr>
          <w:p w14:paraId="30AA51FB"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2.274</w:t>
            </w:r>
          </w:p>
        </w:tc>
      </w:tr>
      <w:tr w:rsidR="00B43DDD" w:rsidRPr="0047203B" w14:paraId="4376D596" w14:textId="77777777" w:rsidTr="00B43DDD">
        <w:trPr>
          <w:cantSplit/>
          <w:trHeight w:val="217"/>
        </w:trPr>
        <w:tc>
          <w:tcPr>
            <w:tcW w:w="23" w:type="dxa"/>
            <w:vMerge/>
            <w:tcBorders>
              <w:top w:val="single" w:sz="8" w:space="0" w:color="152935"/>
              <w:left w:val="nil"/>
              <w:bottom w:val="single" w:sz="8" w:space="0" w:color="152935"/>
              <w:right w:val="nil"/>
            </w:tcBorders>
            <w:shd w:val="clear" w:color="auto" w:fill="auto"/>
          </w:tcPr>
          <w:p w14:paraId="5C6E2D88" w14:textId="77777777" w:rsidR="00B43DDD" w:rsidRPr="0047203B" w:rsidRDefault="00B43DDD" w:rsidP="00B43DDD">
            <w:pPr>
              <w:autoSpaceDE w:val="0"/>
              <w:autoSpaceDN w:val="0"/>
              <w:adjustRightInd w:val="0"/>
              <w:spacing w:after="0" w:line="240" w:lineRule="auto"/>
              <w:rPr>
                <w:rFonts w:ascii="Arial" w:hAnsi="Arial" w:cs="Arial"/>
                <w:color w:val="000000" w:themeColor="text1"/>
              </w:rPr>
            </w:pPr>
          </w:p>
        </w:tc>
        <w:tc>
          <w:tcPr>
            <w:tcW w:w="2387" w:type="dxa"/>
            <w:tcBorders>
              <w:top w:val="single" w:sz="8" w:space="0" w:color="AEAEAE"/>
              <w:left w:val="nil"/>
              <w:bottom w:val="single" w:sz="8" w:space="0" w:color="152935"/>
              <w:right w:val="nil"/>
            </w:tcBorders>
            <w:shd w:val="clear" w:color="auto" w:fill="auto"/>
          </w:tcPr>
          <w:p w14:paraId="09D5A303" w14:textId="77777777" w:rsidR="00B43DDD" w:rsidRPr="0047203B" w:rsidRDefault="00B43DDD" w:rsidP="00B43DDD">
            <w:pPr>
              <w:autoSpaceDE w:val="0"/>
              <w:autoSpaceDN w:val="0"/>
              <w:adjustRightInd w:val="0"/>
              <w:spacing w:after="0" w:line="320" w:lineRule="atLeast"/>
              <w:ind w:right="60"/>
              <w:rPr>
                <w:rFonts w:ascii="Arial" w:hAnsi="Arial" w:cs="Arial"/>
                <w:color w:val="000000" w:themeColor="text1"/>
              </w:rPr>
            </w:pPr>
            <w:r w:rsidRPr="0047203B">
              <w:rPr>
                <w:rStyle w:val="y2iqfc"/>
                <w:rFonts w:ascii="Arial" w:hAnsi="Arial" w:cs="Arial"/>
                <w:color w:val="000000" w:themeColor="text1"/>
                <w:lang w:val="en"/>
              </w:rPr>
              <w:t>Advantages and Benefits</w:t>
            </w:r>
          </w:p>
        </w:tc>
        <w:tc>
          <w:tcPr>
            <w:tcW w:w="851" w:type="dxa"/>
            <w:tcBorders>
              <w:top w:val="single" w:sz="8" w:space="0" w:color="AEAEAE"/>
              <w:left w:val="nil"/>
              <w:bottom w:val="single" w:sz="8" w:space="0" w:color="152935"/>
              <w:right w:val="single" w:sz="8" w:space="0" w:color="E0E0E0"/>
            </w:tcBorders>
            <w:shd w:val="clear" w:color="auto" w:fill="auto"/>
            <w:vAlign w:val="center"/>
          </w:tcPr>
          <w:p w14:paraId="63DB4D14"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.428</w:t>
            </w:r>
          </w:p>
        </w:tc>
        <w:tc>
          <w:tcPr>
            <w:tcW w:w="1134" w:type="dxa"/>
            <w:tcBorders>
              <w:top w:val="single" w:sz="8" w:space="0" w:color="AEAEAE"/>
              <w:left w:val="single" w:sz="8" w:space="0" w:color="E0E0E0"/>
              <w:bottom w:val="single" w:sz="8" w:space="0" w:color="152935"/>
              <w:right w:val="single" w:sz="8" w:space="0" w:color="E0E0E0"/>
            </w:tcBorders>
            <w:shd w:val="clear" w:color="auto" w:fill="auto"/>
            <w:vAlign w:val="center"/>
          </w:tcPr>
          <w:p w14:paraId="6F28F1CC"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.139</w:t>
            </w:r>
          </w:p>
        </w:tc>
        <w:tc>
          <w:tcPr>
            <w:tcW w:w="1417" w:type="dxa"/>
            <w:tcBorders>
              <w:top w:val="single" w:sz="8" w:space="0" w:color="AEAEAE"/>
              <w:left w:val="single" w:sz="8" w:space="0" w:color="E0E0E0"/>
              <w:bottom w:val="single" w:sz="8" w:space="0" w:color="152935"/>
              <w:right w:val="single" w:sz="8" w:space="0" w:color="E0E0E0"/>
            </w:tcBorders>
            <w:shd w:val="clear" w:color="auto" w:fill="auto"/>
            <w:vAlign w:val="center"/>
          </w:tcPr>
          <w:p w14:paraId="10D110C7"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.392</w:t>
            </w:r>
          </w:p>
        </w:tc>
        <w:tc>
          <w:tcPr>
            <w:tcW w:w="709" w:type="dxa"/>
            <w:tcBorders>
              <w:top w:val="single" w:sz="8" w:space="0" w:color="AEAEAE"/>
              <w:left w:val="single" w:sz="8" w:space="0" w:color="E0E0E0"/>
              <w:bottom w:val="single" w:sz="8" w:space="0" w:color="152935"/>
              <w:right w:val="single" w:sz="8" w:space="0" w:color="E0E0E0"/>
            </w:tcBorders>
            <w:shd w:val="clear" w:color="auto" w:fill="auto"/>
            <w:vAlign w:val="center"/>
          </w:tcPr>
          <w:p w14:paraId="3F7D6AE6"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3.084</w:t>
            </w:r>
          </w:p>
        </w:tc>
        <w:tc>
          <w:tcPr>
            <w:tcW w:w="709" w:type="dxa"/>
            <w:tcBorders>
              <w:top w:val="single" w:sz="8" w:space="0" w:color="AEAEAE"/>
              <w:left w:val="single" w:sz="8" w:space="0" w:color="E0E0E0"/>
              <w:bottom w:val="single" w:sz="8" w:space="0" w:color="152935"/>
              <w:right w:val="single" w:sz="8" w:space="0" w:color="E0E0E0"/>
            </w:tcBorders>
            <w:shd w:val="clear" w:color="auto" w:fill="auto"/>
            <w:vAlign w:val="center"/>
          </w:tcPr>
          <w:p w14:paraId="497AD3C5"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.003</w:t>
            </w:r>
          </w:p>
        </w:tc>
        <w:tc>
          <w:tcPr>
            <w:tcW w:w="1134" w:type="dxa"/>
            <w:tcBorders>
              <w:top w:val="single" w:sz="8" w:space="0" w:color="AEAEAE"/>
              <w:left w:val="single" w:sz="8" w:space="0" w:color="E0E0E0"/>
              <w:bottom w:val="single" w:sz="8" w:space="0" w:color="152935"/>
              <w:right w:val="single" w:sz="8" w:space="0" w:color="E0E0E0"/>
            </w:tcBorders>
            <w:shd w:val="clear" w:color="auto" w:fill="auto"/>
            <w:vAlign w:val="center"/>
          </w:tcPr>
          <w:p w14:paraId="081AFAB8"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.564</w:t>
            </w:r>
          </w:p>
        </w:tc>
        <w:tc>
          <w:tcPr>
            <w:tcW w:w="681" w:type="dxa"/>
            <w:gridSpan w:val="2"/>
            <w:tcBorders>
              <w:top w:val="single" w:sz="8" w:space="0" w:color="AEAEAE"/>
              <w:left w:val="single" w:sz="8" w:space="0" w:color="E0E0E0"/>
              <w:bottom w:val="single" w:sz="8" w:space="0" w:color="152935"/>
              <w:right w:val="nil"/>
            </w:tcBorders>
            <w:shd w:val="clear" w:color="auto" w:fill="auto"/>
            <w:vAlign w:val="center"/>
          </w:tcPr>
          <w:p w14:paraId="0E1129A2" w14:textId="77777777" w:rsidR="00B43DDD" w:rsidRPr="0047203B" w:rsidRDefault="00B43DDD" w:rsidP="00B43DDD">
            <w:pPr>
              <w:autoSpaceDE w:val="0"/>
              <w:autoSpaceDN w:val="0"/>
              <w:adjustRightInd w:val="0"/>
              <w:spacing w:after="0" w:line="320" w:lineRule="atLeast"/>
              <w:ind w:right="60"/>
              <w:jc w:val="center"/>
              <w:rPr>
                <w:rFonts w:ascii="Arial" w:hAnsi="Arial" w:cs="Arial"/>
                <w:color w:val="000000" w:themeColor="text1"/>
              </w:rPr>
            </w:pPr>
            <w:r w:rsidRPr="0047203B">
              <w:rPr>
                <w:rFonts w:ascii="Arial" w:hAnsi="Arial" w:cs="Arial"/>
                <w:color w:val="000000" w:themeColor="text1"/>
              </w:rPr>
              <w:t>1.773</w:t>
            </w:r>
          </w:p>
        </w:tc>
      </w:tr>
      <w:tr w:rsidR="00B43DDD" w:rsidRPr="0047203B" w14:paraId="54F5240A" w14:textId="77777777" w:rsidTr="00B43DDD">
        <w:trPr>
          <w:gridAfter w:val="1"/>
          <w:wAfter w:w="102" w:type="dxa"/>
          <w:cantSplit/>
          <w:trHeight w:val="326"/>
        </w:trPr>
        <w:tc>
          <w:tcPr>
            <w:tcW w:w="8943" w:type="dxa"/>
            <w:gridSpan w:val="9"/>
            <w:tcBorders>
              <w:top w:val="single" w:sz="8" w:space="0" w:color="152935"/>
              <w:left w:val="nil"/>
              <w:bottom w:val="nil"/>
              <w:right w:val="nil"/>
            </w:tcBorders>
            <w:shd w:val="clear" w:color="auto" w:fill="auto"/>
          </w:tcPr>
          <w:p w14:paraId="164CD814" w14:textId="77777777" w:rsidR="00B43DDD" w:rsidRDefault="00B43DDD" w:rsidP="00B43DDD">
            <w:pPr>
              <w:autoSpaceDE w:val="0"/>
              <w:autoSpaceDN w:val="0"/>
              <w:adjustRightInd w:val="0"/>
              <w:spacing w:after="0" w:line="320" w:lineRule="atLeast"/>
              <w:ind w:right="60"/>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40ECBC00" w14:textId="77777777" w:rsidR="00255D8C" w:rsidRPr="00E26C41" w:rsidRDefault="00255D8C" w:rsidP="00B43DDD">
            <w:pPr>
              <w:autoSpaceDE w:val="0"/>
              <w:autoSpaceDN w:val="0"/>
              <w:adjustRightInd w:val="0"/>
              <w:spacing w:after="0" w:line="320" w:lineRule="atLeast"/>
              <w:ind w:right="60"/>
              <w:rPr>
                <w:rFonts w:ascii="Arial" w:eastAsia="EB Garamond" w:hAnsi="Arial" w:cs="Arial"/>
                <w:color w:val="000000" w:themeColor="text1"/>
              </w:rPr>
            </w:pPr>
          </w:p>
        </w:tc>
      </w:tr>
    </w:tbl>
    <w:p w14:paraId="51B7EE9B" w14:textId="3BD0DE4B" w:rsidR="00F829CF" w:rsidRDefault="00F829CF" w:rsidP="00FD0F47">
      <w:pPr>
        <w:pBdr>
          <w:top w:val="nil"/>
          <w:left w:val="nil"/>
          <w:bottom w:val="nil"/>
          <w:right w:val="nil"/>
          <w:between w:val="nil"/>
        </w:pBdr>
        <w:spacing w:after="0" w:line="240" w:lineRule="auto"/>
        <w:jc w:val="both"/>
        <w:rPr>
          <w:rFonts w:ascii="Arial" w:eastAsia="EB Garamond" w:hAnsi="Arial" w:cs="Arial"/>
          <w:color w:val="000000" w:themeColor="text1"/>
        </w:rPr>
        <w:sectPr w:rsidR="00F829CF" w:rsidSect="00FD0F47">
          <w:type w:val="continuous"/>
          <w:pgSz w:w="11906" w:h="16838"/>
          <w:pgMar w:top="1440" w:right="1440" w:bottom="1440" w:left="1440" w:header="397" w:footer="708" w:gutter="0"/>
          <w:cols w:space="720"/>
        </w:sectPr>
      </w:pPr>
    </w:p>
    <w:p w14:paraId="09108D43" w14:textId="77777777" w:rsidR="00722F4A" w:rsidRDefault="00722F4A"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722F4A">
          <w:type w:val="continuous"/>
          <w:pgSz w:w="11906" w:h="16838"/>
          <w:pgMar w:top="1440" w:right="1440" w:bottom="1440" w:left="1440" w:header="397" w:footer="708" w:gutter="0"/>
          <w:cols w:space="720"/>
        </w:sectPr>
      </w:pPr>
    </w:p>
    <w:p w14:paraId="48919DDE" w14:textId="1A0D6581" w:rsidR="00F842AF" w:rsidRPr="0047203B" w:rsidRDefault="009541ED"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lastRenderedPageBreak/>
        <w:t>Analysi</w:t>
      </w:r>
      <w:r w:rsidR="00255D8C">
        <w:rPr>
          <w:rFonts w:ascii="Arial" w:eastAsia="EB Garamond" w:hAnsi="Arial" w:cs="Arial"/>
          <w:color w:val="000000" w:themeColor="text1"/>
        </w:rPr>
        <w:t>s of Table 8</w:t>
      </w:r>
      <w:r w:rsidRPr="0047203B">
        <w:rPr>
          <w:rFonts w:ascii="Arial" w:eastAsia="EB Garamond" w:hAnsi="Arial" w:cs="Arial"/>
          <w:color w:val="000000" w:themeColor="text1"/>
        </w:rPr>
        <w:t xml:space="preserve"> shows that all variables in the table are free from multicollinearity problems, as seen from the VIF values ​​which are below the specified limit.</w:t>
      </w:r>
      <w:r w:rsidR="000E0D7F">
        <w:rPr>
          <w:rFonts w:ascii="Arial" w:eastAsia="EB Garamond" w:hAnsi="Arial" w:cs="Arial"/>
          <w:color w:val="000000" w:themeColor="text1"/>
        </w:rPr>
        <w:t xml:space="preserve"> T</w:t>
      </w:r>
      <w:r w:rsidRPr="0047203B">
        <w:rPr>
          <w:rFonts w:ascii="Arial" w:eastAsia="EB Garamond" w:hAnsi="Arial" w:cs="Arial"/>
          <w:color w:val="000000" w:themeColor="text1"/>
        </w:rPr>
        <w:t>he value of the independent variables (Financial Literacy,</w:t>
      </w:r>
      <w:r w:rsidR="001E3824" w:rsidRPr="0047203B">
        <w:rPr>
          <w:rFonts w:ascii="Arial" w:eastAsia="EB Garamond" w:hAnsi="Arial" w:cs="Arial"/>
          <w:color w:val="000000" w:themeColor="text1"/>
        </w:rPr>
        <w:t xml:space="preserve"> </w:t>
      </w:r>
      <w:r w:rsidR="00627FEE" w:rsidRPr="0047203B">
        <w:rPr>
          <w:rFonts w:ascii="Arial" w:eastAsia="EB Garamond" w:hAnsi="Arial" w:cs="Arial"/>
          <w:color w:val="000000" w:themeColor="text1"/>
        </w:rPr>
        <w:t>Infrastructure, Security, User Experience, and Security) ranged from 2.157 to 1.773 which is less than 10. Thus, it can be concluded that the test in the study shows that there is no multicollinearity.</w:t>
      </w:r>
    </w:p>
    <w:p w14:paraId="27E632B6" w14:textId="60174D50" w:rsidR="00AE75C0" w:rsidRPr="00722F4A" w:rsidRDefault="00C334BF" w:rsidP="00722F4A">
      <w:pPr>
        <w:pStyle w:val="ListParagraph"/>
        <w:numPr>
          <w:ilvl w:val="0"/>
          <w:numId w:val="32"/>
        </w:numPr>
        <w:pBdr>
          <w:top w:val="nil"/>
          <w:left w:val="nil"/>
          <w:bottom w:val="nil"/>
          <w:right w:val="nil"/>
          <w:between w:val="nil"/>
        </w:pBdr>
        <w:spacing w:after="0" w:line="240" w:lineRule="auto"/>
        <w:jc w:val="both"/>
        <w:rPr>
          <w:rFonts w:ascii="Arial" w:eastAsia="EB Garamond" w:hAnsi="Arial" w:cs="Arial"/>
          <w:color w:val="000000" w:themeColor="text1"/>
        </w:rPr>
      </w:pPr>
      <w:r w:rsidRPr="00722F4A">
        <w:rPr>
          <w:rFonts w:ascii="Arial" w:eastAsia="EB Garamond" w:hAnsi="Arial" w:cs="Arial"/>
          <w:color w:val="000000" w:themeColor="text1"/>
        </w:rPr>
        <w:lastRenderedPageBreak/>
        <w:t>Heteroscedasticity Test</w:t>
      </w:r>
    </w:p>
    <w:p w14:paraId="6CE0050C" w14:textId="5D04763B" w:rsidR="004E03F6" w:rsidRPr="0047203B" w:rsidRDefault="00651B68"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This test is used to test the assumption of homoscedasticity in the regression model, namely the assumption that the error or residual variance is the same for all values ​​of the independent variable. If the image does not form a particular pattern or the pattern is gathered in one area, then there is no heteroscedasticity.</w:t>
      </w:r>
    </w:p>
    <w:p w14:paraId="5BF63D33" w14:textId="77777777" w:rsidR="00722F4A" w:rsidRDefault="00722F4A"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722F4A" w:rsidSect="00722F4A">
          <w:type w:val="continuous"/>
          <w:pgSz w:w="11906" w:h="16838"/>
          <w:pgMar w:top="1440" w:right="1440" w:bottom="1440" w:left="1440" w:header="397" w:footer="708" w:gutter="0"/>
          <w:cols w:num="2" w:space="720"/>
        </w:sectPr>
      </w:pPr>
    </w:p>
    <w:p w14:paraId="2BBD0B45" w14:textId="5B07F95D" w:rsidR="004E03F6" w:rsidRPr="0047203B" w:rsidRDefault="00901C62" w:rsidP="00024F08">
      <w:pPr>
        <w:pBdr>
          <w:top w:val="nil"/>
          <w:left w:val="nil"/>
          <w:bottom w:val="nil"/>
          <w:right w:val="nil"/>
          <w:between w:val="nil"/>
        </w:pBdr>
        <w:spacing w:after="0" w:line="240" w:lineRule="auto"/>
        <w:jc w:val="center"/>
        <w:rPr>
          <w:rFonts w:ascii="Arial" w:eastAsia="EB Garamond" w:hAnsi="Arial" w:cs="Arial"/>
          <w:color w:val="000000" w:themeColor="text1"/>
        </w:rPr>
      </w:pPr>
      <w:r w:rsidRPr="0047203B">
        <w:rPr>
          <w:rFonts w:ascii="Arial" w:hAnsi="Arial" w:cs="Arial"/>
          <w:noProof/>
          <w:color w:val="000000" w:themeColor="text1"/>
          <w:lang w:eastAsia="en-US"/>
        </w:rPr>
        <w:lastRenderedPageBreak/>
        <w:drawing>
          <wp:inline distT="0" distB="0" distL="0" distR="0" wp14:anchorId="41B98A10" wp14:editId="4BC7E6F2">
            <wp:extent cx="4449325" cy="2042809"/>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1033" cy="2057367"/>
                    </a:xfrm>
                    <a:prstGeom prst="rect">
                      <a:avLst/>
                    </a:prstGeom>
                    <a:noFill/>
                    <a:ln>
                      <a:noFill/>
                    </a:ln>
                  </pic:spPr>
                </pic:pic>
              </a:graphicData>
            </a:graphic>
          </wp:inline>
        </w:drawing>
      </w:r>
    </w:p>
    <w:p w14:paraId="6AC9C8AA" w14:textId="5A241E23" w:rsidR="00ED6DF1" w:rsidRDefault="00850067" w:rsidP="00024F08">
      <w:pPr>
        <w:spacing w:after="0"/>
        <w:jc w:val="center"/>
        <w:rPr>
          <w:rFonts w:ascii="Arial" w:eastAsia="EB Garamond" w:hAnsi="Arial" w:cs="Arial"/>
          <w:b/>
          <w:color w:val="000000" w:themeColor="text1"/>
          <w:lang w:val="en"/>
        </w:rPr>
      </w:pPr>
      <w:r w:rsidRPr="0047203B">
        <w:rPr>
          <w:rFonts w:ascii="Arial" w:eastAsia="EB Garamond" w:hAnsi="Arial" w:cs="Arial"/>
          <w:b/>
          <w:color w:val="000000" w:themeColor="text1"/>
          <w:lang w:val="en"/>
        </w:rPr>
        <w:t>Figure 3</w:t>
      </w:r>
      <w:r w:rsidR="00ED6DF1">
        <w:rPr>
          <w:rFonts w:ascii="Arial" w:eastAsia="EB Garamond" w:hAnsi="Arial" w:cs="Arial"/>
          <w:b/>
          <w:color w:val="000000" w:themeColor="text1"/>
          <w:lang w:val="en"/>
        </w:rPr>
        <w:t>:</w:t>
      </w:r>
    </w:p>
    <w:p w14:paraId="2F1AC782" w14:textId="05D22B0A" w:rsidR="00850067" w:rsidRPr="0047203B" w:rsidRDefault="00850067" w:rsidP="00024F08">
      <w:pPr>
        <w:spacing w:after="0"/>
        <w:jc w:val="center"/>
        <w:rPr>
          <w:rFonts w:ascii="Arial" w:eastAsia="EB Garamond" w:hAnsi="Arial" w:cs="Arial"/>
          <w:b/>
          <w:color w:val="000000" w:themeColor="text1"/>
        </w:rPr>
      </w:pPr>
      <w:r w:rsidRPr="0047203B">
        <w:rPr>
          <w:rFonts w:ascii="Arial" w:eastAsia="EB Garamond" w:hAnsi="Arial" w:cs="Arial"/>
          <w:b/>
          <w:color w:val="000000" w:themeColor="text1"/>
          <w:lang w:val="en"/>
        </w:rPr>
        <w:t xml:space="preserve"> </w:t>
      </w:r>
      <w:r w:rsidRPr="0047203B">
        <w:rPr>
          <w:rFonts w:ascii="Arial" w:eastAsia="EB Garamond" w:hAnsi="Arial" w:cs="Arial"/>
          <w:color w:val="000000" w:themeColor="text1"/>
          <w:lang w:val="en"/>
        </w:rPr>
        <w:t>Scatterplot Normality Test</w:t>
      </w:r>
    </w:p>
    <w:p w14:paraId="429CF41D" w14:textId="3C8EFDC6" w:rsidR="00851009" w:rsidRPr="00722F4A" w:rsidRDefault="00850067" w:rsidP="00024F08">
      <w:pPr>
        <w:spacing w:after="0"/>
        <w:jc w:val="center"/>
        <w:rPr>
          <w:rFonts w:ascii="Arial" w:eastAsia="EB Garamond" w:hAnsi="Arial" w:cs="Arial"/>
          <w:bCs/>
          <w:color w:val="000000" w:themeColor="text1"/>
        </w:rPr>
      </w:pPr>
      <w:r w:rsidRPr="0047203B">
        <w:rPr>
          <w:rFonts w:ascii="Arial" w:eastAsia="EB Garamond" w:hAnsi="Arial" w:cs="Arial"/>
          <w:color w:val="000000" w:themeColor="text1"/>
        </w:rPr>
        <w:t>Data Processing Results (2024)</w:t>
      </w:r>
    </w:p>
    <w:p w14:paraId="29AA6A44" w14:textId="77777777" w:rsidR="00ED6DF1" w:rsidRDefault="00ED6DF1" w:rsidP="00255D8C">
      <w:pPr>
        <w:pBdr>
          <w:top w:val="nil"/>
          <w:left w:val="nil"/>
          <w:bottom w:val="nil"/>
          <w:right w:val="nil"/>
          <w:between w:val="nil"/>
        </w:pBdr>
        <w:spacing w:after="0" w:line="240" w:lineRule="auto"/>
        <w:jc w:val="both"/>
        <w:rPr>
          <w:rFonts w:ascii="Arial" w:eastAsia="EB Garamond" w:hAnsi="Arial" w:cs="Arial"/>
          <w:color w:val="000000" w:themeColor="text1"/>
        </w:rPr>
        <w:sectPr w:rsidR="00ED6DF1">
          <w:type w:val="continuous"/>
          <w:pgSz w:w="11906" w:h="16838"/>
          <w:pgMar w:top="1440" w:right="1440" w:bottom="1440" w:left="1440" w:header="397" w:footer="708" w:gutter="0"/>
          <w:cols w:space="720"/>
        </w:sectPr>
      </w:pPr>
    </w:p>
    <w:p w14:paraId="019D3D2C" w14:textId="54AA707E" w:rsidR="00C61BDE" w:rsidRPr="0047203B" w:rsidRDefault="0033626B"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lastRenderedPageBreak/>
        <w:t>In Figure 3, it can be seen that the points do not form a particular pattern or gather in one area, but rather spread out in all directions, so it can be concluded that no heteroscedasticity occurs.</w:t>
      </w:r>
    </w:p>
    <w:p w14:paraId="4CACDB58" w14:textId="52E93D76" w:rsidR="00A57D84" w:rsidRPr="0054195E" w:rsidRDefault="00CA37BD" w:rsidP="00722F4A">
      <w:pPr>
        <w:pBdr>
          <w:top w:val="nil"/>
          <w:left w:val="nil"/>
          <w:bottom w:val="nil"/>
          <w:right w:val="nil"/>
          <w:between w:val="nil"/>
        </w:pBdr>
        <w:spacing w:after="0" w:line="240" w:lineRule="auto"/>
        <w:jc w:val="both"/>
        <w:rPr>
          <w:rFonts w:ascii="Arial" w:hAnsi="Arial" w:cs="Arial"/>
          <w:b/>
          <w:i/>
          <w:color w:val="000000" w:themeColor="text1"/>
        </w:rPr>
      </w:pPr>
      <w:r w:rsidRPr="0054195E">
        <w:rPr>
          <w:rFonts w:ascii="Arial" w:hAnsi="Arial" w:cs="Arial"/>
          <w:b/>
          <w:i/>
          <w:color w:val="000000" w:themeColor="text1"/>
        </w:rPr>
        <w:t>Hypothesis Testing</w:t>
      </w:r>
    </w:p>
    <w:p w14:paraId="788CB903" w14:textId="0A6712F9" w:rsidR="006A242C" w:rsidRPr="00722F4A" w:rsidRDefault="00903F1A" w:rsidP="00722F4A">
      <w:pPr>
        <w:pStyle w:val="ListParagraph"/>
        <w:numPr>
          <w:ilvl w:val="0"/>
          <w:numId w:val="35"/>
        </w:numPr>
        <w:pBdr>
          <w:top w:val="nil"/>
          <w:left w:val="nil"/>
          <w:bottom w:val="nil"/>
          <w:right w:val="nil"/>
          <w:between w:val="nil"/>
        </w:pBdr>
        <w:spacing w:after="0" w:line="240" w:lineRule="auto"/>
        <w:jc w:val="both"/>
        <w:rPr>
          <w:rFonts w:ascii="Arial" w:eastAsia="EB Garamond" w:hAnsi="Arial" w:cs="Arial"/>
          <w:color w:val="000000" w:themeColor="text1"/>
        </w:rPr>
      </w:pPr>
      <w:r w:rsidRPr="00722F4A">
        <w:rPr>
          <w:rFonts w:ascii="Arial" w:eastAsia="EB Garamond" w:hAnsi="Arial" w:cs="Arial"/>
          <w:color w:val="000000" w:themeColor="text1"/>
        </w:rPr>
        <w:t xml:space="preserve">T-test </w:t>
      </w:r>
      <w:r w:rsidR="00525E11" w:rsidRPr="00722F4A">
        <w:rPr>
          <w:rFonts w:ascii="Arial" w:eastAsia="EB Garamond" w:hAnsi="Arial" w:cs="Arial"/>
          <w:color w:val="000000" w:themeColor="text1"/>
        </w:rPr>
        <w:t>Results (Partial)</w:t>
      </w:r>
    </w:p>
    <w:p w14:paraId="732D6A13" w14:textId="55228BA5" w:rsidR="00A43F63" w:rsidRPr="0047203B" w:rsidRDefault="00430D49"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The t-test analysis in this study aims to assess how significant the influence of each independent variable is on the </w:t>
      </w:r>
      <w:r w:rsidRPr="0047203B">
        <w:rPr>
          <w:rFonts w:ascii="Arial" w:eastAsia="EB Garamond" w:hAnsi="Arial" w:cs="Arial"/>
          <w:color w:val="000000" w:themeColor="text1"/>
        </w:rPr>
        <w:lastRenderedPageBreak/>
        <w:t>dependent variable individually. This test uses a significance level of 5% with the assumption. If the significance value exceeds 0.05 and the calculated t value is higher than the t table value, then the hypothesis is accepted. Conversely, if the significance value is below 0.05 and the calculated t value is smaller than the t table value, then the hypothesis is rejected.</w:t>
      </w:r>
    </w:p>
    <w:p w14:paraId="7845821C" w14:textId="77777777" w:rsidR="00722F4A" w:rsidRDefault="00722F4A"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722F4A" w:rsidSect="00722F4A">
          <w:type w:val="continuous"/>
          <w:pgSz w:w="11906" w:h="16838"/>
          <w:pgMar w:top="1440" w:right="1440" w:bottom="1440" w:left="1440" w:header="397" w:footer="708" w:gutter="0"/>
          <w:cols w:num="2" w:space="720"/>
        </w:sectPr>
      </w:pPr>
    </w:p>
    <w:tbl>
      <w:tblPr>
        <w:tblpPr w:leftFromText="180" w:rightFromText="180" w:vertAnchor="text" w:horzAnchor="margin" w:tblpY="62"/>
        <w:tblW w:w="498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
        <w:gridCol w:w="2529"/>
        <w:gridCol w:w="1416"/>
        <w:gridCol w:w="1560"/>
        <w:gridCol w:w="1605"/>
        <w:gridCol w:w="935"/>
        <w:gridCol w:w="938"/>
      </w:tblGrid>
      <w:tr w:rsidR="00685DB1" w:rsidRPr="0047203B" w14:paraId="6407BBD1" w14:textId="77777777" w:rsidTr="00685DB1">
        <w:trPr>
          <w:cantSplit/>
          <w:trHeight w:val="286"/>
        </w:trPr>
        <w:tc>
          <w:tcPr>
            <w:tcW w:w="5000" w:type="pct"/>
            <w:gridSpan w:val="7"/>
            <w:tcBorders>
              <w:top w:val="nil"/>
              <w:left w:val="nil"/>
              <w:bottom w:val="single" w:sz="8" w:space="0" w:color="auto"/>
              <w:right w:val="nil"/>
            </w:tcBorders>
            <w:shd w:val="clear" w:color="auto" w:fill="auto"/>
            <w:vAlign w:val="center"/>
          </w:tcPr>
          <w:p w14:paraId="7AA6E04E" w14:textId="4C9C76F3" w:rsidR="00685DB1" w:rsidRDefault="00E26C41" w:rsidP="00685DB1">
            <w:pPr>
              <w:spacing w:after="0"/>
              <w:jc w:val="center"/>
              <w:rPr>
                <w:rFonts w:ascii="Arial" w:eastAsia="EB Garamond" w:hAnsi="Arial" w:cs="Arial"/>
                <w:b/>
                <w:color w:val="000000" w:themeColor="text1"/>
                <w:lang w:val="en"/>
              </w:rPr>
            </w:pPr>
            <w:r>
              <w:rPr>
                <w:rFonts w:ascii="Arial" w:eastAsia="EB Garamond" w:hAnsi="Arial" w:cs="Arial"/>
                <w:b/>
                <w:color w:val="000000" w:themeColor="text1"/>
                <w:lang w:val="en"/>
              </w:rPr>
              <w:t>Table 9</w:t>
            </w:r>
            <w:r w:rsidR="00685DB1" w:rsidRPr="0047203B">
              <w:rPr>
                <w:rFonts w:ascii="Arial" w:eastAsia="EB Garamond" w:hAnsi="Arial" w:cs="Arial"/>
                <w:b/>
                <w:color w:val="000000" w:themeColor="text1"/>
                <w:lang w:val="en"/>
              </w:rPr>
              <w:t>.</w:t>
            </w:r>
          </w:p>
          <w:p w14:paraId="70220431" w14:textId="6EF8048C" w:rsidR="00685DB1" w:rsidRPr="0047203B" w:rsidRDefault="00685DB1" w:rsidP="00685DB1">
            <w:pPr>
              <w:spacing w:after="0"/>
              <w:jc w:val="center"/>
              <w:rPr>
                <w:rFonts w:ascii="Arial" w:eastAsia="EB Garamond" w:hAnsi="Arial" w:cs="Arial"/>
                <w:b/>
                <w:color w:val="000000" w:themeColor="text1"/>
              </w:rPr>
            </w:pPr>
            <w:r w:rsidRPr="0047203B">
              <w:rPr>
                <w:rFonts w:ascii="Arial" w:eastAsia="EB Garamond" w:hAnsi="Arial" w:cs="Arial"/>
                <w:b/>
                <w:color w:val="000000" w:themeColor="text1"/>
                <w:lang w:val="en"/>
              </w:rPr>
              <w:t>t test results</w:t>
            </w:r>
          </w:p>
        </w:tc>
      </w:tr>
      <w:tr w:rsidR="00685DB1" w:rsidRPr="0047203B" w14:paraId="4FE8FE25" w14:textId="77777777" w:rsidTr="00685DB1">
        <w:trPr>
          <w:cantSplit/>
          <w:trHeight w:val="270"/>
        </w:trPr>
        <w:tc>
          <w:tcPr>
            <w:tcW w:w="5000" w:type="pct"/>
            <w:gridSpan w:val="7"/>
            <w:tcBorders>
              <w:top w:val="single" w:sz="8" w:space="0" w:color="auto"/>
              <w:left w:val="nil"/>
              <w:bottom w:val="nil"/>
              <w:right w:val="nil"/>
            </w:tcBorders>
            <w:shd w:val="clear" w:color="auto" w:fill="auto"/>
            <w:vAlign w:val="center"/>
          </w:tcPr>
          <w:p w14:paraId="17BD300C" w14:textId="77777777" w:rsidR="00685DB1" w:rsidRPr="0047203B" w:rsidRDefault="00685DB1" w:rsidP="00685DB1">
            <w:pPr>
              <w:spacing w:after="0"/>
              <w:jc w:val="center"/>
              <w:rPr>
                <w:rFonts w:ascii="Arial" w:eastAsia="EB Garamond" w:hAnsi="Arial" w:cs="Arial"/>
                <w:b/>
                <w:bCs/>
                <w:color w:val="000000" w:themeColor="text1"/>
              </w:rPr>
            </w:pPr>
            <w:r w:rsidRPr="0047203B">
              <w:rPr>
                <w:rFonts w:ascii="Arial" w:eastAsia="EB Garamond" w:hAnsi="Arial" w:cs="Arial"/>
                <w:b/>
                <w:bCs/>
                <w:color w:val="000000" w:themeColor="text1"/>
              </w:rPr>
              <w:t>Coefficientsa</w:t>
            </w:r>
          </w:p>
        </w:tc>
      </w:tr>
      <w:tr w:rsidR="00685DB1" w:rsidRPr="0047203B" w14:paraId="21601B8A" w14:textId="77777777" w:rsidTr="00685DB1">
        <w:trPr>
          <w:cantSplit/>
          <w:trHeight w:val="556"/>
        </w:trPr>
        <w:tc>
          <w:tcPr>
            <w:tcW w:w="1417" w:type="pct"/>
            <w:gridSpan w:val="2"/>
            <w:vMerge w:val="restart"/>
            <w:tcBorders>
              <w:top w:val="single" w:sz="18" w:space="0" w:color="auto"/>
              <w:left w:val="nil"/>
              <w:bottom w:val="nil"/>
              <w:right w:val="nil"/>
            </w:tcBorders>
            <w:shd w:val="clear" w:color="auto" w:fill="auto"/>
            <w:vAlign w:val="bottom"/>
          </w:tcPr>
          <w:p w14:paraId="386ABDB7"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Model</w:t>
            </w:r>
          </w:p>
        </w:tc>
        <w:tc>
          <w:tcPr>
            <w:tcW w:w="1652" w:type="pct"/>
            <w:gridSpan w:val="2"/>
            <w:tcBorders>
              <w:top w:val="single" w:sz="18" w:space="0" w:color="auto"/>
              <w:left w:val="nil"/>
              <w:bottom w:val="nil"/>
              <w:right w:val="single" w:sz="8" w:space="0" w:color="E0E0E0"/>
            </w:tcBorders>
            <w:shd w:val="clear" w:color="auto" w:fill="auto"/>
            <w:vAlign w:val="bottom"/>
          </w:tcPr>
          <w:p w14:paraId="71FCDB03" w14:textId="77777777" w:rsidR="00685DB1" w:rsidRPr="0047203B" w:rsidRDefault="00685DB1" w:rsidP="00685DB1">
            <w:pPr>
              <w:spacing w:after="0"/>
              <w:jc w:val="center"/>
              <w:rPr>
                <w:rFonts w:ascii="Arial" w:eastAsia="EB Garamond" w:hAnsi="Arial" w:cs="Arial"/>
                <w:b/>
                <w:bCs/>
                <w:color w:val="000000" w:themeColor="text1"/>
              </w:rPr>
            </w:pPr>
            <w:r w:rsidRPr="0047203B">
              <w:rPr>
                <w:rFonts w:ascii="Arial" w:eastAsia="EB Garamond" w:hAnsi="Arial" w:cs="Arial"/>
                <w:b/>
                <w:bCs/>
                <w:color w:val="000000" w:themeColor="text1"/>
              </w:rPr>
              <w:t>Unstandardized Coefficients</w:t>
            </w:r>
          </w:p>
        </w:tc>
        <w:tc>
          <w:tcPr>
            <w:tcW w:w="891" w:type="pct"/>
            <w:tcBorders>
              <w:top w:val="single" w:sz="18" w:space="0" w:color="auto"/>
              <w:left w:val="single" w:sz="8" w:space="0" w:color="E0E0E0"/>
              <w:bottom w:val="nil"/>
              <w:right w:val="single" w:sz="8" w:space="0" w:color="E0E0E0"/>
            </w:tcBorders>
            <w:shd w:val="clear" w:color="auto" w:fill="auto"/>
            <w:vAlign w:val="bottom"/>
          </w:tcPr>
          <w:p w14:paraId="0C6AF183" w14:textId="77777777" w:rsidR="00685DB1" w:rsidRPr="0047203B" w:rsidRDefault="00685DB1" w:rsidP="00685DB1">
            <w:pPr>
              <w:spacing w:after="0"/>
              <w:jc w:val="center"/>
              <w:rPr>
                <w:rFonts w:ascii="Arial" w:eastAsia="EB Garamond" w:hAnsi="Arial" w:cs="Arial"/>
                <w:b/>
                <w:bCs/>
                <w:color w:val="000000" w:themeColor="text1"/>
              </w:rPr>
            </w:pPr>
            <w:r w:rsidRPr="0047203B">
              <w:rPr>
                <w:rFonts w:ascii="Arial" w:eastAsia="EB Garamond" w:hAnsi="Arial" w:cs="Arial"/>
                <w:b/>
                <w:bCs/>
                <w:color w:val="000000" w:themeColor="text1"/>
              </w:rPr>
              <w:t>Standardized Coefficients</w:t>
            </w:r>
          </w:p>
        </w:tc>
        <w:tc>
          <w:tcPr>
            <w:tcW w:w="519" w:type="pct"/>
            <w:vMerge w:val="restart"/>
            <w:tcBorders>
              <w:top w:val="single" w:sz="18" w:space="0" w:color="auto"/>
              <w:left w:val="single" w:sz="8" w:space="0" w:color="E0E0E0"/>
              <w:bottom w:val="nil"/>
              <w:right w:val="single" w:sz="8" w:space="0" w:color="E0E0E0"/>
            </w:tcBorders>
            <w:shd w:val="clear" w:color="auto" w:fill="auto"/>
            <w:vAlign w:val="bottom"/>
          </w:tcPr>
          <w:p w14:paraId="7DBFE5F5"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T</w:t>
            </w:r>
          </w:p>
        </w:tc>
        <w:tc>
          <w:tcPr>
            <w:tcW w:w="521" w:type="pct"/>
            <w:vMerge w:val="restart"/>
            <w:tcBorders>
              <w:top w:val="single" w:sz="18" w:space="0" w:color="auto"/>
              <w:left w:val="single" w:sz="8" w:space="0" w:color="E0E0E0"/>
              <w:bottom w:val="nil"/>
              <w:right w:val="single" w:sz="8" w:space="0" w:color="E0E0E0"/>
            </w:tcBorders>
            <w:shd w:val="clear" w:color="auto" w:fill="auto"/>
            <w:vAlign w:val="bottom"/>
          </w:tcPr>
          <w:p w14:paraId="45E5F11F"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Sig.</w:t>
            </w:r>
          </w:p>
        </w:tc>
      </w:tr>
      <w:tr w:rsidR="00685DB1" w:rsidRPr="0047203B" w14:paraId="5ECB2F11" w14:textId="77777777" w:rsidTr="00685DB1">
        <w:trPr>
          <w:cantSplit/>
          <w:trHeight w:val="146"/>
        </w:trPr>
        <w:tc>
          <w:tcPr>
            <w:tcW w:w="1417" w:type="pct"/>
            <w:gridSpan w:val="2"/>
            <w:vMerge/>
            <w:tcBorders>
              <w:top w:val="nil"/>
              <w:left w:val="nil"/>
              <w:bottom w:val="nil"/>
              <w:right w:val="nil"/>
            </w:tcBorders>
            <w:shd w:val="clear" w:color="auto" w:fill="auto"/>
            <w:vAlign w:val="bottom"/>
          </w:tcPr>
          <w:p w14:paraId="7F0D3879" w14:textId="77777777" w:rsidR="00685DB1" w:rsidRPr="0047203B" w:rsidRDefault="00685DB1" w:rsidP="00685DB1">
            <w:pPr>
              <w:spacing w:after="0"/>
              <w:jc w:val="center"/>
              <w:rPr>
                <w:rFonts w:ascii="Arial" w:eastAsia="EB Garamond" w:hAnsi="Arial" w:cs="Arial"/>
                <w:color w:val="000000" w:themeColor="text1"/>
              </w:rPr>
            </w:pPr>
          </w:p>
        </w:tc>
        <w:tc>
          <w:tcPr>
            <w:tcW w:w="786" w:type="pct"/>
            <w:tcBorders>
              <w:top w:val="nil"/>
              <w:left w:val="nil"/>
              <w:bottom w:val="single" w:sz="8" w:space="0" w:color="152935"/>
              <w:right w:val="single" w:sz="8" w:space="0" w:color="E0E0E0"/>
            </w:tcBorders>
            <w:shd w:val="clear" w:color="auto" w:fill="auto"/>
            <w:vAlign w:val="bottom"/>
          </w:tcPr>
          <w:p w14:paraId="393C74C4"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B</w:t>
            </w:r>
          </w:p>
        </w:tc>
        <w:tc>
          <w:tcPr>
            <w:tcW w:w="866" w:type="pct"/>
            <w:tcBorders>
              <w:top w:val="nil"/>
              <w:left w:val="single" w:sz="8" w:space="0" w:color="E0E0E0"/>
              <w:bottom w:val="single" w:sz="8" w:space="0" w:color="152935"/>
              <w:right w:val="single" w:sz="8" w:space="0" w:color="E0E0E0"/>
            </w:tcBorders>
            <w:shd w:val="clear" w:color="auto" w:fill="auto"/>
            <w:vAlign w:val="bottom"/>
          </w:tcPr>
          <w:p w14:paraId="5F5851F4"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Std. Error</w:t>
            </w:r>
          </w:p>
        </w:tc>
        <w:tc>
          <w:tcPr>
            <w:tcW w:w="891" w:type="pct"/>
            <w:tcBorders>
              <w:top w:val="nil"/>
              <w:left w:val="single" w:sz="8" w:space="0" w:color="E0E0E0"/>
              <w:bottom w:val="single" w:sz="8" w:space="0" w:color="152935"/>
              <w:right w:val="single" w:sz="8" w:space="0" w:color="E0E0E0"/>
            </w:tcBorders>
            <w:shd w:val="clear" w:color="auto" w:fill="auto"/>
            <w:vAlign w:val="bottom"/>
          </w:tcPr>
          <w:p w14:paraId="5A4CD3CF"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Beta</w:t>
            </w:r>
          </w:p>
        </w:tc>
        <w:tc>
          <w:tcPr>
            <w:tcW w:w="519" w:type="pct"/>
            <w:vMerge/>
            <w:tcBorders>
              <w:top w:val="nil"/>
              <w:left w:val="single" w:sz="8" w:space="0" w:color="E0E0E0"/>
              <w:bottom w:val="nil"/>
              <w:right w:val="single" w:sz="8" w:space="0" w:color="E0E0E0"/>
            </w:tcBorders>
            <w:shd w:val="clear" w:color="auto" w:fill="auto"/>
            <w:vAlign w:val="bottom"/>
          </w:tcPr>
          <w:p w14:paraId="506681B1" w14:textId="77777777" w:rsidR="00685DB1" w:rsidRPr="0047203B" w:rsidRDefault="00685DB1" w:rsidP="00685DB1">
            <w:pPr>
              <w:spacing w:after="0"/>
              <w:jc w:val="center"/>
              <w:rPr>
                <w:rFonts w:ascii="Arial" w:eastAsia="EB Garamond" w:hAnsi="Arial" w:cs="Arial"/>
                <w:color w:val="000000" w:themeColor="text1"/>
              </w:rPr>
            </w:pPr>
          </w:p>
        </w:tc>
        <w:tc>
          <w:tcPr>
            <w:tcW w:w="521" w:type="pct"/>
            <w:vMerge/>
            <w:tcBorders>
              <w:top w:val="nil"/>
              <w:left w:val="single" w:sz="8" w:space="0" w:color="E0E0E0"/>
              <w:bottom w:val="nil"/>
              <w:right w:val="single" w:sz="8" w:space="0" w:color="E0E0E0"/>
            </w:tcBorders>
            <w:shd w:val="clear" w:color="auto" w:fill="auto"/>
            <w:vAlign w:val="bottom"/>
          </w:tcPr>
          <w:p w14:paraId="078A46CF" w14:textId="77777777" w:rsidR="00685DB1" w:rsidRPr="0047203B" w:rsidRDefault="00685DB1" w:rsidP="00685DB1">
            <w:pPr>
              <w:spacing w:after="0"/>
              <w:jc w:val="center"/>
              <w:rPr>
                <w:rFonts w:ascii="Arial" w:eastAsia="EB Garamond" w:hAnsi="Arial" w:cs="Arial"/>
                <w:color w:val="000000" w:themeColor="text1"/>
              </w:rPr>
            </w:pPr>
          </w:p>
        </w:tc>
      </w:tr>
      <w:tr w:rsidR="00685DB1" w:rsidRPr="0047203B" w14:paraId="02399896" w14:textId="77777777" w:rsidTr="00685DB1">
        <w:trPr>
          <w:cantSplit/>
          <w:trHeight w:val="286"/>
        </w:trPr>
        <w:tc>
          <w:tcPr>
            <w:tcW w:w="13" w:type="pct"/>
            <w:vMerge w:val="restart"/>
            <w:tcBorders>
              <w:top w:val="single" w:sz="8" w:space="0" w:color="152935"/>
              <w:left w:val="nil"/>
              <w:bottom w:val="single" w:sz="8" w:space="0" w:color="152935"/>
              <w:right w:val="nil"/>
            </w:tcBorders>
            <w:shd w:val="clear" w:color="auto" w:fill="auto"/>
          </w:tcPr>
          <w:p w14:paraId="33D97E09" w14:textId="77777777" w:rsidR="00685DB1" w:rsidRPr="0047203B" w:rsidRDefault="00685DB1" w:rsidP="00685DB1">
            <w:pPr>
              <w:spacing w:after="0"/>
              <w:jc w:val="center"/>
              <w:rPr>
                <w:rFonts w:ascii="Arial" w:eastAsia="EB Garamond" w:hAnsi="Arial" w:cs="Arial"/>
                <w:color w:val="000000" w:themeColor="text1"/>
              </w:rPr>
            </w:pPr>
          </w:p>
        </w:tc>
        <w:tc>
          <w:tcPr>
            <w:tcW w:w="1404" w:type="pct"/>
            <w:tcBorders>
              <w:top w:val="single" w:sz="8" w:space="0" w:color="152935"/>
              <w:left w:val="nil"/>
              <w:bottom w:val="single" w:sz="8" w:space="0" w:color="AEAEAE"/>
              <w:right w:val="nil"/>
            </w:tcBorders>
            <w:shd w:val="clear" w:color="auto" w:fill="auto"/>
          </w:tcPr>
          <w:p w14:paraId="39C4F776" w14:textId="77777777" w:rsidR="00685DB1" w:rsidRPr="0047203B" w:rsidRDefault="00685DB1" w:rsidP="00685DB1">
            <w:pPr>
              <w:spacing w:after="0"/>
              <w:rPr>
                <w:rFonts w:ascii="Arial" w:eastAsia="EB Garamond" w:hAnsi="Arial" w:cs="Arial"/>
                <w:color w:val="000000" w:themeColor="text1"/>
              </w:rPr>
            </w:pPr>
            <w:r w:rsidRPr="0047203B">
              <w:rPr>
                <w:rFonts w:ascii="Arial" w:eastAsia="EB Garamond" w:hAnsi="Arial" w:cs="Arial"/>
                <w:color w:val="000000" w:themeColor="text1"/>
              </w:rPr>
              <w:t>(Constant)</w:t>
            </w:r>
          </w:p>
        </w:tc>
        <w:tc>
          <w:tcPr>
            <w:tcW w:w="786" w:type="pct"/>
            <w:tcBorders>
              <w:top w:val="single" w:sz="8" w:space="0" w:color="152935"/>
              <w:left w:val="nil"/>
              <w:bottom w:val="single" w:sz="8" w:space="0" w:color="AEAEAE"/>
              <w:right w:val="single" w:sz="8" w:space="0" w:color="E0E0E0"/>
            </w:tcBorders>
            <w:shd w:val="clear" w:color="auto" w:fill="auto"/>
            <w:vAlign w:val="center"/>
          </w:tcPr>
          <w:p w14:paraId="54563BB0"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5.663</w:t>
            </w:r>
          </w:p>
        </w:tc>
        <w:tc>
          <w:tcPr>
            <w:tcW w:w="866" w:type="pct"/>
            <w:tcBorders>
              <w:top w:val="single" w:sz="8" w:space="0" w:color="152935"/>
              <w:left w:val="single" w:sz="8" w:space="0" w:color="E0E0E0"/>
              <w:bottom w:val="single" w:sz="8" w:space="0" w:color="AEAEAE"/>
              <w:right w:val="single" w:sz="8" w:space="0" w:color="E0E0E0"/>
            </w:tcBorders>
            <w:shd w:val="clear" w:color="auto" w:fill="auto"/>
            <w:vAlign w:val="center"/>
          </w:tcPr>
          <w:p w14:paraId="0B3CB644"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2.410</w:t>
            </w:r>
          </w:p>
        </w:tc>
        <w:tc>
          <w:tcPr>
            <w:tcW w:w="891" w:type="pct"/>
            <w:tcBorders>
              <w:top w:val="single" w:sz="8" w:space="0" w:color="152935"/>
              <w:left w:val="single" w:sz="8" w:space="0" w:color="E0E0E0"/>
              <w:bottom w:val="single" w:sz="8" w:space="0" w:color="AEAEAE"/>
              <w:right w:val="single" w:sz="8" w:space="0" w:color="E0E0E0"/>
            </w:tcBorders>
            <w:shd w:val="clear" w:color="auto" w:fill="auto"/>
            <w:vAlign w:val="center"/>
          </w:tcPr>
          <w:p w14:paraId="332914B0" w14:textId="77777777" w:rsidR="00685DB1" w:rsidRPr="0047203B" w:rsidRDefault="00685DB1" w:rsidP="00685DB1">
            <w:pPr>
              <w:spacing w:after="0"/>
              <w:jc w:val="center"/>
              <w:rPr>
                <w:rFonts w:ascii="Arial" w:eastAsia="EB Garamond" w:hAnsi="Arial" w:cs="Arial"/>
                <w:color w:val="000000" w:themeColor="text1"/>
              </w:rPr>
            </w:pPr>
          </w:p>
        </w:tc>
        <w:tc>
          <w:tcPr>
            <w:tcW w:w="519" w:type="pct"/>
            <w:tcBorders>
              <w:top w:val="single" w:sz="8" w:space="0" w:color="152935"/>
              <w:left w:val="single" w:sz="8" w:space="0" w:color="E0E0E0"/>
              <w:bottom w:val="single" w:sz="8" w:space="0" w:color="AEAEAE"/>
              <w:right w:val="single" w:sz="8" w:space="0" w:color="E0E0E0"/>
            </w:tcBorders>
            <w:shd w:val="clear" w:color="auto" w:fill="auto"/>
            <w:vAlign w:val="center"/>
          </w:tcPr>
          <w:p w14:paraId="4A0B7070"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2.349</w:t>
            </w:r>
          </w:p>
        </w:tc>
        <w:tc>
          <w:tcPr>
            <w:tcW w:w="521" w:type="pct"/>
            <w:tcBorders>
              <w:top w:val="single" w:sz="8" w:space="0" w:color="152935"/>
              <w:left w:val="single" w:sz="8" w:space="0" w:color="E0E0E0"/>
              <w:bottom w:val="single" w:sz="8" w:space="0" w:color="AEAEAE"/>
              <w:right w:val="single" w:sz="8" w:space="0" w:color="E0E0E0"/>
            </w:tcBorders>
            <w:shd w:val="clear" w:color="auto" w:fill="auto"/>
            <w:vAlign w:val="center"/>
          </w:tcPr>
          <w:p w14:paraId="33E563FC"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.022</w:t>
            </w:r>
          </w:p>
        </w:tc>
      </w:tr>
      <w:tr w:rsidR="00685DB1" w:rsidRPr="0047203B" w14:paraId="23D41FA5" w14:textId="77777777" w:rsidTr="00685DB1">
        <w:trPr>
          <w:cantSplit/>
          <w:trHeight w:val="218"/>
        </w:trPr>
        <w:tc>
          <w:tcPr>
            <w:tcW w:w="13" w:type="pct"/>
            <w:vMerge/>
            <w:tcBorders>
              <w:top w:val="single" w:sz="8" w:space="0" w:color="152935"/>
              <w:left w:val="nil"/>
              <w:bottom w:val="single" w:sz="8" w:space="0" w:color="152935"/>
              <w:right w:val="nil"/>
            </w:tcBorders>
            <w:shd w:val="clear" w:color="auto" w:fill="auto"/>
          </w:tcPr>
          <w:p w14:paraId="769F6464" w14:textId="77777777" w:rsidR="00685DB1" w:rsidRPr="0047203B" w:rsidRDefault="00685DB1" w:rsidP="00685DB1">
            <w:pPr>
              <w:spacing w:after="0"/>
              <w:jc w:val="center"/>
              <w:rPr>
                <w:rFonts w:ascii="Arial" w:eastAsia="EB Garamond" w:hAnsi="Arial" w:cs="Arial"/>
                <w:color w:val="000000" w:themeColor="text1"/>
              </w:rPr>
            </w:pPr>
          </w:p>
        </w:tc>
        <w:tc>
          <w:tcPr>
            <w:tcW w:w="1404" w:type="pct"/>
            <w:tcBorders>
              <w:top w:val="single" w:sz="8" w:space="0" w:color="AEAEAE"/>
              <w:left w:val="nil"/>
              <w:bottom w:val="single" w:sz="8" w:space="0" w:color="AEAEAE"/>
              <w:right w:val="nil"/>
            </w:tcBorders>
            <w:shd w:val="clear" w:color="auto" w:fill="auto"/>
          </w:tcPr>
          <w:p w14:paraId="5BDB4F7B" w14:textId="77777777" w:rsidR="00685DB1" w:rsidRPr="0047203B" w:rsidRDefault="00685DB1" w:rsidP="00685DB1">
            <w:pPr>
              <w:spacing w:after="0"/>
              <w:rPr>
                <w:rFonts w:ascii="Arial" w:eastAsia="EB Garamond" w:hAnsi="Arial" w:cs="Arial"/>
                <w:color w:val="000000" w:themeColor="text1"/>
              </w:rPr>
            </w:pPr>
            <w:r w:rsidRPr="0047203B">
              <w:rPr>
                <w:rStyle w:val="y2iqfc"/>
                <w:rFonts w:ascii="Arial" w:hAnsi="Arial" w:cs="Arial"/>
                <w:color w:val="000000" w:themeColor="text1"/>
                <w:lang w:val="en"/>
              </w:rPr>
              <w:t>Financial Literacy</w:t>
            </w:r>
          </w:p>
        </w:tc>
        <w:tc>
          <w:tcPr>
            <w:tcW w:w="786" w:type="pct"/>
            <w:tcBorders>
              <w:top w:val="single" w:sz="8" w:space="0" w:color="AEAEAE"/>
              <w:left w:val="nil"/>
              <w:bottom w:val="single" w:sz="8" w:space="0" w:color="AEAEAE"/>
              <w:right w:val="single" w:sz="8" w:space="0" w:color="E0E0E0"/>
            </w:tcBorders>
            <w:shd w:val="clear" w:color="auto" w:fill="auto"/>
            <w:vAlign w:val="center"/>
          </w:tcPr>
          <w:p w14:paraId="07851BE5"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-.103</w:t>
            </w:r>
          </w:p>
        </w:tc>
        <w:tc>
          <w:tcPr>
            <w:tcW w:w="866" w:type="pct"/>
            <w:tcBorders>
              <w:top w:val="single" w:sz="8" w:space="0" w:color="AEAEAE"/>
              <w:left w:val="single" w:sz="8" w:space="0" w:color="E0E0E0"/>
              <w:bottom w:val="single" w:sz="8" w:space="0" w:color="AEAEAE"/>
              <w:right w:val="single" w:sz="8" w:space="0" w:color="E0E0E0"/>
            </w:tcBorders>
            <w:shd w:val="clear" w:color="auto" w:fill="auto"/>
            <w:vAlign w:val="center"/>
          </w:tcPr>
          <w:p w14:paraId="188BDD7C"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.188</w:t>
            </w:r>
          </w:p>
        </w:tc>
        <w:tc>
          <w:tcPr>
            <w:tcW w:w="89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48BCA7DA"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-.077</w:t>
            </w:r>
          </w:p>
        </w:tc>
        <w:tc>
          <w:tcPr>
            <w:tcW w:w="519" w:type="pct"/>
            <w:tcBorders>
              <w:top w:val="single" w:sz="8" w:space="0" w:color="AEAEAE"/>
              <w:left w:val="single" w:sz="8" w:space="0" w:color="E0E0E0"/>
              <w:bottom w:val="single" w:sz="8" w:space="0" w:color="AEAEAE"/>
              <w:right w:val="single" w:sz="8" w:space="0" w:color="E0E0E0"/>
            </w:tcBorders>
            <w:shd w:val="clear" w:color="auto" w:fill="auto"/>
            <w:vAlign w:val="center"/>
          </w:tcPr>
          <w:p w14:paraId="08802CD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-.546</w:t>
            </w:r>
          </w:p>
        </w:tc>
        <w:tc>
          <w:tcPr>
            <w:tcW w:w="52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3844008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.587</w:t>
            </w:r>
          </w:p>
        </w:tc>
      </w:tr>
      <w:tr w:rsidR="00685DB1" w:rsidRPr="0047203B" w14:paraId="65879643" w14:textId="77777777" w:rsidTr="00685DB1">
        <w:trPr>
          <w:cantSplit/>
          <w:trHeight w:val="301"/>
        </w:trPr>
        <w:tc>
          <w:tcPr>
            <w:tcW w:w="13" w:type="pct"/>
            <w:vMerge/>
            <w:tcBorders>
              <w:top w:val="single" w:sz="8" w:space="0" w:color="152935"/>
              <w:left w:val="nil"/>
              <w:bottom w:val="single" w:sz="8" w:space="0" w:color="152935"/>
              <w:right w:val="nil"/>
            </w:tcBorders>
            <w:shd w:val="clear" w:color="auto" w:fill="auto"/>
          </w:tcPr>
          <w:p w14:paraId="1BCEBB0F" w14:textId="77777777" w:rsidR="00685DB1" w:rsidRPr="0047203B" w:rsidRDefault="00685DB1" w:rsidP="00685DB1">
            <w:pPr>
              <w:spacing w:after="0"/>
              <w:jc w:val="center"/>
              <w:rPr>
                <w:rFonts w:ascii="Arial" w:eastAsia="EB Garamond" w:hAnsi="Arial" w:cs="Arial"/>
                <w:color w:val="000000" w:themeColor="text1"/>
              </w:rPr>
            </w:pPr>
          </w:p>
        </w:tc>
        <w:tc>
          <w:tcPr>
            <w:tcW w:w="1404" w:type="pct"/>
            <w:tcBorders>
              <w:top w:val="single" w:sz="8" w:space="0" w:color="AEAEAE"/>
              <w:left w:val="nil"/>
              <w:bottom w:val="single" w:sz="8" w:space="0" w:color="AEAEAE"/>
              <w:right w:val="nil"/>
            </w:tcBorders>
            <w:shd w:val="clear" w:color="auto" w:fill="auto"/>
          </w:tcPr>
          <w:p w14:paraId="64EAF82D" w14:textId="77777777" w:rsidR="00685DB1" w:rsidRPr="0047203B" w:rsidRDefault="00685DB1" w:rsidP="00685DB1">
            <w:pPr>
              <w:spacing w:after="0"/>
              <w:rPr>
                <w:rFonts w:ascii="Arial" w:eastAsia="EB Garamond" w:hAnsi="Arial" w:cs="Arial"/>
                <w:color w:val="000000" w:themeColor="text1"/>
              </w:rPr>
            </w:pPr>
            <w:r w:rsidRPr="0047203B">
              <w:rPr>
                <w:rStyle w:val="y2iqfc"/>
                <w:rFonts w:ascii="Arial" w:hAnsi="Arial" w:cs="Arial"/>
                <w:color w:val="000000" w:themeColor="text1"/>
                <w:lang w:val="en"/>
              </w:rPr>
              <w:t>Infrastructure</w:t>
            </w:r>
          </w:p>
        </w:tc>
        <w:tc>
          <w:tcPr>
            <w:tcW w:w="786" w:type="pct"/>
            <w:tcBorders>
              <w:top w:val="single" w:sz="8" w:space="0" w:color="AEAEAE"/>
              <w:left w:val="nil"/>
              <w:bottom w:val="single" w:sz="8" w:space="0" w:color="AEAEAE"/>
              <w:right w:val="single" w:sz="8" w:space="0" w:color="E0E0E0"/>
            </w:tcBorders>
            <w:shd w:val="clear" w:color="auto" w:fill="auto"/>
            <w:vAlign w:val="center"/>
          </w:tcPr>
          <w:p w14:paraId="253FCC5D"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-.139</w:t>
            </w:r>
          </w:p>
        </w:tc>
        <w:tc>
          <w:tcPr>
            <w:tcW w:w="866" w:type="pct"/>
            <w:tcBorders>
              <w:top w:val="single" w:sz="8" w:space="0" w:color="AEAEAE"/>
              <w:left w:val="single" w:sz="8" w:space="0" w:color="E0E0E0"/>
              <w:bottom w:val="single" w:sz="8" w:space="0" w:color="AEAEAE"/>
              <w:right w:val="single" w:sz="8" w:space="0" w:color="E0E0E0"/>
            </w:tcBorders>
            <w:shd w:val="clear" w:color="auto" w:fill="auto"/>
            <w:vAlign w:val="center"/>
          </w:tcPr>
          <w:p w14:paraId="1B8FC27C"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.134</w:t>
            </w:r>
          </w:p>
        </w:tc>
        <w:tc>
          <w:tcPr>
            <w:tcW w:w="89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7524D973"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-.142</w:t>
            </w:r>
          </w:p>
        </w:tc>
        <w:tc>
          <w:tcPr>
            <w:tcW w:w="519" w:type="pct"/>
            <w:tcBorders>
              <w:top w:val="single" w:sz="8" w:space="0" w:color="AEAEAE"/>
              <w:left w:val="single" w:sz="8" w:space="0" w:color="E0E0E0"/>
              <w:bottom w:val="single" w:sz="8" w:space="0" w:color="AEAEAE"/>
              <w:right w:val="single" w:sz="8" w:space="0" w:color="E0E0E0"/>
            </w:tcBorders>
            <w:shd w:val="clear" w:color="auto" w:fill="auto"/>
            <w:vAlign w:val="center"/>
          </w:tcPr>
          <w:p w14:paraId="21B6F8C8"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-1.032</w:t>
            </w:r>
          </w:p>
        </w:tc>
        <w:tc>
          <w:tcPr>
            <w:tcW w:w="52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0372C8A2"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.307</w:t>
            </w:r>
          </w:p>
        </w:tc>
      </w:tr>
      <w:tr w:rsidR="00685DB1" w:rsidRPr="0047203B" w14:paraId="021635CE" w14:textId="77777777" w:rsidTr="00685DB1">
        <w:trPr>
          <w:cantSplit/>
          <w:trHeight w:val="301"/>
        </w:trPr>
        <w:tc>
          <w:tcPr>
            <w:tcW w:w="13" w:type="pct"/>
            <w:vMerge/>
            <w:tcBorders>
              <w:top w:val="single" w:sz="8" w:space="0" w:color="152935"/>
              <w:left w:val="nil"/>
              <w:bottom w:val="single" w:sz="8" w:space="0" w:color="152935"/>
              <w:right w:val="nil"/>
            </w:tcBorders>
            <w:shd w:val="clear" w:color="auto" w:fill="auto"/>
          </w:tcPr>
          <w:p w14:paraId="1D9C7703" w14:textId="77777777" w:rsidR="00685DB1" w:rsidRPr="0047203B" w:rsidRDefault="00685DB1" w:rsidP="00685DB1">
            <w:pPr>
              <w:spacing w:after="0"/>
              <w:jc w:val="center"/>
              <w:rPr>
                <w:rFonts w:ascii="Arial" w:eastAsia="EB Garamond" w:hAnsi="Arial" w:cs="Arial"/>
                <w:color w:val="000000" w:themeColor="text1"/>
              </w:rPr>
            </w:pPr>
          </w:p>
        </w:tc>
        <w:tc>
          <w:tcPr>
            <w:tcW w:w="1404" w:type="pct"/>
            <w:tcBorders>
              <w:top w:val="single" w:sz="8" w:space="0" w:color="AEAEAE"/>
              <w:left w:val="nil"/>
              <w:bottom w:val="single" w:sz="8" w:space="0" w:color="AEAEAE"/>
              <w:right w:val="nil"/>
            </w:tcBorders>
            <w:shd w:val="clear" w:color="auto" w:fill="auto"/>
          </w:tcPr>
          <w:p w14:paraId="168E6C6F" w14:textId="77777777" w:rsidR="00685DB1" w:rsidRPr="0047203B" w:rsidRDefault="00685DB1" w:rsidP="00685DB1">
            <w:pPr>
              <w:spacing w:after="0"/>
              <w:rPr>
                <w:rFonts w:ascii="Arial" w:eastAsia="EB Garamond" w:hAnsi="Arial" w:cs="Arial"/>
                <w:color w:val="000000" w:themeColor="text1"/>
              </w:rPr>
            </w:pPr>
            <w:r w:rsidRPr="0047203B">
              <w:rPr>
                <w:rStyle w:val="y2iqfc"/>
                <w:rFonts w:ascii="Arial" w:hAnsi="Arial" w:cs="Arial"/>
                <w:color w:val="000000" w:themeColor="text1"/>
                <w:lang w:val="en"/>
              </w:rPr>
              <w:t>Security</w:t>
            </w:r>
          </w:p>
        </w:tc>
        <w:tc>
          <w:tcPr>
            <w:tcW w:w="786" w:type="pct"/>
            <w:tcBorders>
              <w:top w:val="single" w:sz="8" w:space="0" w:color="AEAEAE"/>
              <w:left w:val="nil"/>
              <w:bottom w:val="single" w:sz="8" w:space="0" w:color="AEAEAE"/>
              <w:right w:val="single" w:sz="8" w:space="0" w:color="E0E0E0"/>
            </w:tcBorders>
            <w:shd w:val="clear" w:color="auto" w:fill="auto"/>
            <w:vAlign w:val="center"/>
          </w:tcPr>
          <w:p w14:paraId="70E29698"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.654</w:t>
            </w:r>
          </w:p>
        </w:tc>
        <w:tc>
          <w:tcPr>
            <w:tcW w:w="866" w:type="pct"/>
            <w:tcBorders>
              <w:top w:val="single" w:sz="8" w:space="0" w:color="AEAEAE"/>
              <w:left w:val="single" w:sz="8" w:space="0" w:color="E0E0E0"/>
              <w:bottom w:val="single" w:sz="8" w:space="0" w:color="AEAEAE"/>
              <w:right w:val="single" w:sz="8" w:space="0" w:color="E0E0E0"/>
            </w:tcBorders>
            <w:shd w:val="clear" w:color="auto" w:fill="auto"/>
            <w:vAlign w:val="center"/>
          </w:tcPr>
          <w:p w14:paraId="3FB82EDE"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.137</w:t>
            </w:r>
          </w:p>
        </w:tc>
        <w:tc>
          <w:tcPr>
            <w:tcW w:w="89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17EAD8D6"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.731</w:t>
            </w:r>
          </w:p>
        </w:tc>
        <w:tc>
          <w:tcPr>
            <w:tcW w:w="519" w:type="pct"/>
            <w:tcBorders>
              <w:top w:val="single" w:sz="8" w:space="0" w:color="AEAEAE"/>
              <w:left w:val="single" w:sz="8" w:space="0" w:color="E0E0E0"/>
              <w:bottom w:val="single" w:sz="8" w:space="0" w:color="AEAEAE"/>
              <w:right w:val="single" w:sz="8" w:space="0" w:color="E0E0E0"/>
            </w:tcBorders>
            <w:shd w:val="clear" w:color="auto" w:fill="auto"/>
            <w:vAlign w:val="center"/>
          </w:tcPr>
          <w:p w14:paraId="278D4995"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4.777</w:t>
            </w:r>
          </w:p>
        </w:tc>
        <w:tc>
          <w:tcPr>
            <w:tcW w:w="52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724CA9AD"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.000</w:t>
            </w:r>
          </w:p>
        </w:tc>
      </w:tr>
      <w:tr w:rsidR="00685DB1" w:rsidRPr="0047203B" w14:paraId="1EA82919" w14:textId="77777777" w:rsidTr="00685DB1">
        <w:trPr>
          <w:cantSplit/>
          <w:trHeight w:val="63"/>
        </w:trPr>
        <w:tc>
          <w:tcPr>
            <w:tcW w:w="13" w:type="pct"/>
            <w:vMerge/>
            <w:tcBorders>
              <w:top w:val="single" w:sz="8" w:space="0" w:color="152935"/>
              <w:left w:val="nil"/>
              <w:bottom w:val="single" w:sz="8" w:space="0" w:color="152935"/>
              <w:right w:val="nil"/>
            </w:tcBorders>
            <w:shd w:val="clear" w:color="auto" w:fill="auto"/>
          </w:tcPr>
          <w:p w14:paraId="291ADF27" w14:textId="77777777" w:rsidR="00685DB1" w:rsidRPr="0047203B" w:rsidRDefault="00685DB1" w:rsidP="00685DB1">
            <w:pPr>
              <w:spacing w:after="0"/>
              <w:jc w:val="center"/>
              <w:rPr>
                <w:rFonts w:ascii="Arial" w:eastAsia="EB Garamond" w:hAnsi="Arial" w:cs="Arial"/>
                <w:color w:val="000000" w:themeColor="text1"/>
              </w:rPr>
            </w:pPr>
          </w:p>
        </w:tc>
        <w:tc>
          <w:tcPr>
            <w:tcW w:w="1404" w:type="pct"/>
            <w:tcBorders>
              <w:top w:val="single" w:sz="8" w:space="0" w:color="AEAEAE"/>
              <w:left w:val="nil"/>
              <w:bottom w:val="single" w:sz="8" w:space="0" w:color="AEAEAE"/>
              <w:right w:val="nil"/>
            </w:tcBorders>
            <w:shd w:val="clear" w:color="auto" w:fill="auto"/>
          </w:tcPr>
          <w:p w14:paraId="06EFA14F" w14:textId="77777777" w:rsidR="00685DB1" w:rsidRPr="0047203B" w:rsidRDefault="00685DB1" w:rsidP="00685DB1">
            <w:pPr>
              <w:spacing w:after="0"/>
              <w:rPr>
                <w:rFonts w:ascii="Arial" w:eastAsia="EB Garamond" w:hAnsi="Arial" w:cs="Arial"/>
                <w:color w:val="000000" w:themeColor="text1"/>
              </w:rPr>
            </w:pPr>
            <w:r w:rsidRPr="0047203B">
              <w:rPr>
                <w:rStyle w:val="y2iqfc"/>
                <w:rFonts w:ascii="Arial" w:hAnsi="Arial" w:cs="Arial"/>
                <w:color w:val="000000" w:themeColor="text1"/>
                <w:lang w:val="en"/>
              </w:rPr>
              <w:t>User Experience</w:t>
            </w:r>
          </w:p>
        </w:tc>
        <w:tc>
          <w:tcPr>
            <w:tcW w:w="786" w:type="pct"/>
            <w:tcBorders>
              <w:top w:val="single" w:sz="8" w:space="0" w:color="AEAEAE"/>
              <w:left w:val="nil"/>
              <w:bottom w:val="single" w:sz="8" w:space="0" w:color="AEAEAE"/>
              <w:right w:val="single" w:sz="8" w:space="0" w:color="E0E0E0"/>
            </w:tcBorders>
            <w:shd w:val="clear" w:color="auto" w:fill="auto"/>
            <w:vAlign w:val="center"/>
          </w:tcPr>
          <w:p w14:paraId="320BF86A"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-.146</w:t>
            </w:r>
          </w:p>
        </w:tc>
        <w:tc>
          <w:tcPr>
            <w:tcW w:w="866" w:type="pct"/>
            <w:tcBorders>
              <w:top w:val="single" w:sz="8" w:space="0" w:color="AEAEAE"/>
              <w:left w:val="single" w:sz="8" w:space="0" w:color="E0E0E0"/>
              <w:bottom w:val="single" w:sz="8" w:space="0" w:color="AEAEAE"/>
              <w:right w:val="single" w:sz="8" w:space="0" w:color="E0E0E0"/>
            </w:tcBorders>
            <w:shd w:val="clear" w:color="auto" w:fill="auto"/>
            <w:vAlign w:val="center"/>
          </w:tcPr>
          <w:p w14:paraId="1045D480"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.151</w:t>
            </w:r>
          </w:p>
        </w:tc>
        <w:tc>
          <w:tcPr>
            <w:tcW w:w="89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61F5EBBE"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-.139</w:t>
            </w:r>
          </w:p>
        </w:tc>
        <w:tc>
          <w:tcPr>
            <w:tcW w:w="519" w:type="pct"/>
            <w:tcBorders>
              <w:top w:val="single" w:sz="8" w:space="0" w:color="AEAEAE"/>
              <w:left w:val="single" w:sz="8" w:space="0" w:color="E0E0E0"/>
              <w:bottom w:val="single" w:sz="8" w:space="0" w:color="AEAEAE"/>
              <w:right w:val="single" w:sz="8" w:space="0" w:color="E0E0E0"/>
            </w:tcBorders>
            <w:shd w:val="clear" w:color="auto" w:fill="auto"/>
            <w:vAlign w:val="center"/>
          </w:tcPr>
          <w:p w14:paraId="3261CF89"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-.962</w:t>
            </w:r>
          </w:p>
        </w:tc>
        <w:tc>
          <w:tcPr>
            <w:tcW w:w="521" w:type="pct"/>
            <w:tcBorders>
              <w:top w:val="single" w:sz="8" w:space="0" w:color="AEAEAE"/>
              <w:left w:val="single" w:sz="8" w:space="0" w:color="E0E0E0"/>
              <w:bottom w:val="single" w:sz="8" w:space="0" w:color="AEAEAE"/>
              <w:right w:val="single" w:sz="8" w:space="0" w:color="E0E0E0"/>
            </w:tcBorders>
            <w:shd w:val="clear" w:color="auto" w:fill="auto"/>
            <w:vAlign w:val="center"/>
          </w:tcPr>
          <w:p w14:paraId="6D6389BE"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.340</w:t>
            </w:r>
          </w:p>
        </w:tc>
      </w:tr>
      <w:tr w:rsidR="00685DB1" w:rsidRPr="0047203B" w14:paraId="473F60D6" w14:textId="77777777" w:rsidTr="00685DB1">
        <w:trPr>
          <w:cantSplit/>
          <w:trHeight w:val="108"/>
        </w:trPr>
        <w:tc>
          <w:tcPr>
            <w:tcW w:w="13" w:type="pct"/>
            <w:vMerge/>
            <w:tcBorders>
              <w:top w:val="single" w:sz="8" w:space="0" w:color="152935"/>
              <w:left w:val="nil"/>
              <w:bottom w:val="single" w:sz="8" w:space="0" w:color="152935"/>
              <w:right w:val="nil"/>
            </w:tcBorders>
            <w:shd w:val="clear" w:color="auto" w:fill="auto"/>
          </w:tcPr>
          <w:p w14:paraId="343D6D4A" w14:textId="77777777" w:rsidR="00685DB1" w:rsidRPr="0047203B" w:rsidRDefault="00685DB1" w:rsidP="00685DB1">
            <w:pPr>
              <w:spacing w:after="0"/>
              <w:jc w:val="center"/>
              <w:rPr>
                <w:rFonts w:ascii="Arial" w:eastAsia="EB Garamond" w:hAnsi="Arial" w:cs="Arial"/>
                <w:color w:val="000000" w:themeColor="text1"/>
              </w:rPr>
            </w:pPr>
          </w:p>
        </w:tc>
        <w:tc>
          <w:tcPr>
            <w:tcW w:w="1404" w:type="pct"/>
            <w:tcBorders>
              <w:top w:val="single" w:sz="8" w:space="0" w:color="AEAEAE"/>
              <w:left w:val="nil"/>
              <w:bottom w:val="single" w:sz="8" w:space="0" w:color="152935"/>
              <w:right w:val="nil"/>
            </w:tcBorders>
            <w:shd w:val="clear" w:color="auto" w:fill="auto"/>
          </w:tcPr>
          <w:p w14:paraId="3396751E" w14:textId="77777777" w:rsidR="00685DB1" w:rsidRPr="0047203B" w:rsidRDefault="00685DB1" w:rsidP="00685DB1">
            <w:pPr>
              <w:spacing w:after="0"/>
              <w:rPr>
                <w:rFonts w:ascii="Arial" w:eastAsia="EB Garamond" w:hAnsi="Arial" w:cs="Arial"/>
                <w:color w:val="000000" w:themeColor="text1"/>
              </w:rPr>
            </w:pPr>
            <w:r w:rsidRPr="0047203B">
              <w:rPr>
                <w:rStyle w:val="y2iqfc"/>
                <w:rFonts w:ascii="Arial" w:hAnsi="Arial" w:cs="Arial"/>
                <w:color w:val="000000" w:themeColor="text1"/>
                <w:lang w:val="en"/>
              </w:rPr>
              <w:t>Advantages and Benefits</w:t>
            </w:r>
          </w:p>
        </w:tc>
        <w:tc>
          <w:tcPr>
            <w:tcW w:w="786" w:type="pct"/>
            <w:tcBorders>
              <w:top w:val="single" w:sz="8" w:space="0" w:color="AEAEAE"/>
              <w:left w:val="nil"/>
              <w:bottom w:val="single" w:sz="8" w:space="0" w:color="152935"/>
              <w:right w:val="single" w:sz="8" w:space="0" w:color="E0E0E0"/>
            </w:tcBorders>
            <w:shd w:val="clear" w:color="auto" w:fill="auto"/>
            <w:vAlign w:val="center"/>
          </w:tcPr>
          <w:p w14:paraId="2E17D372"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.428</w:t>
            </w:r>
          </w:p>
        </w:tc>
        <w:tc>
          <w:tcPr>
            <w:tcW w:w="866" w:type="pct"/>
            <w:tcBorders>
              <w:top w:val="single" w:sz="8" w:space="0" w:color="AEAEAE"/>
              <w:left w:val="single" w:sz="8" w:space="0" w:color="E0E0E0"/>
              <w:bottom w:val="single" w:sz="8" w:space="0" w:color="152935"/>
              <w:right w:val="single" w:sz="8" w:space="0" w:color="E0E0E0"/>
            </w:tcBorders>
            <w:shd w:val="clear" w:color="auto" w:fill="auto"/>
            <w:vAlign w:val="center"/>
          </w:tcPr>
          <w:p w14:paraId="63178432"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.139</w:t>
            </w:r>
          </w:p>
        </w:tc>
        <w:tc>
          <w:tcPr>
            <w:tcW w:w="891" w:type="pct"/>
            <w:tcBorders>
              <w:top w:val="single" w:sz="8" w:space="0" w:color="AEAEAE"/>
              <w:left w:val="single" w:sz="8" w:space="0" w:color="E0E0E0"/>
              <w:bottom w:val="single" w:sz="8" w:space="0" w:color="152935"/>
              <w:right w:val="single" w:sz="8" w:space="0" w:color="E0E0E0"/>
            </w:tcBorders>
            <w:shd w:val="clear" w:color="auto" w:fill="auto"/>
            <w:vAlign w:val="center"/>
          </w:tcPr>
          <w:p w14:paraId="18374C75"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.392</w:t>
            </w:r>
          </w:p>
        </w:tc>
        <w:tc>
          <w:tcPr>
            <w:tcW w:w="519" w:type="pct"/>
            <w:tcBorders>
              <w:top w:val="single" w:sz="8" w:space="0" w:color="AEAEAE"/>
              <w:left w:val="single" w:sz="8" w:space="0" w:color="E0E0E0"/>
              <w:bottom w:val="single" w:sz="8" w:space="0" w:color="152935"/>
              <w:right w:val="single" w:sz="8" w:space="0" w:color="E0E0E0"/>
            </w:tcBorders>
            <w:shd w:val="clear" w:color="auto" w:fill="auto"/>
            <w:vAlign w:val="center"/>
          </w:tcPr>
          <w:p w14:paraId="1C7CD343"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3.084</w:t>
            </w:r>
          </w:p>
        </w:tc>
        <w:tc>
          <w:tcPr>
            <w:tcW w:w="521" w:type="pct"/>
            <w:tcBorders>
              <w:top w:val="single" w:sz="8" w:space="0" w:color="AEAEAE"/>
              <w:left w:val="single" w:sz="8" w:space="0" w:color="E0E0E0"/>
              <w:bottom w:val="single" w:sz="8" w:space="0" w:color="152935"/>
              <w:right w:val="single" w:sz="8" w:space="0" w:color="E0E0E0"/>
            </w:tcBorders>
            <w:shd w:val="clear" w:color="auto" w:fill="auto"/>
            <w:vAlign w:val="center"/>
          </w:tcPr>
          <w:p w14:paraId="7BC17200"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.003</w:t>
            </w:r>
          </w:p>
        </w:tc>
      </w:tr>
      <w:tr w:rsidR="00685DB1" w:rsidRPr="0047203B" w14:paraId="00719F60" w14:textId="77777777" w:rsidTr="00685DB1">
        <w:trPr>
          <w:cantSplit/>
          <w:trHeight w:val="286"/>
        </w:trPr>
        <w:tc>
          <w:tcPr>
            <w:tcW w:w="5000" w:type="pct"/>
            <w:gridSpan w:val="7"/>
            <w:tcBorders>
              <w:top w:val="single" w:sz="8" w:space="0" w:color="152935"/>
              <w:left w:val="nil"/>
              <w:bottom w:val="nil"/>
              <w:right w:val="nil"/>
            </w:tcBorders>
            <w:shd w:val="clear" w:color="auto" w:fill="auto"/>
          </w:tcPr>
          <w:p w14:paraId="650C27EF" w14:textId="77777777" w:rsidR="00685DB1" w:rsidRDefault="00685DB1" w:rsidP="00685DB1">
            <w:pPr>
              <w:spacing w:after="0"/>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6572CEBA" w14:textId="77777777" w:rsidR="00D80613" w:rsidRPr="0047203B" w:rsidRDefault="00D80613" w:rsidP="00685DB1">
            <w:pPr>
              <w:spacing w:after="0"/>
              <w:rPr>
                <w:rFonts w:ascii="Arial" w:eastAsia="EB Garamond" w:hAnsi="Arial" w:cs="Arial"/>
                <w:bCs/>
                <w:color w:val="000000" w:themeColor="text1"/>
              </w:rPr>
            </w:pPr>
          </w:p>
        </w:tc>
      </w:tr>
    </w:tbl>
    <w:p w14:paraId="52CBC607" w14:textId="77777777" w:rsidR="00685DB1" w:rsidRDefault="00685DB1"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685DB1">
          <w:type w:val="continuous"/>
          <w:pgSz w:w="11906" w:h="16838"/>
          <w:pgMar w:top="1440" w:right="1440" w:bottom="1440" w:left="1440" w:header="397" w:footer="708" w:gutter="0"/>
          <w:cols w:space="720"/>
        </w:sectPr>
      </w:pPr>
    </w:p>
    <w:p w14:paraId="24C4EA50" w14:textId="21FBC546" w:rsidR="00DE5933" w:rsidRPr="0047203B" w:rsidRDefault="00DE5933"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H1 Financial Literacy (X1)</w:t>
      </w:r>
    </w:p>
    <w:p w14:paraId="772E85B8" w14:textId="64775F33" w:rsidR="007A0D86" w:rsidRPr="0047203B" w:rsidRDefault="00DE5933"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According to the results of the t-test, the Financial Literacy variable (X1) shows a calculated t value of -0.546 and a t table of 2.005. This indicates that the calculated t is smaller than the t table (-0.546</w:t>
      </w:r>
      <w:r w:rsidR="00B069B4" w:rsidRPr="0047203B">
        <w:rPr>
          <w:rFonts w:ascii="Arial" w:eastAsia="EB Garamond" w:hAnsi="Arial" w:cs="Arial"/>
          <w:color w:val="000000" w:themeColor="text1"/>
        </w:rPr>
        <w:t xml:space="preserve"> &lt;</w:t>
      </w:r>
      <w:r w:rsidRPr="0047203B">
        <w:rPr>
          <w:rFonts w:ascii="Arial" w:eastAsia="EB Garamond" w:hAnsi="Arial" w:cs="Arial"/>
          <w:color w:val="000000" w:themeColor="text1"/>
        </w:rPr>
        <w:t xml:space="preserve"> 2.005) and the significance value of 0.587 is greater than 0.05. Therefore, the results of the analysis show that people’s interest in using e-banking is not significantly influenced by the</w:t>
      </w:r>
      <w:r w:rsidR="00791AD4" w:rsidRPr="0047203B">
        <w:rPr>
          <w:rFonts w:ascii="Arial" w:eastAsia="EB Garamond" w:hAnsi="Arial" w:cs="Arial"/>
          <w:color w:val="000000" w:themeColor="text1"/>
        </w:rPr>
        <w:t>ir level of financial literacy.</w:t>
      </w:r>
    </w:p>
    <w:p w14:paraId="3C3820C9" w14:textId="66219536" w:rsidR="00DB226C" w:rsidRPr="0047203B" w:rsidRDefault="00DB226C"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H2 Infrastructure Variable (X2)</w:t>
      </w:r>
    </w:p>
    <w:p w14:paraId="504EA05A" w14:textId="7EDDD340" w:rsidR="00DB226C" w:rsidRPr="0047203B" w:rsidRDefault="00DB226C"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Based on the test results above, the Infrastructure Variable (X2) shows a t-count value of -1.032 and a t-table value of 2.005. Thus, the value of 1 count 1 table (-1.032</w:t>
      </w:r>
      <w:r w:rsidR="00B069B4" w:rsidRPr="0047203B">
        <w:rPr>
          <w:rFonts w:ascii="Arial" w:eastAsia="EB Garamond" w:hAnsi="Arial" w:cs="Arial"/>
          <w:color w:val="000000" w:themeColor="text1"/>
        </w:rPr>
        <w:t xml:space="preserve"> &lt;</w:t>
      </w:r>
      <w:r w:rsidRPr="0047203B">
        <w:rPr>
          <w:rFonts w:ascii="Arial" w:eastAsia="EB Garamond" w:hAnsi="Arial" w:cs="Arial"/>
          <w:color w:val="000000" w:themeColor="text1"/>
        </w:rPr>
        <w:t xml:space="preserve"> 2.005) and a significance value of 0.307 0.05. It can be concluded that the “Infrastructure” variable does not play a significant role in encouraging people to use e-banking.</w:t>
      </w:r>
    </w:p>
    <w:p w14:paraId="48C6E522" w14:textId="059C04FE" w:rsidR="0032179B" w:rsidRPr="0047203B" w:rsidRDefault="0032179B"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H3 </w:t>
      </w:r>
      <w:r w:rsidR="00C52C41" w:rsidRPr="0047203B">
        <w:rPr>
          <w:rFonts w:ascii="Arial" w:eastAsia="EB Garamond" w:hAnsi="Arial" w:cs="Arial"/>
          <w:color w:val="000000" w:themeColor="text1"/>
        </w:rPr>
        <w:t>Security Variable</w:t>
      </w:r>
      <w:r w:rsidRPr="0047203B">
        <w:rPr>
          <w:rFonts w:ascii="Arial" w:eastAsia="EB Garamond" w:hAnsi="Arial" w:cs="Arial"/>
          <w:color w:val="000000" w:themeColor="text1"/>
        </w:rPr>
        <w:t xml:space="preserve">  (X3)</w:t>
      </w:r>
    </w:p>
    <w:p w14:paraId="53168998" w14:textId="77777777" w:rsidR="001612F5" w:rsidRDefault="003C019B"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3C019B">
        <w:rPr>
          <w:rFonts w:ascii="Arial" w:eastAsia="EB Garamond" w:hAnsi="Arial" w:cs="Arial"/>
          <w:color w:val="000000" w:themeColor="text1"/>
        </w:rPr>
        <w:lastRenderedPageBreak/>
        <w:t>Based on the results of the t-test above, the Security variable (X3) shows a value count is 4.777 and a t table value is 2.005, so the t count is greater than the t table (4.777 &gt; 2.005) and the significance value of 0.000 is less than 0.05. The results of the analysis prove that the "Security" factor has a very significant effect on a person's interest in using e-banking services.</w:t>
      </w:r>
    </w:p>
    <w:p w14:paraId="2BD5DBCB" w14:textId="7CC956DE" w:rsidR="001C25D7" w:rsidRPr="0047203B" w:rsidRDefault="001C25D7"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H4 User Experience (X4)</w:t>
      </w:r>
    </w:p>
    <w:p w14:paraId="4FBC8B1A" w14:textId="02A58679" w:rsidR="00AA6970" w:rsidRPr="0047203B" w:rsidRDefault="001C25D7" w:rsidP="00685DB1">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Based on the results of the t-test above, the User Experience variable (X4) produces a t-count value of 0.962 and a t-table value of 2.005, so that the t-table (-0.962 &lt;</w:t>
      </w:r>
      <w:r w:rsidR="00B069B4" w:rsidRPr="0047203B">
        <w:rPr>
          <w:rFonts w:ascii="Arial" w:eastAsia="EB Garamond" w:hAnsi="Arial" w:cs="Arial"/>
          <w:color w:val="000000" w:themeColor="text1"/>
        </w:rPr>
        <w:t xml:space="preserve"> </w:t>
      </w:r>
      <w:r w:rsidRPr="0047203B">
        <w:rPr>
          <w:rFonts w:ascii="Arial" w:eastAsia="EB Garamond" w:hAnsi="Arial" w:cs="Arial"/>
          <w:color w:val="000000" w:themeColor="text1"/>
        </w:rPr>
        <w:t>2.005) and the significance value of 0.340</w:t>
      </w:r>
      <w:r w:rsidR="00B069B4" w:rsidRPr="0047203B">
        <w:rPr>
          <w:rFonts w:ascii="Arial" w:eastAsia="EB Garamond" w:hAnsi="Arial" w:cs="Arial"/>
          <w:color w:val="000000" w:themeColor="text1"/>
        </w:rPr>
        <w:t xml:space="preserve"> </w:t>
      </w:r>
      <w:r w:rsidRPr="0047203B">
        <w:rPr>
          <w:rFonts w:ascii="Arial" w:eastAsia="EB Garamond" w:hAnsi="Arial" w:cs="Arial"/>
          <w:color w:val="000000" w:themeColor="text1"/>
        </w:rPr>
        <w:t>&gt; 0.05. This data analysis shows that there is no significant relationship between User Experience and individual interest in using banking</w:t>
      </w:r>
      <w:r w:rsidR="00685DB1">
        <w:rPr>
          <w:rFonts w:ascii="Arial" w:eastAsia="EB Garamond" w:hAnsi="Arial" w:cs="Arial"/>
          <w:color w:val="000000" w:themeColor="text1"/>
        </w:rPr>
        <w:t xml:space="preserve"> services.</w:t>
      </w:r>
    </w:p>
    <w:p w14:paraId="1EFD41A1" w14:textId="198491A4" w:rsidR="00695AC2" w:rsidRPr="0047203B" w:rsidRDefault="00695AC2"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H5 Advantages and Benefits (X5).</w:t>
      </w:r>
    </w:p>
    <w:p w14:paraId="74CB81F8" w14:textId="42FA47E9" w:rsidR="00695AC2" w:rsidRPr="0047203B" w:rsidRDefault="00695AC2"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lastRenderedPageBreak/>
        <w:t xml:space="preserve">Based on the test results above, the variable Advantages and Benefits (X5) has a t-value of 3.084 and a t-table value of 2.005, so that the t-value of </w:t>
      </w:r>
      <w:r w:rsidR="0017410D" w:rsidRPr="0047203B">
        <w:rPr>
          <w:rFonts w:ascii="Arial" w:eastAsia="EB Garamond" w:hAnsi="Arial" w:cs="Arial"/>
          <w:color w:val="000000" w:themeColor="text1"/>
        </w:rPr>
        <w:t>t-</w:t>
      </w:r>
      <w:r w:rsidRPr="0047203B">
        <w:rPr>
          <w:rFonts w:ascii="Arial" w:eastAsia="EB Garamond" w:hAnsi="Arial" w:cs="Arial"/>
          <w:color w:val="000000" w:themeColor="text1"/>
        </w:rPr>
        <w:t xml:space="preserve">table (3.084 </w:t>
      </w:r>
      <w:r w:rsidR="00E11D0D" w:rsidRPr="0047203B">
        <w:rPr>
          <w:rFonts w:ascii="Arial" w:eastAsia="EB Garamond" w:hAnsi="Arial" w:cs="Arial"/>
          <w:color w:val="000000" w:themeColor="text1"/>
        </w:rPr>
        <w:t>&gt;</w:t>
      </w:r>
      <w:r w:rsidRPr="0047203B">
        <w:rPr>
          <w:rFonts w:ascii="Arial" w:eastAsia="EB Garamond" w:hAnsi="Arial" w:cs="Arial"/>
          <w:color w:val="000000" w:themeColor="text1"/>
        </w:rPr>
        <w:t xml:space="preserve"> 2.005) and its significance value is 0.003 </w:t>
      </w:r>
      <w:r w:rsidR="00E11D0D" w:rsidRPr="0047203B">
        <w:rPr>
          <w:rFonts w:ascii="Arial" w:eastAsia="EB Garamond" w:hAnsi="Arial" w:cs="Arial"/>
          <w:color w:val="000000" w:themeColor="text1"/>
        </w:rPr>
        <w:t>&lt;</w:t>
      </w:r>
      <w:r w:rsidRPr="0047203B">
        <w:rPr>
          <w:rFonts w:ascii="Arial" w:eastAsia="EB Garamond" w:hAnsi="Arial" w:cs="Arial"/>
          <w:color w:val="000000" w:themeColor="text1"/>
        </w:rPr>
        <w:t xml:space="preserve"> 0.05. Data analysis indicates that the variable “Advantages and Benefits” with a high level of significance plays a role in individual interest in using e-banking services.</w:t>
      </w:r>
    </w:p>
    <w:p w14:paraId="487AFFE6" w14:textId="096C857F" w:rsidR="008967CA" w:rsidRPr="00685DB1" w:rsidRDefault="00BD1D50" w:rsidP="00685DB1">
      <w:pPr>
        <w:pStyle w:val="ListParagraph"/>
        <w:numPr>
          <w:ilvl w:val="0"/>
          <w:numId w:val="35"/>
        </w:numPr>
        <w:pBdr>
          <w:top w:val="nil"/>
          <w:left w:val="nil"/>
          <w:bottom w:val="nil"/>
          <w:right w:val="nil"/>
          <w:between w:val="nil"/>
        </w:pBdr>
        <w:spacing w:after="0" w:line="240" w:lineRule="auto"/>
        <w:jc w:val="both"/>
        <w:rPr>
          <w:rFonts w:ascii="Arial" w:eastAsia="EB Garamond" w:hAnsi="Arial" w:cs="Arial"/>
          <w:color w:val="000000" w:themeColor="text1"/>
        </w:rPr>
      </w:pPr>
      <w:r w:rsidRPr="00685DB1">
        <w:rPr>
          <w:rFonts w:ascii="Arial" w:eastAsia="EB Garamond" w:hAnsi="Arial" w:cs="Arial"/>
          <w:color w:val="000000" w:themeColor="text1"/>
        </w:rPr>
        <w:t>F</w:t>
      </w:r>
      <w:r w:rsidR="0006670E">
        <w:rPr>
          <w:rFonts w:ascii="Arial" w:eastAsia="EB Garamond" w:hAnsi="Arial" w:cs="Arial"/>
          <w:color w:val="000000" w:themeColor="text1"/>
        </w:rPr>
        <w:t>-</w:t>
      </w:r>
      <w:r w:rsidRPr="00685DB1">
        <w:rPr>
          <w:rFonts w:ascii="Arial" w:eastAsia="EB Garamond" w:hAnsi="Arial" w:cs="Arial"/>
          <w:color w:val="000000" w:themeColor="text1"/>
        </w:rPr>
        <w:t>Test Results</w:t>
      </w:r>
    </w:p>
    <w:p w14:paraId="44D477D3" w14:textId="476692C7" w:rsidR="006376DF" w:rsidRPr="0047203B" w:rsidRDefault="00464800"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F</w:t>
      </w:r>
      <w:r w:rsidR="0006670E">
        <w:rPr>
          <w:rFonts w:ascii="Arial" w:eastAsia="EB Garamond" w:hAnsi="Arial" w:cs="Arial"/>
          <w:color w:val="000000" w:themeColor="text1"/>
        </w:rPr>
        <w:t>-</w:t>
      </w:r>
      <w:r w:rsidR="00405A66" w:rsidRPr="0047203B">
        <w:rPr>
          <w:rFonts w:ascii="Arial" w:eastAsia="EB Garamond" w:hAnsi="Arial" w:cs="Arial"/>
          <w:color w:val="000000" w:themeColor="text1"/>
        </w:rPr>
        <w:t>test analysis is conducted to test whether all independent variables entered into the regression model together or simultaneously provide a significant contribution in explaining changes in the dependent variable. The criterion for accepting the hypothesis is if the calculated F value is greater than the F table value at a significance level of 5%.</w:t>
      </w:r>
    </w:p>
    <w:p w14:paraId="2CEA1034" w14:textId="77777777" w:rsidR="00685DB1" w:rsidRDefault="00685DB1"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685DB1" w:rsidSect="00685DB1">
          <w:type w:val="continuous"/>
          <w:pgSz w:w="11906" w:h="16838"/>
          <w:pgMar w:top="1440" w:right="1440" w:bottom="1440" w:left="1440" w:header="397" w:footer="708" w:gutter="0"/>
          <w:cols w:num="2" w:space="720"/>
        </w:sectPr>
      </w:pPr>
    </w:p>
    <w:tbl>
      <w:tblPr>
        <w:tblpPr w:leftFromText="180" w:rightFromText="180" w:vertAnchor="text" w:horzAnchor="margin" w:tblpY="1"/>
        <w:tblW w:w="498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2"/>
        <w:gridCol w:w="1376"/>
        <w:gridCol w:w="1673"/>
        <w:gridCol w:w="1326"/>
        <w:gridCol w:w="1903"/>
        <w:gridCol w:w="1252"/>
        <w:gridCol w:w="1322"/>
      </w:tblGrid>
      <w:tr w:rsidR="00685DB1" w:rsidRPr="0047203B" w14:paraId="18F8F17C" w14:textId="77777777" w:rsidTr="00685DB1">
        <w:trPr>
          <w:cantSplit/>
          <w:trHeight w:val="329"/>
        </w:trPr>
        <w:tc>
          <w:tcPr>
            <w:tcW w:w="5000" w:type="pct"/>
            <w:gridSpan w:val="7"/>
            <w:tcBorders>
              <w:top w:val="nil"/>
              <w:left w:val="nil"/>
              <w:bottom w:val="single" w:sz="8" w:space="0" w:color="auto"/>
              <w:right w:val="nil"/>
            </w:tcBorders>
            <w:shd w:val="clear" w:color="auto" w:fill="auto"/>
            <w:vAlign w:val="center"/>
          </w:tcPr>
          <w:p w14:paraId="3AD52F34" w14:textId="30F794CD" w:rsidR="00685DB1" w:rsidRDefault="00E26C41" w:rsidP="00685DB1">
            <w:pPr>
              <w:spacing w:after="0"/>
              <w:jc w:val="center"/>
              <w:rPr>
                <w:rFonts w:ascii="Arial" w:eastAsia="EB Garamond" w:hAnsi="Arial" w:cs="Arial"/>
                <w:b/>
                <w:color w:val="000000" w:themeColor="text1"/>
                <w:lang w:val="en"/>
              </w:rPr>
            </w:pPr>
            <w:r>
              <w:rPr>
                <w:rFonts w:ascii="Arial" w:eastAsia="EB Garamond" w:hAnsi="Arial" w:cs="Arial"/>
                <w:b/>
                <w:color w:val="000000" w:themeColor="text1"/>
                <w:lang w:val="en"/>
              </w:rPr>
              <w:t>Table 10</w:t>
            </w:r>
            <w:r w:rsidR="00685DB1">
              <w:rPr>
                <w:rFonts w:ascii="Arial" w:eastAsia="EB Garamond" w:hAnsi="Arial" w:cs="Arial"/>
                <w:b/>
                <w:color w:val="000000" w:themeColor="text1"/>
                <w:lang w:val="en"/>
              </w:rPr>
              <w:t>.</w:t>
            </w:r>
          </w:p>
          <w:p w14:paraId="681F6F2D" w14:textId="6C960067" w:rsidR="00685DB1" w:rsidRPr="00685DB1" w:rsidRDefault="00685DB1" w:rsidP="00685DB1">
            <w:pPr>
              <w:spacing w:after="0"/>
              <w:jc w:val="center"/>
              <w:rPr>
                <w:rFonts w:ascii="Arial" w:eastAsia="EB Garamond" w:hAnsi="Arial" w:cs="Arial"/>
                <w:b/>
                <w:color w:val="000000" w:themeColor="text1"/>
                <w:lang w:val="en"/>
              </w:rPr>
            </w:pPr>
            <w:r w:rsidRPr="0047203B">
              <w:rPr>
                <w:rFonts w:ascii="Arial" w:eastAsia="EB Garamond" w:hAnsi="Arial" w:cs="Arial"/>
                <w:b/>
                <w:color w:val="000000" w:themeColor="text1"/>
                <w:lang w:val="en"/>
              </w:rPr>
              <w:t>F</w:t>
            </w:r>
            <w:r w:rsidR="0006670E">
              <w:rPr>
                <w:rFonts w:ascii="Arial" w:eastAsia="EB Garamond" w:hAnsi="Arial" w:cs="Arial"/>
                <w:b/>
                <w:color w:val="000000" w:themeColor="text1"/>
                <w:lang w:val="en"/>
              </w:rPr>
              <w:t>-</w:t>
            </w:r>
            <w:r w:rsidRPr="0047203B">
              <w:rPr>
                <w:rFonts w:ascii="Arial" w:eastAsia="EB Garamond" w:hAnsi="Arial" w:cs="Arial"/>
                <w:b/>
                <w:color w:val="000000" w:themeColor="text1"/>
                <w:lang w:val="en"/>
              </w:rPr>
              <w:t>Test Results</w:t>
            </w:r>
          </w:p>
        </w:tc>
      </w:tr>
      <w:tr w:rsidR="00685DB1" w:rsidRPr="0047203B" w14:paraId="4ED26460" w14:textId="77777777" w:rsidTr="00685DB1">
        <w:trPr>
          <w:cantSplit/>
          <w:trHeight w:val="249"/>
        </w:trPr>
        <w:tc>
          <w:tcPr>
            <w:tcW w:w="5000" w:type="pct"/>
            <w:gridSpan w:val="7"/>
            <w:tcBorders>
              <w:top w:val="single" w:sz="8" w:space="0" w:color="auto"/>
              <w:left w:val="nil"/>
              <w:bottom w:val="nil"/>
              <w:right w:val="nil"/>
            </w:tcBorders>
            <w:shd w:val="clear" w:color="auto" w:fill="auto"/>
            <w:vAlign w:val="center"/>
          </w:tcPr>
          <w:p w14:paraId="2154D740" w14:textId="77777777" w:rsidR="00685DB1" w:rsidRPr="0047203B" w:rsidRDefault="00685DB1" w:rsidP="00685DB1">
            <w:pPr>
              <w:spacing w:after="0"/>
              <w:jc w:val="center"/>
              <w:rPr>
                <w:rFonts w:ascii="Arial" w:eastAsia="EB Garamond" w:hAnsi="Arial" w:cs="Arial"/>
                <w:b/>
                <w:bCs/>
                <w:color w:val="000000" w:themeColor="text1"/>
              </w:rPr>
            </w:pPr>
            <w:r w:rsidRPr="0047203B">
              <w:rPr>
                <w:rFonts w:ascii="Arial" w:eastAsia="EB Garamond" w:hAnsi="Arial" w:cs="Arial"/>
                <w:b/>
                <w:bCs/>
                <w:color w:val="000000" w:themeColor="text1"/>
              </w:rPr>
              <w:t>ANOVAa</w:t>
            </w:r>
          </w:p>
        </w:tc>
      </w:tr>
      <w:tr w:rsidR="00685DB1" w:rsidRPr="0047203B" w14:paraId="251D9A6B" w14:textId="77777777" w:rsidTr="00685DB1">
        <w:trPr>
          <w:cantSplit/>
          <w:trHeight w:val="179"/>
        </w:trPr>
        <w:tc>
          <w:tcPr>
            <w:tcW w:w="844" w:type="pct"/>
            <w:gridSpan w:val="2"/>
            <w:tcBorders>
              <w:top w:val="single" w:sz="18" w:space="0" w:color="auto"/>
              <w:left w:val="nil"/>
              <w:bottom w:val="single" w:sz="8" w:space="0" w:color="152935"/>
              <w:right w:val="nil"/>
            </w:tcBorders>
            <w:shd w:val="clear" w:color="auto" w:fill="auto"/>
            <w:vAlign w:val="bottom"/>
          </w:tcPr>
          <w:p w14:paraId="7861A49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Model</w:t>
            </w:r>
          </w:p>
        </w:tc>
        <w:tc>
          <w:tcPr>
            <w:tcW w:w="930" w:type="pct"/>
            <w:tcBorders>
              <w:top w:val="single" w:sz="18" w:space="0" w:color="auto"/>
              <w:left w:val="nil"/>
              <w:bottom w:val="single" w:sz="8" w:space="0" w:color="152935"/>
              <w:right w:val="single" w:sz="8" w:space="0" w:color="E0E0E0"/>
            </w:tcBorders>
            <w:shd w:val="clear" w:color="auto" w:fill="auto"/>
            <w:vAlign w:val="bottom"/>
          </w:tcPr>
          <w:p w14:paraId="54F34BE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Sum of Squares</w:t>
            </w:r>
          </w:p>
        </w:tc>
        <w:tc>
          <w:tcPr>
            <w:tcW w:w="737" w:type="pct"/>
            <w:tcBorders>
              <w:top w:val="single" w:sz="18" w:space="0" w:color="auto"/>
              <w:left w:val="single" w:sz="8" w:space="0" w:color="E0E0E0"/>
              <w:bottom w:val="single" w:sz="8" w:space="0" w:color="152935"/>
              <w:right w:val="single" w:sz="8" w:space="0" w:color="E0E0E0"/>
            </w:tcBorders>
            <w:shd w:val="clear" w:color="auto" w:fill="auto"/>
            <w:vAlign w:val="bottom"/>
          </w:tcPr>
          <w:p w14:paraId="14B2E4A9"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df</w:t>
            </w:r>
          </w:p>
        </w:tc>
        <w:tc>
          <w:tcPr>
            <w:tcW w:w="1058" w:type="pct"/>
            <w:tcBorders>
              <w:top w:val="single" w:sz="18" w:space="0" w:color="auto"/>
              <w:left w:val="single" w:sz="8" w:space="0" w:color="E0E0E0"/>
              <w:bottom w:val="single" w:sz="8" w:space="0" w:color="152935"/>
              <w:right w:val="single" w:sz="8" w:space="0" w:color="E0E0E0"/>
            </w:tcBorders>
            <w:shd w:val="clear" w:color="auto" w:fill="auto"/>
            <w:vAlign w:val="bottom"/>
          </w:tcPr>
          <w:p w14:paraId="2DFAECC8"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Mean Square</w:t>
            </w:r>
          </w:p>
        </w:tc>
        <w:tc>
          <w:tcPr>
            <w:tcW w:w="696" w:type="pct"/>
            <w:tcBorders>
              <w:top w:val="single" w:sz="18" w:space="0" w:color="auto"/>
              <w:left w:val="single" w:sz="8" w:space="0" w:color="E0E0E0"/>
              <w:bottom w:val="single" w:sz="8" w:space="0" w:color="auto"/>
              <w:right w:val="single" w:sz="8" w:space="0" w:color="E0E0E0"/>
            </w:tcBorders>
            <w:shd w:val="clear" w:color="auto" w:fill="auto"/>
            <w:vAlign w:val="bottom"/>
          </w:tcPr>
          <w:p w14:paraId="0E5A6FC7"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F</w:t>
            </w:r>
          </w:p>
        </w:tc>
        <w:tc>
          <w:tcPr>
            <w:tcW w:w="735" w:type="pct"/>
            <w:tcBorders>
              <w:top w:val="single" w:sz="18" w:space="0" w:color="auto"/>
              <w:left w:val="single" w:sz="8" w:space="0" w:color="E0E0E0"/>
              <w:bottom w:val="single" w:sz="8" w:space="0" w:color="152935"/>
              <w:right w:val="nil"/>
            </w:tcBorders>
            <w:shd w:val="clear" w:color="auto" w:fill="auto"/>
            <w:vAlign w:val="bottom"/>
          </w:tcPr>
          <w:p w14:paraId="3E7EE4D5"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Sig.</w:t>
            </w:r>
          </w:p>
        </w:tc>
      </w:tr>
      <w:tr w:rsidR="00685DB1" w:rsidRPr="0047203B" w14:paraId="199C0051" w14:textId="77777777" w:rsidTr="00685DB1">
        <w:trPr>
          <w:cantSplit/>
          <w:trHeight w:val="235"/>
        </w:trPr>
        <w:tc>
          <w:tcPr>
            <w:tcW w:w="79" w:type="pct"/>
            <w:vMerge w:val="restart"/>
            <w:tcBorders>
              <w:top w:val="single" w:sz="8" w:space="0" w:color="152935"/>
              <w:left w:val="nil"/>
              <w:bottom w:val="single" w:sz="8" w:space="0" w:color="152935"/>
              <w:right w:val="nil"/>
            </w:tcBorders>
            <w:shd w:val="clear" w:color="auto" w:fill="auto"/>
          </w:tcPr>
          <w:p w14:paraId="7BB9C8F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765" w:type="pct"/>
            <w:tcBorders>
              <w:top w:val="single" w:sz="8" w:space="0" w:color="152935"/>
              <w:left w:val="nil"/>
              <w:bottom w:val="single" w:sz="8" w:space="0" w:color="AEAEAE"/>
              <w:right w:val="nil"/>
            </w:tcBorders>
            <w:shd w:val="clear" w:color="auto" w:fill="auto"/>
          </w:tcPr>
          <w:p w14:paraId="215ED018" w14:textId="77777777" w:rsidR="00685DB1" w:rsidRPr="0047203B" w:rsidRDefault="00685DB1" w:rsidP="00685DB1">
            <w:pPr>
              <w:spacing w:after="0"/>
              <w:rPr>
                <w:rFonts w:ascii="Arial" w:eastAsia="EB Garamond" w:hAnsi="Arial" w:cs="Arial"/>
                <w:color w:val="000000" w:themeColor="text1"/>
              </w:rPr>
            </w:pPr>
            <w:r w:rsidRPr="0047203B">
              <w:rPr>
                <w:rFonts w:ascii="Arial" w:eastAsia="EB Garamond" w:hAnsi="Arial" w:cs="Arial"/>
                <w:color w:val="000000" w:themeColor="text1"/>
              </w:rPr>
              <w:t>Regression</w:t>
            </w:r>
          </w:p>
        </w:tc>
        <w:tc>
          <w:tcPr>
            <w:tcW w:w="930" w:type="pct"/>
            <w:tcBorders>
              <w:top w:val="single" w:sz="8" w:space="0" w:color="152935"/>
              <w:left w:val="nil"/>
              <w:bottom w:val="single" w:sz="8" w:space="0" w:color="AEAEAE"/>
              <w:right w:val="single" w:sz="8" w:space="0" w:color="E0E0E0"/>
            </w:tcBorders>
            <w:shd w:val="clear" w:color="auto" w:fill="auto"/>
          </w:tcPr>
          <w:p w14:paraId="4D61FD03"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161.053</w:t>
            </w:r>
          </w:p>
        </w:tc>
        <w:tc>
          <w:tcPr>
            <w:tcW w:w="737" w:type="pct"/>
            <w:tcBorders>
              <w:top w:val="single" w:sz="8" w:space="0" w:color="152935"/>
              <w:left w:val="single" w:sz="8" w:space="0" w:color="E0E0E0"/>
              <w:bottom w:val="single" w:sz="8" w:space="0" w:color="AEAEAE"/>
              <w:right w:val="single" w:sz="8" w:space="0" w:color="E0E0E0"/>
            </w:tcBorders>
            <w:shd w:val="clear" w:color="auto" w:fill="auto"/>
          </w:tcPr>
          <w:p w14:paraId="4334433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5</w:t>
            </w:r>
          </w:p>
        </w:tc>
        <w:tc>
          <w:tcPr>
            <w:tcW w:w="1058" w:type="pct"/>
            <w:tcBorders>
              <w:top w:val="single" w:sz="8" w:space="0" w:color="152935"/>
              <w:left w:val="single" w:sz="8" w:space="0" w:color="E0E0E0"/>
              <w:bottom w:val="single" w:sz="8" w:space="0" w:color="AEAEAE"/>
              <w:right w:val="single" w:sz="8" w:space="0" w:color="E0E0E0"/>
            </w:tcBorders>
            <w:shd w:val="clear" w:color="auto" w:fill="auto"/>
          </w:tcPr>
          <w:p w14:paraId="4702863E"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32.211</w:t>
            </w:r>
          </w:p>
        </w:tc>
        <w:tc>
          <w:tcPr>
            <w:tcW w:w="696" w:type="pct"/>
            <w:tcBorders>
              <w:top w:val="single" w:sz="8" w:space="0" w:color="auto"/>
              <w:left w:val="single" w:sz="8" w:space="0" w:color="E0E0E0"/>
              <w:bottom w:val="single" w:sz="8" w:space="0" w:color="AEAEAE"/>
              <w:right w:val="single" w:sz="8" w:space="0" w:color="E0E0E0"/>
            </w:tcBorders>
            <w:shd w:val="clear" w:color="auto" w:fill="auto"/>
          </w:tcPr>
          <w:p w14:paraId="46E4D163"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11.155</w:t>
            </w:r>
          </w:p>
        </w:tc>
        <w:tc>
          <w:tcPr>
            <w:tcW w:w="735" w:type="pct"/>
            <w:tcBorders>
              <w:top w:val="single" w:sz="8" w:space="0" w:color="152935"/>
              <w:left w:val="single" w:sz="8" w:space="0" w:color="E0E0E0"/>
              <w:bottom w:val="single" w:sz="8" w:space="0" w:color="AEAEAE"/>
              <w:right w:val="nil"/>
            </w:tcBorders>
            <w:shd w:val="clear" w:color="auto" w:fill="auto"/>
          </w:tcPr>
          <w:p w14:paraId="5341AD23"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.000b</w:t>
            </w:r>
          </w:p>
        </w:tc>
      </w:tr>
      <w:tr w:rsidR="00685DB1" w:rsidRPr="0047203B" w14:paraId="12B57C7A" w14:textId="77777777" w:rsidTr="00685DB1">
        <w:trPr>
          <w:cantSplit/>
          <w:trHeight w:val="127"/>
        </w:trPr>
        <w:tc>
          <w:tcPr>
            <w:tcW w:w="79" w:type="pct"/>
            <w:vMerge/>
            <w:tcBorders>
              <w:top w:val="single" w:sz="8" w:space="0" w:color="152935"/>
              <w:left w:val="nil"/>
              <w:bottom w:val="single" w:sz="8" w:space="0" w:color="152935"/>
              <w:right w:val="nil"/>
            </w:tcBorders>
            <w:shd w:val="clear" w:color="auto" w:fill="auto"/>
          </w:tcPr>
          <w:p w14:paraId="10C4ECC9" w14:textId="77777777" w:rsidR="00685DB1" w:rsidRPr="0047203B" w:rsidRDefault="00685DB1" w:rsidP="00685DB1">
            <w:pPr>
              <w:spacing w:after="0"/>
              <w:jc w:val="center"/>
              <w:rPr>
                <w:rFonts w:ascii="Arial" w:eastAsia="EB Garamond" w:hAnsi="Arial" w:cs="Arial"/>
                <w:color w:val="000000" w:themeColor="text1"/>
              </w:rPr>
            </w:pPr>
          </w:p>
        </w:tc>
        <w:tc>
          <w:tcPr>
            <w:tcW w:w="765" w:type="pct"/>
            <w:tcBorders>
              <w:top w:val="single" w:sz="8" w:space="0" w:color="AEAEAE"/>
              <w:left w:val="nil"/>
              <w:bottom w:val="single" w:sz="8" w:space="0" w:color="AEAEAE"/>
              <w:right w:val="nil"/>
            </w:tcBorders>
            <w:shd w:val="clear" w:color="auto" w:fill="auto"/>
          </w:tcPr>
          <w:p w14:paraId="6DBC87D3" w14:textId="77777777" w:rsidR="00685DB1" w:rsidRPr="0047203B" w:rsidRDefault="00685DB1" w:rsidP="00685DB1">
            <w:pPr>
              <w:spacing w:after="0"/>
              <w:rPr>
                <w:rFonts w:ascii="Arial" w:eastAsia="EB Garamond" w:hAnsi="Arial" w:cs="Arial"/>
                <w:color w:val="000000" w:themeColor="text1"/>
              </w:rPr>
            </w:pPr>
            <w:r w:rsidRPr="0047203B">
              <w:rPr>
                <w:rFonts w:ascii="Arial" w:eastAsia="EB Garamond" w:hAnsi="Arial" w:cs="Arial"/>
                <w:color w:val="000000" w:themeColor="text1"/>
              </w:rPr>
              <w:t>Residual</w:t>
            </w:r>
          </w:p>
        </w:tc>
        <w:tc>
          <w:tcPr>
            <w:tcW w:w="930" w:type="pct"/>
            <w:tcBorders>
              <w:top w:val="single" w:sz="8" w:space="0" w:color="AEAEAE"/>
              <w:left w:val="nil"/>
              <w:bottom w:val="single" w:sz="8" w:space="0" w:color="AEAEAE"/>
              <w:right w:val="single" w:sz="8" w:space="0" w:color="E0E0E0"/>
            </w:tcBorders>
            <w:shd w:val="clear" w:color="auto" w:fill="auto"/>
          </w:tcPr>
          <w:p w14:paraId="74B39B5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155.930</w:t>
            </w:r>
          </w:p>
        </w:tc>
        <w:tc>
          <w:tcPr>
            <w:tcW w:w="737" w:type="pct"/>
            <w:tcBorders>
              <w:top w:val="single" w:sz="8" w:space="0" w:color="AEAEAE"/>
              <w:left w:val="single" w:sz="8" w:space="0" w:color="E0E0E0"/>
              <w:bottom w:val="single" w:sz="8" w:space="0" w:color="AEAEAE"/>
              <w:right w:val="single" w:sz="8" w:space="0" w:color="E0E0E0"/>
            </w:tcBorders>
            <w:shd w:val="clear" w:color="auto" w:fill="auto"/>
          </w:tcPr>
          <w:p w14:paraId="295A6165"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54</w:t>
            </w:r>
          </w:p>
        </w:tc>
        <w:tc>
          <w:tcPr>
            <w:tcW w:w="1058" w:type="pct"/>
            <w:tcBorders>
              <w:top w:val="single" w:sz="8" w:space="0" w:color="AEAEAE"/>
              <w:left w:val="single" w:sz="8" w:space="0" w:color="E0E0E0"/>
              <w:bottom w:val="single" w:sz="8" w:space="0" w:color="AEAEAE"/>
              <w:right w:val="single" w:sz="8" w:space="0" w:color="E0E0E0"/>
            </w:tcBorders>
            <w:shd w:val="clear" w:color="auto" w:fill="auto"/>
          </w:tcPr>
          <w:p w14:paraId="0B5739FC"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2.888</w:t>
            </w:r>
          </w:p>
        </w:tc>
        <w:tc>
          <w:tcPr>
            <w:tcW w:w="696" w:type="pct"/>
            <w:tcBorders>
              <w:top w:val="single" w:sz="8" w:space="0" w:color="AEAEAE"/>
              <w:left w:val="single" w:sz="8" w:space="0" w:color="E0E0E0"/>
              <w:bottom w:val="single" w:sz="8" w:space="0" w:color="AEAEAE"/>
              <w:right w:val="single" w:sz="8" w:space="0" w:color="E0E0E0"/>
            </w:tcBorders>
            <w:shd w:val="clear" w:color="auto" w:fill="auto"/>
            <w:vAlign w:val="center"/>
          </w:tcPr>
          <w:p w14:paraId="2C58274E" w14:textId="77777777" w:rsidR="00685DB1" w:rsidRPr="0047203B" w:rsidRDefault="00685DB1" w:rsidP="00685DB1">
            <w:pPr>
              <w:spacing w:after="0"/>
              <w:jc w:val="center"/>
              <w:rPr>
                <w:rFonts w:ascii="Arial" w:eastAsia="EB Garamond" w:hAnsi="Arial" w:cs="Arial"/>
                <w:color w:val="000000" w:themeColor="text1"/>
              </w:rPr>
            </w:pPr>
          </w:p>
        </w:tc>
        <w:tc>
          <w:tcPr>
            <w:tcW w:w="735" w:type="pct"/>
            <w:tcBorders>
              <w:top w:val="single" w:sz="8" w:space="0" w:color="AEAEAE"/>
              <w:left w:val="single" w:sz="8" w:space="0" w:color="E0E0E0"/>
              <w:bottom w:val="single" w:sz="8" w:space="0" w:color="AEAEAE"/>
              <w:right w:val="nil"/>
            </w:tcBorders>
            <w:shd w:val="clear" w:color="auto" w:fill="auto"/>
            <w:vAlign w:val="center"/>
          </w:tcPr>
          <w:p w14:paraId="4CE89C00" w14:textId="77777777" w:rsidR="00685DB1" w:rsidRPr="0047203B" w:rsidRDefault="00685DB1" w:rsidP="00685DB1">
            <w:pPr>
              <w:spacing w:after="0"/>
              <w:jc w:val="center"/>
              <w:rPr>
                <w:rFonts w:ascii="Arial" w:eastAsia="EB Garamond" w:hAnsi="Arial" w:cs="Arial"/>
                <w:color w:val="000000" w:themeColor="text1"/>
              </w:rPr>
            </w:pPr>
          </w:p>
        </w:tc>
      </w:tr>
      <w:tr w:rsidR="00685DB1" w:rsidRPr="0047203B" w14:paraId="083D601A" w14:textId="77777777" w:rsidTr="00685DB1">
        <w:trPr>
          <w:cantSplit/>
          <w:trHeight w:val="127"/>
        </w:trPr>
        <w:tc>
          <w:tcPr>
            <w:tcW w:w="79" w:type="pct"/>
            <w:vMerge/>
            <w:tcBorders>
              <w:top w:val="single" w:sz="8" w:space="0" w:color="152935"/>
              <w:left w:val="nil"/>
              <w:bottom w:val="single" w:sz="8" w:space="0" w:color="auto"/>
              <w:right w:val="nil"/>
            </w:tcBorders>
            <w:shd w:val="clear" w:color="auto" w:fill="auto"/>
          </w:tcPr>
          <w:p w14:paraId="57750AF1" w14:textId="77777777" w:rsidR="00685DB1" w:rsidRPr="0047203B" w:rsidRDefault="00685DB1" w:rsidP="00685DB1">
            <w:pPr>
              <w:spacing w:after="0"/>
              <w:jc w:val="center"/>
              <w:rPr>
                <w:rFonts w:ascii="Arial" w:eastAsia="EB Garamond" w:hAnsi="Arial" w:cs="Arial"/>
                <w:color w:val="000000" w:themeColor="text1"/>
              </w:rPr>
            </w:pPr>
          </w:p>
        </w:tc>
        <w:tc>
          <w:tcPr>
            <w:tcW w:w="765" w:type="pct"/>
            <w:tcBorders>
              <w:top w:val="single" w:sz="8" w:space="0" w:color="AEAEAE"/>
              <w:left w:val="nil"/>
              <w:bottom w:val="single" w:sz="8" w:space="0" w:color="auto"/>
              <w:right w:val="nil"/>
            </w:tcBorders>
            <w:shd w:val="clear" w:color="auto" w:fill="auto"/>
          </w:tcPr>
          <w:p w14:paraId="4031A95A" w14:textId="77777777" w:rsidR="00685DB1" w:rsidRPr="0047203B" w:rsidRDefault="00685DB1" w:rsidP="00685DB1">
            <w:pPr>
              <w:spacing w:after="0"/>
              <w:rPr>
                <w:rFonts w:ascii="Arial" w:eastAsia="EB Garamond" w:hAnsi="Arial" w:cs="Arial"/>
                <w:color w:val="000000" w:themeColor="text1"/>
              </w:rPr>
            </w:pPr>
            <w:r w:rsidRPr="0047203B">
              <w:rPr>
                <w:rFonts w:ascii="Arial" w:eastAsia="EB Garamond" w:hAnsi="Arial" w:cs="Arial"/>
                <w:color w:val="000000" w:themeColor="text1"/>
              </w:rPr>
              <w:t>Total</w:t>
            </w:r>
          </w:p>
        </w:tc>
        <w:tc>
          <w:tcPr>
            <w:tcW w:w="930" w:type="pct"/>
            <w:tcBorders>
              <w:top w:val="single" w:sz="8" w:space="0" w:color="AEAEAE"/>
              <w:left w:val="nil"/>
              <w:bottom w:val="single" w:sz="8" w:space="0" w:color="auto"/>
              <w:right w:val="single" w:sz="8" w:space="0" w:color="E0E0E0"/>
            </w:tcBorders>
            <w:shd w:val="clear" w:color="auto" w:fill="auto"/>
          </w:tcPr>
          <w:p w14:paraId="4C3AA774"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316.983</w:t>
            </w:r>
          </w:p>
        </w:tc>
        <w:tc>
          <w:tcPr>
            <w:tcW w:w="737" w:type="pct"/>
            <w:tcBorders>
              <w:top w:val="single" w:sz="8" w:space="0" w:color="AEAEAE"/>
              <w:left w:val="single" w:sz="8" w:space="0" w:color="E0E0E0"/>
              <w:bottom w:val="single" w:sz="8" w:space="0" w:color="auto"/>
              <w:right w:val="single" w:sz="8" w:space="0" w:color="E0E0E0"/>
            </w:tcBorders>
            <w:shd w:val="clear" w:color="auto" w:fill="auto"/>
          </w:tcPr>
          <w:p w14:paraId="0136EB1B"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59</w:t>
            </w:r>
          </w:p>
        </w:tc>
        <w:tc>
          <w:tcPr>
            <w:tcW w:w="1058" w:type="pct"/>
            <w:tcBorders>
              <w:top w:val="single" w:sz="8" w:space="0" w:color="AEAEAE"/>
              <w:left w:val="single" w:sz="8" w:space="0" w:color="E0E0E0"/>
              <w:bottom w:val="single" w:sz="8" w:space="0" w:color="auto"/>
              <w:right w:val="single" w:sz="8" w:space="0" w:color="E0E0E0"/>
            </w:tcBorders>
            <w:shd w:val="clear" w:color="auto" w:fill="auto"/>
            <w:vAlign w:val="center"/>
          </w:tcPr>
          <w:p w14:paraId="32E615BE" w14:textId="77777777" w:rsidR="00685DB1" w:rsidRPr="0047203B" w:rsidRDefault="00685DB1" w:rsidP="00685DB1">
            <w:pPr>
              <w:spacing w:after="0"/>
              <w:jc w:val="center"/>
              <w:rPr>
                <w:rFonts w:ascii="Arial" w:eastAsia="EB Garamond" w:hAnsi="Arial" w:cs="Arial"/>
                <w:color w:val="000000" w:themeColor="text1"/>
              </w:rPr>
            </w:pPr>
          </w:p>
        </w:tc>
        <w:tc>
          <w:tcPr>
            <w:tcW w:w="696" w:type="pct"/>
            <w:tcBorders>
              <w:top w:val="single" w:sz="8" w:space="0" w:color="AEAEAE"/>
              <w:left w:val="single" w:sz="8" w:space="0" w:color="E0E0E0"/>
              <w:bottom w:val="single" w:sz="8" w:space="0" w:color="auto"/>
              <w:right w:val="single" w:sz="8" w:space="0" w:color="E0E0E0"/>
            </w:tcBorders>
            <w:shd w:val="clear" w:color="auto" w:fill="auto"/>
            <w:vAlign w:val="center"/>
          </w:tcPr>
          <w:p w14:paraId="3FDCF6F0" w14:textId="77777777" w:rsidR="00685DB1" w:rsidRPr="0047203B" w:rsidRDefault="00685DB1" w:rsidP="00685DB1">
            <w:pPr>
              <w:spacing w:after="0"/>
              <w:jc w:val="center"/>
              <w:rPr>
                <w:rFonts w:ascii="Arial" w:eastAsia="EB Garamond" w:hAnsi="Arial" w:cs="Arial"/>
                <w:color w:val="000000" w:themeColor="text1"/>
              </w:rPr>
            </w:pPr>
          </w:p>
        </w:tc>
        <w:tc>
          <w:tcPr>
            <w:tcW w:w="735" w:type="pct"/>
            <w:tcBorders>
              <w:top w:val="single" w:sz="8" w:space="0" w:color="AEAEAE"/>
              <w:left w:val="single" w:sz="8" w:space="0" w:color="E0E0E0"/>
              <w:bottom w:val="single" w:sz="8" w:space="0" w:color="auto"/>
              <w:right w:val="nil"/>
            </w:tcBorders>
            <w:shd w:val="clear" w:color="auto" w:fill="auto"/>
            <w:vAlign w:val="center"/>
          </w:tcPr>
          <w:p w14:paraId="1AFA1D29" w14:textId="77777777" w:rsidR="00685DB1" w:rsidRPr="0047203B" w:rsidRDefault="00685DB1" w:rsidP="00685DB1">
            <w:pPr>
              <w:spacing w:after="0"/>
              <w:jc w:val="center"/>
              <w:rPr>
                <w:rFonts w:ascii="Arial" w:eastAsia="EB Garamond" w:hAnsi="Arial" w:cs="Arial"/>
                <w:color w:val="000000" w:themeColor="text1"/>
              </w:rPr>
            </w:pPr>
          </w:p>
        </w:tc>
      </w:tr>
      <w:tr w:rsidR="00685DB1" w:rsidRPr="0047203B" w14:paraId="4D1D1B52" w14:textId="77777777" w:rsidTr="00685DB1">
        <w:trPr>
          <w:cantSplit/>
          <w:trHeight w:val="202"/>
        </w:trPr>
        <w:tc>
          <w:tcPr>
            <w:tcW w:w="5000" w:type="pct"/>
            <w:gridSpan w:val="7"/>
            <w:tcBorders>
              <w:top w:val="single" w:sz="8" w:space="0" w:color="auto"/>
              <w:left w:val="nil"/>
              <w:bottom w:val="nil"/>
              <w:right w:val="nil"/>
            </w:tcBorders>
            <w:shd w:val="clear" w:color="auto" w:fill="auto"/>
          </w:tcPr>
          <w:p w14:paraId="0688116C" w14:textId="77777777" w:rsidR="00685DB1" w:rsidRDefault="00685DB1" w:rsidP="00685DB1">
            <w:pPr>
              <w:spacing w:after="0"/>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359C6D62" w14:textId="77777777" w:rsidR="00D80613" w:rsidRPr="0047203B" w:rsidRDefault="00D80613" w:rsidP="00685DB1">
            <w:pPr>
              <w:spacing w:after="0"/>
              <w:rPr>
                <w:rFonts w:ascii="Arial" w:eastAsia="EB Garamond" w:hAnsi="Arial" w:cs="Arial"/>
                <w:bCs/>
                <w:color w:val="000000" w:themeColor="text1"/>
              </w:rPr>
            </w:pPr>
          </w:p>
        </w:tc>
      </w:tr>
    </w:tbl>
    <w:p w14:paraId="21A693DA" w14:textId="77777777" w:rsidR="00685DB1" w:rsidRDefault="00685DB1"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685DB1">
          <w:type w:val="continuous"/>
          <w:pgSz w:w="11906" w:h="16838"/>
          <w:pgMar w:top="1440" w:right="1440" w:bottom="1440" w:left="1440" w:header="397" w:footer="708" w:gutter="0"/>
          <w:cols w:space="720"/>
        </w:sectPr>
      </w:pPr>
    </w:p>
    <w:p w14:paraId="65849BFD" w14:textId="3DE227D7" w:rsidR="0017410D" w:rsidRPr="0047203B" w:rsidRDefault="0061142A" w:rsidP="00685DB1">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From </w:t>
      </w:r>
      <w:r w:rsidR="00D75438">
        <w:rPr>
          <w:rFonts w:ascii="Arial" w:eastAsia="EB Garamond" w:hAnsi="Arial" w:cs="Arial"/>
          <w:color w:val="000000" w:themeColor="text1"/>
        </w:rPr>
        <w:t>T</w:t>
      </w:r>
      <w:r w:rsidR="00255D8C">
        <w:rPr>
          <w:rFonts w:ascii="Arial" w:eastAsia="EB Garamond" w:hAnsi="Arial" w:cs="Arial"/>
          <w:color w:val="000000" w:themeColor="text1"/>
        </w:rPr>
        <w:t>able 10</w:t>
      </w:r>
      <w:r w:rsidRPr="0047203B">
        <w:rPr>
          <w:rFonts w:ascii="Arial" w:eastAsia="EB Garamond" w:hAnsi="Arial" w:cs="Arial"/>
          <w:color w:val="000000" w:themeColor="text1"/>
        </w:rPr>
        <w:t>, it can be seen that the calculated F value is 11.164</w:t>
      </w:r>
      <w:r w:rsidR="00B069B4" w:rsidRPr="0047203B">
        <w:rPr>
          <w:rFonts w:ascii="Arial" w:eastAsia="EB Garamond" w:hAnsi="Arial" w:cs="Arial"/>
          <w:color w:val="000000" w:themeColor="text1"/>
        </w:rPr>
        <w:t xml:space="preserve"> </w:t>
      </w:r>
      <w:r w:rsidRPr="0047203B">
        <w:rPr>
          <w:rFonts w:ascii="Arial" w:eastAsia="EB Garamond" w:hAnsi="Arial" w:cs="Arial"/>
          <w:color w:val="000000" w:themeColor="text1"/>
        </w:rPr>
        <w:t>&gt; f table 2.389 and the significance value is 0.000 &lt;</w:t>
      </w:r>
      <w:r w:rsidR="00B069B4" w:rsidRPr="0047203B">
        <w:rPr>
          <w:rFonts w:ascii="Arial" w:eastAsia="EB Garamond" w:hAnsi="Arial" w:cs="Arial"/>
          <w:color w:val="000000" w:themeColor="text1"/>
        </w:rPr>
        <w:t xml:space="preserve"> </w:t>
      </w:r>
      <w:r w:rsidRPr="0047203B">
        <w:rPr>
          <w:rFonts w:ascii="Arial" w:eastAsia="EB Garamond" w:hAnsi="Arial" w:cs="Arial"/>
          <w:color w:val="000000" w:themeColor="text1"/>
        </w:rPr>
        <w:t xml:space="preserve">0.05. This means that the independent variables entered (profit, security, infrastructure, user experience, and financial literacy) together provide a significant contribution </w:t>
      </w:r>
      <w:r w:rsidR="00DF20BD">
        <w:rPr>
          <w:rFonts w:ascii="Arial" w:eastAsia="EB Garamond" w:hAnsi="Arial" w:cs="Arial"/>
          <w:color w:val="000000" w:themeColor="text1"/>
        </w:rPr>
        <w:t xml:space="preserve">to </w:t>
      </w:r>
      <w:r w:rsidRPr="0047203B">
        <w:rPr>
          <w:rFonts w:ascii="Arial" w:eastAsia="EB Garamond" w:hAnsi="Arial" w:cs="Arial"/>
          <w:color w:val="000000" w:themeColor="text1"/>
        </w:rPr>
        <w:t>explaining why someone is interested in using e-banking.</w:t>
      </w:r>
    </w:p>
    <w:p w14:paraId="5DB8F33D" w14:textId="4867CCBB" w:rsidR="008967CA" w:rsidRPr="0054195E" w:rsidRDefault="000D64E6" w:rsidP="00685DB1">
      <w:pPr>
        <w:pBdr>
          <w:top w:val="nil"/>
          <w:left w:val="nil"/>
          <w:bottom w:val="nil"/>
          <w:right w:val="nil"/>
          <w:between w:val="nil"/>
        </w:pBdr>
        <w:spacing w:after="0" w:line="240" w:lineRule="auto"/>
        <w:jc w:val="both"/>
        <w:rPr>
          <w:rFonts w:ascii="Arial" w:eastAsia="EB Garamond" w:hAnsi="Arial" w:cs="Arial"/>
          <w:b/>
          <w:color w:val="000000" w:themeColor="text1"/>
        </w:rPr>
      </w:pPr>
      <w:r w:rsidRPr="0054195E">
        <w:rPr>
          <w:rFonts w:ascii="Arial" w:eastAsia="EB Garamond" w:hAnsi="Arial" w:cs="Arial"/>
          <w:b/>
          <w:color w:val="000000" w:themeColor="text1"/>
        </w:rPr>
        <w:t>Results of the Determination Coefficient Test (r²)</w:t>
      </w:r>
    </w:p>
    <w:p w14:paraId="74837EBB" w14:textId="254D114E" w:rsidR="00331D81" w:rsidRPr="0047203B" w:rsidRDefault="008D0E33"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By using multiple correlation </w:t>
      </w:r>
      <w:r w:rsidR="00D75438">
        <w:rPr>
          <w:rFonts w:ascii="Arial" w:eastAsia="EB Garamond" w:hAnsi="Arial" w:cs="Arial"/>
          <w:color w:val="000000" w:themeColor="text1"/>
        </w:rPr>
        <w:t>tests</w:t>
      </w:r>
      <w:r w:rsidRPr="0047203B">
        <w:rPr>
          <w:rFonts w:ascii="Arial" w:eastAsia="EB Garamond" w:hAnsi="Arial" w:cs="Arial"/>
          <w:color w:val="000000" w:themeColor="text1"/>
        </w:rPr>
        <w:t>, we can find out the percentage contribution of each independent variable together to the change of the dependent variable. The results of this calculation are presented in the following table:</w:t>
      </w:r>
    </w:p>
    <w:p w14:paraId="4F21ACE4" w14:textId="77777777" w:rsidR="00685DB1" w:rsidRDefault="00685DB1"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685DB1" w:rsidSect="00685DB1">
          <w:type w:val="continuous"/>
          <w:pgSz w:w="11906" w:h="16838"/>
          <w:pgMar w:top="1440" w:right="1440" w:bottom="1440" w:left="1440" w:header="397" w:footer="708" w:gutter="0"/>
          <w:cols w:num="2" w:space="720"/>
        </w:sectPr>
      </w:pPr>
    </w:p>
    <w:tbl>
      <w:tblPr>
        <w:tblpPr w:leftFromText="180" w:rightFromText="180" w:vertAnchor="text" w:horzAnchor="margin" w:tblpY="1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34"/>
        <w:gridCol w:w="765"/>
        <w:gridCol w:w="1693"/>
        <w:gridCol w:w="2251"/>
        <w:gridCol w:w="3183"/>
      </w:tblGrid>
      <w:tr w:rsidR="00685DB1" w:rsidRPr="0047203B" w14:paraId="3ABBEDFF" w14:textId="77777777" w:rsidTr="00685DB1">
        <w:trPr>
          <w:cantSplit/>
          <w:trHeight w:val="289"/>
        </w:trPr>
        <w:tc>
          <w:tcPr>
            <w:tcW w:w="5000" w:type="pct"/>
            <w:gridSpan w:val="5"/>
            <w:tcBorders>
              <w:top w:val="nil"/>
              <w:left w:val="nil"/>
              <w:bottom w:val="single" w:sz="4" w:space="0" w:color="auto"/>
              <w:right w:val="nil"/>
            </w:tcBorders>
            <w:shd w:val="clear" w:color="auto" w:fill="auto"/>
            <w:vAlign w:val="center"/>
          </w:tcPr>
          <w:p w14:paraId="2A91E130" w14:textId="333CDEB9" w:rsidR="00685DB1" w:rsidRDefault="00E26C41" w:rsidP="00685DB1">
            <w:pPr>
              <w:spacing w:after="0"/>
              <w:jc w:val="center"/>
              <w:rPr>
                <w:rFonts w:ascii="Arial" w:eastAsia="EB Garamond" w:hAnsi="Arial" w:cs="Arial"/>
                <w:b/>
                <w:color w:val="000000" w:themeColor="text1"/>
              </w:rPr>
            </w:pPr>
            <w:r>
              <w:rPr>
                <w:rFonts w:ascii="Arial" w:eastAsia="EB Garamond" w:hAnsi="Arial" w:cs="Arial"/>
                <w:b/>
                <w:color w:val="000000" w:themeColor="text1"/>
              </w:rPr>
              <w:t>Tabel 11</w:t>
            </w:r>
            <w:r w:rsidR="00685DB1">
              <w:rPr>
                <w:rFonts w:ascii="Arial" w:eastAsia="EB Garamond" w:hAnsi="Arial" w:cs="Arial"/>
                <w:b/>
                <w:color w:val="000000" w:themeColor="text1"/>
              </w:rPr>
              <w:t>.</w:t>
            </w:r>
          </w:p>
          <w:p w14:paraId="519776F8" w14:textId="2C202200" w:rsidR="00685DB1" w:rsidRPr="0047203B" w:rsidRDefault="00E26C41" w:rsidP="00685DB1">
            <w:pPr>
              <w:spacing w:after="0"/>
              <w:jc w:val="center"/>
              <w:rPr>
                <w:rFonts w:ascii="Arial" w:eastAsia="EB Garamond" w:hAnsi="Arial" w:cs="Arial"/>
                <w:b/>
                <w:color w:val="000000" w:themeColor="text1"/>
              </w:rPr>
            </w:pPr>
            <w:r>
              <w:rPr>
                <w:rFonts w:ascii="Arial" w:eastAsia="EB Garamond" w:hAnsi="Arial" w:cs="Arial"/>
                <w:b/>
                <w:color w:val="000000" w:themeColor="text1"/>
              </w:rPr>
              <w:t>C</w:t>
            </w:r>
            <w:r w:rsidRPr="00E26C41">
              <w:rPr>
                <w:rFonts w:ascii="Arial" w:eastAsia="EB Garamond" w:hAnsi="Arial" w:cs="Arial"/>
                <w:b/>
                <w:color w:val="000000" w:themeColor="text1"/>
              </w:rPr>
              <w:t>oefficient of Determination Test Results (r²)</w:t>
            </w:r>
          </w:p>
        </w:tc>
      </w:tr>
      <w:tr w:rsidR="00685DB1" w:rsidRPr="0047203B" w14:paraId="3FBFFCEC" w14:textId="77777777" w:rsidTr="00685DB1">
        <w:trPr>
          <w:cantSplit/>
          <w:trHeight w:val="272"/>
        </w:trPr>
        <w:tc>
          <w:tcPr>
            <w:tcW w:w="5000" w:type="pct"/>
            <w:gridSpan w:val="5"/>
            <w:tcBorders>
              <w:top w:val="nil"/>
              <w:left w:val="nil"/>
              <w:bottom w:val="single" w:sz="4" w:space="0" w:color="auto"/>
              <w:right w:val="nil"/>
            </w:tcBorders>
            <w:shd w:val="clear" w:color="auto" w:fill="auto"/>
            <w:vAlign w:val="center"/>
          </w:tcPr>
          <w:p w14:paraId="56A62AAC" w14:textId="77777777" w:rsidR="00685DB1" w:rsidRPr="0047203B" w:rsidRDefault="00685DB1" w:rsidP="00685DB1">
            <w:pPr>
              <w:spacing w:after="0"/>
              <w:jc w:val="center"/>
              <w:rPr>
                <w:rFonts w:ascii="Arial" w:eastAsia="EB Garamond" w:hAnsi="Arial" w:cs="Arial"/>
                <w:b/>
                <w:bCs/>
                <w:color w:val="000000" w:themeColor="text1"/>
              </w:rPr>
            </w:pPr>
            <w:r w:rsidRPr="0047203B">
              <w:rPr>
                <w:rFonts w:ascii="Arial" w:eastAsia="EB Garamond" w:hAnsi="Arial" w:cs="Arial"/>
                <w:b/>
                <w:bCs/>
                <w:color w:val="000000" w:themeColor="text1"/>
              </w:rPr>
              <w:t>Model Summaryb</w:t>
            </w:r>
          </w:p>
        </w:tc>
      </w:tr>
      <w:tr w:rsidR="00685DB1" w:rsidRPr="0047203B" w14:paraId="22A252F2" w14:textId="77777777" w:rsidTr="00685DB1">
        <w:trPr>
          <w:cantSplit/>
          <w:trHeight w:val="228"/>
        </w:trPr>
        <w:tc>
          <w:tcPr>
            <w:tcW w:w="628" w:type="pct"/>
            <w:tcBorders>
              <w:top w:val="single" w:sz="18" w:space="0" w:color="auto"/>
              <w:left w:val="nil"/>
              <w:bottom w:val="single" w:sz="8" w:space="0" w:color="152935"/>
              <w:right w:val="nil"/>
            </w:tcBorders>
            <w:shd w:val="clear" w:color="auto" w:fill="auto"/>
            <w:vAlign w:val="bottom"/>
          </w:tcPr>
          <w:p w14:paraId="4356CDEA"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Model</w:t>
            </w:r>
          </w:p>
        </w:tc>
        <w:tc>
          <w:tcPr>
            <w:tcW w:w="424" w:type="pct"/>
            <w:tcBorders>
              <w:top w:val="single" w:sz="18" w:space="0" w:color="auto"/>
              <w:left w:val="nil"/>
              <w:bottom w:val="single" w:sz="8" w:space="0" w:color="152935"/>
              <w:right w:val="single" w:sz="8" w:space="0" w:color="E0E0E0"/>
            </w:tcBorders>
            <w:shd w:val="clear" w:color="auto" w:fill="auto"/>
            <w:vAlign w:val="bottom"/>
          </w:tcPr>
          <w:p w14:paraId="74265E39"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R</w:t>
            </w:r>
          </w:p>
        </w:tc>
        <w:tc>
          <w:tcPr>
            <w:tcW w:w="938" w:type="pct"/>
            <w:tcBorders>
              <w:top w:val="single" w:sz="18" w:space="0" w:color="auto"/>
              <w:left w:val="single" w:sz="8" w:space="0" w:color="E0E0E0"/>
              <w:bottom w:val="single" w:sz="8" w:space="0" w:color="152935"/>
              <w:right w:val="single" w:sz="8" w:space="0" w:color="E0E0E0"/>
            </w:tcBorders>
            <w:shd w:val="clear" w:color="auto" w:fill="auto"/>
            <w:vAlign w:val="bottom"/>
          </w:tcPr>
          <w:p w14:paraId="7EF9B733"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R Square</w:t>
            </w:r>
          </w:p>
        </w:tc>
        <w:tc>
          <w:tcPr>
            <w:tcW w:w="1247" w:type="pct"/>
            <w:tcBorders>
              <w:top w:val="single" w:sz="18" w:space="0" w:color="auto"/>
              <w:left w:val="single" w:sz="8" w:space="0" w:color="E0E0E0"/>
              <w:bottom w:val="single" w:sz="8" w:space="0" w:color="152935"/>
              <w:right w:val="single" w:sz="8" w:space="0" w:color="E0E0E0"/>
            </w:tcBorders>
            <w:shd w:val="clear" w:color="auto" w:fill="auto"/>
            <w:vAlign w:val="bottom"/>
          </w:tcPr>
          <w:p w14:paraId="4CF62187"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Adjusted R Square</w:t>
            </w:r>
          </w:p>
        </w:tc>
        <w:tc>
          <w:tcPr>
            <w:tcW w:w="1763" w:type="pct"/>
            <w:tcBorders>
              <w:top w:val="single" w:sz="18" w:space="0" w:color="auto"/>
              <w:left w:val="single" w:sz="8" w:space="0" w:color="E0E0E0"/>
              <w:bottom w:val="single" w:sz="8" w:space="0" w:color="152935"/>
              <w:right w:val="nil"/>
            </w:tcBorders>
            <w:shd w:val="clear" w:color="auto" w:fill="auto"/>
            <w:vAlign w:val="bottom"/>
          </w:tcPr>
          <w:p w14:paraId="19711794"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Std. Error of the Estimate</w:t>
            </w:r>
          </w:p>
        </w:tc>
      </w:tr>
      <w:tr w:rsidR="00685DB1" w:rsidRPr="0047203B" w14:paraId="2EA922FE" w14:textId="77777777" w:rsidTr="00685DB1">
        <w:trPr>
          <w:cantSplit/>
          <w:trHeight w:val="261"/>
        </w:trPr>
        <w:tc>
          <w:tcPr>
            <w:tcW w:w="628" w:type="pct"/>
            <w:tcBorders>
              <w:top w:val="single" w:sz="8" w:space="0" w:color="152935"/>
              <w:left w:val="nil"/>
              <w:bottom w:val="single" w:sz="8" w:space="0" w:color="152935"/>
              <w:right w:val="nil"/>
            </w:tcBorders>
            <w:shd w:val="clear" w:color="auto" w:fill="auto"/>
          </w:tcPr>
          <w:p w14:paraId="4854E102"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w:t>
            </w:r>
          </w:p>
        </w:tc>
        <w:tc>
          <w:tcPr>
            <w:tcW w:w="424" w:type="pct"/>
            <w:tcBorders>
              <w:top w:val="single" w:sz="8" w:space="0" w:color="152935"/>
              <w:left w:val="nil"/>
              <w:bottom w:val="single" w:sz="8" w:space="0" w:color="152935"/>
              <w:right w:val="single" w:sz="8" w:space="0" w:color="E0E0E0"/>
            </w:tcBorders>
            <w:shd w:val="clear" w:color="auto" w:fill="auto"/>
          </w:tcPr>
          <w:p w14:paraId="7B48F46C"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.713a</w:t>
            </w:r>
          </w:p>
        </w:tc>
        <w:tc>
          <w:tcPr>
            <w:tcW w:w="938" w:type="pct"/>
            <w:tcBorders>
              <w:top w:val="single" w:sz="8" w:space="0" w:color="152935"/>
              <w:left w:val="single" w:sz="8" w:space="0" w:color="E0E0E0"/>
              <w:bottom w:val="single" w:sz="8" w:space="0" w:color="152935"/>
              <w:right w:val="single" w:sz="8" w:space="0" w:color="E0E0E0"/>
            </w:tcBorders>
            <w:shd w:val="clear" w:color="auto" w:fill="auto"/>
          </w:tcPr>
          <w:p w14:paraId="38D5C640"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.508</w:t>
            </w:r>
          </w:p>
        </w:tc>
        <w:tc>
          <w:tcPr>
            <w:tcW w:w="1247" w:type="pct"/>
            <w:tcBorders>
              <w:top w:val="single" w:sz="8" w:space="0" w:color="152935"/>
              <w:left w:val="single" w:sz="8" w:space="0" w:color="E0E0E0"/>
              <w:bottom w:val="single" w:sz="8" w:space="0" w:color="152935"/>
              <w:right w:val="single" w:sz="8" w:space="0" w:color="E0E0E0"/>
            </w:tcBorders>
            <w:shd w:val="clear" w:color="auto" w:fill="auto"/>
          </w:tcPr>
          <w:p w14:paraId="7C235831"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.463</w:t>
            </w:r>
          </w:p>
        </w:tc>
        <w:tc>
          <w:tcPr>
            <w:tcW w:w="1763" w:type="pct"/>
            <w:tcBorders>
              <w:top w:val="single" w:sz="8" w:space="0" w:color="152935"/>
              <w:left w:val="single" w:sz="8" w:space="0" w:color="E0E0E0"/>
              <w:bottom w:val="single" w:sz="8" w:space="0" w:color="152935"/>
              <w:right w:val="nil"/>
            </w:tcBorders>
            <w:shd w:val="clear" w:color="auto" w:fill="auto"/>
          </w:tcPr>
          <w:p w14:paraId="72FB52EC" w14:textId="77777777" w:rsidR="00685DB1" w:rsidRPr="0047203B" w:rsidRDefault="00685DB1" w:rsidP="00685DB1">
            <w:pPr>
              <w:spacing w:after="0"/>
              <w:jc w:val="center"/>
              <w:rPr>
                <w:rFonts w:ascii="Arial" w:eastAsia="EB Garamond" w:hAnsi="Arial" w:cs="Arial"/>
                <w:color w:val="000000" w:themeColor="text1"/>
              </w:rPr>
            </w:pPr>
            <w:r w:rsidRPr="0047203B">
              <w:rPr>
                <w:rFonts w:ascii="Arial" w:eastAsia="EB Garamond" w:hAnsi="Arial" w:cs="Arial"/>
                <w:color w:val="000000" w:themeColor="text1"/>
              </w:rPr>
              <w:t>1.69929</w:t>
            </w:r>
          </w:p>
        </w:tc>
      </w:tr>
      <w:tr w:rsidR="00685DB1" w:rsidRPr="0047203B" w14:paraId="690CAB65" w14:textId="77777777" w:rsidTr="00685DB1">
        <w:trPr>
          <w:cantSplit/>
          <w:trHeight w:val="298"/>
        </w:trPr>
        <w:tc>
          <w:tcPr>
            <w:tcW w:w="5000" w:type="pct"/>
            <w:gridSpan w:val="5"/>
            <w:tcBorders>
              <w:top w:val="single" w:sz="8" w:space="0" w:color="152935"/>
              <w:left w:val="nil"/>
              <w:bottom w:val="nil"/>
              <w:right w:val="nil"/>
            </w:tcBorders>
            <w:shd w:val="clear" w:color="auto" w:fill="auto"/>
          </w:tcPr>
          <w:p w14:paraId="7FD16A9A" w14:textId="77777777" w:rsidR="00685DB1" w:rsidRDefault="00685DB1" w:rsidP="00685DB1">
            <w:pPr>
              <w:spacing w:after="0"/>
              <w:rPr>
                <w:rFonts w:ascii="Arial" w:eastAsia="EB Garamond" w:hAnsi="Arial" w:cs="Arial"/>
                <w:color w:val="000000" w:themeColor="text1"/>
              </w:rPr>
            </w:pPr>
            <w:r w:rsidRPr="0047203B">
              <w:rPr>
                <w:rFonts w:ascii="Arial" w:eastAsia="EB Garamond" w:hAnsi="Arial" w:cs="Arial"/>
                <w:color w:val="000000" w:themeColor="text1"/>
              </w:rPr>
              <w:t>Data Processing Results (2024)</w:t>
            </w:r>
          </w:p>
          <w:p w14:paraId="29B03C79" w14:textId="77777777" w:rsidR="00D80613" w:rsidRPr="0047203B" w:rsidRDefault="00D80613" w:rsidP="00685DB1">
            <w:pPr>
              <w:spacing w:after="0"/>
              <w:rPr>
                <w:rFonts w:ascii="Arial" w:eastAsia="EB Garamond" w:hAnsi="Arial" w:cs="Arial"/>
                <w:color w:val="000000" w:themeColor="text1"/>
              </w:rPr>
            </w:pPr>
          </w:p>
        </w:tc>
      </w:tr>
    </w:tbl>
    <w:p w14:paraId="3A4C741F" w14:textId="77777777" w:rsidR="00685DB1" w:rsidRDefault="00685DB1"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sectPr w:rsidR="00685DB1">
          <w:type w:val="continuous"/>
          <w:pgSz w:w="11906" w:h="16838"/>
          <w:pgMar w:top="1440" w:right="1440" w:bottom="1440" w:left="1440" w:header="397" w:footer="708" w:gutter="0"/>
          <w:cols w:space="720"/>
        </w:sectPr>
      </w:pPr>
    </w:p>
    <w:p w14:paraId="47637F70" w14:textId="463B08BE" w:rsidR="0054195E" w:rsidRDefault="00255D8C" w:rsidP="0054195E">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Pr>
          <w:rFonts w:ascii="Arial" w:eastAsia="EB Garamond" w:hAnsi="Arial" w:cs="Arial"/>
          <w:color w:val="000000" w:themeColor="text1"/>
        </w:rPr>
        <w:t>Based on table 11</w:t>
      </w:r>
      <w:r w:rsidR="00F64F77" w:rsidRPr="0047203B">
        <w:rPr>
          <w:rFonts w:ascii="Arial" w:eastAsia="EB Garamond" w:hAnsi="Arial" w:cs="Arial"/>
          <w:color w:val="000000" w:themeColor="text1"/>
        </w:rPr>
        <w:t xml:space="preserve">. The coefficient of determination (R2) value of 50.8% indicates that about half of the total variation in interest </w:t>
      </w:r>
      <w:r w:rsidR="00866D91" w:rsidRPr="0047203B">
        <w:rPr>
          <w:rFonts w:ascii="Arial" w:eastAsia="EB Garamond" w:hAnsi="Arial" w:cs="Arial"/>
          <w:color w:val="000000" w:themeColor="text1"/>
        </w:rPr>
        <w:t>e-banking usage can be explained by independent variables in the study. However, there is still about 49.2% unexplained variation, which may be influenced by other factors outside the study that are not included in this study.</w:t>
      </w:r>
    </w:p>
    <w:p w14:paraId="327DFD48" w14:textId="4F1CD470" w:rsidR="00C2766F" w:rsidRPr="0054195E" w:rsidRDefault="0023358A" w:rsidP="0054195E">
      <w:pPr>
        <w:pBdr>
          <w:top w:val="nil"/>
          <w:left w:val="nil"/>
          <w:bottom w:val="nil"/>
          <w:right w:val="nil"/>
          <w:between w:val="nil"/>
        </w:pBdr>
        <w:spacing w:after="0" w:line="240" w:lineRule="auto"/>
        <w:jc w:val="both"/>
        <w:rPr>
          <w:rFonts w:ascii="Arial" w:hAnsi="Arial" w:cs="Arial"/>
          <w:b/>
          <w:i/>
          <w:color w:val="000000" w:themeColor="text1"/>
        </w:rPr>
      </w:pPr>
      <w:r w:rsidRPr="0054195E">
        <w:rPr>
          <w:rFonts w:ascii="Arial" w:hAnsi="Arial" w:cs="Arial"/>
          <w:b/>
          <w:i/>
          <w:color w:val="000000" w:themeColor="text1"/>
        </w:rPr>
        <w:t>Linear Regression Analysis</w:t>
      </w:r>
    </w:p>
    <w:p w14:paraId="114BC26F" w14:textId="6C9218BA" w:rsidR="00821ABE" w:rsidRPr="0047203B" w:rsidRDefault="00821ABE"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Multiple linear regression analysis is a useful statistical tool for testing </w:t>
      </w:r>
      <w:r w:rsidRPr="0047203B">
        <w:rPr>
          <w:rFonts w:ascii="Arial" w:eastAsia="EB Garamond" w:hAnsi="Arial" w:cs="Arial"/>
          <w:color w:val="000000" w:themeColor="text1"/>
        </w:rPr>
        <w:lastRenderedPageBreak/>
        <w:t>hypotheses about the influence of independent variables, either partially (one by one) or simultaneously (together), on changes in dependent variables.</w:t>
      </w:r>
    </w:p>
    <w:p w14:paraId="5E8D1E1D" w14:textId="77777777" w:rsidR="00821ABE" w:rsidRPr="0047203B" w:rsidRDefault="00821ABE"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Based on the results of the multiple linear regression analysis contained in Table 8, Unstandardized Coefficients column, section B, the relationship between the research variables can be expressed through the following regression equation:</w:t>
      </w:r>
    </w:p>
    <w:p w14:paraId="1308E994" w14:textId="77777777" w:rsidR="00F265B5" w:rsidRPr="0047203B" w:rsidRDefault="00F265B5"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p>
    <w:p w14:paraId="0AE6A4B6" w14:textId="77777777" w:rsidR="00882A95" w:rsidRPr="0047203B" w:rsidRDefault="00882A95" w:rsidP="0054195E">
      <w:pPr>
        <w:pBdr>
          <w:top w:val="nil"/>
          <w:left w:val="nil"/>
          <w:bottom w:val="nil"/>
          <w:right w:val="nil"/>
          <w:between w:val="nil"/>
        </w:pBdr>
        <w:spacing w:after="0" w:line="240" w:lineRule="auto"/>
        <w:jc w:val="center"/>
        <w:rPr>
          <w:rFonts w:ascii="Arial" w:eastAsia="EB Garamond" w:hAnsi="Arial" w:cs="Arial"/>
          <w:b/>
          <w:bCs/>
          <w:color w:val="000000" w:themeColor="text1"/>
        </w:rPr>
      </w:pPr>
      <w:r w:rsidRPr="0047203B">
        <w:rPr>
          <w:rFonts w:ascii="Arial" w:eastAsia="EB Garamond" w:hAnsi="Arial" w:cs="Arial"/>
          <w:b/>
          <w:bCs/>
          <w:color w:val="000000" w:themeColor="text1"/>
        </w:rPr>
        <w:t>IUE = α + β1FL + β 2In + β 3Se + β 4UE + β 5AB + Ԑ</w:t>
      </w:r>
    </w:p>
    <w:p w14:paraId="558D2ADF" w14:textId="77777777" w:rsidR="00F265B5" w:rsidRPr="0047203B" w:rsidRDefault="00F265B5" w:rsidP="005C23AF">
      <w:pPr>
        <w:pBdr>
          <w:top w:val="nil"/>
          <w:left w:val="nil"/>
          <w:bottom w:val="nil"/>
          <w:right w:val="nil"/>
          <w:between w:val="nil"/>
        </w:pBdr>
        <w:spacing w:after="0" w:line="240" w:lineRule="auto"/>
        <w:ind w:firstLine="567"/>
        <w:jc w:val="center"/>
        <w:rPr>
          <w:rFonts w:ascii="Arial" w:eastAsia="EB Garamond" w:hAnsi="Arial" w:cs="Arial"/>
          <w:b/>
          <w:bCs/>
          <w:color w:val="000000" w:themeColor="text1"/>
        </w:rPr>
      </w:pPr>
    </w:p>
    <w:p w14:paraId="00AD4FE4" w14:textId="3BCB7681" w:rsidR="00F265B5" w:rsidRPr="0047203B" w:rsidRDefault="00DB2F76"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Based on the results of multiple linear regression analysis, it can be concluded that</w:t>
      </w:r>
      <w:r w:rsidR="00F265B5" w:rsidRPr="0047203B">
        <w:rPr>
          <w:rFonts w:ascii="Arial" w:eastAsia="EB Garamond" w:hAnsi="Arial" w:cs="Arial"/>
          <w:color w:val="000000" w:themeColor="text1"/>
        </w:rPr>
        <w:t>:</w:t>
      </w:r>
    </w:p>
    <w:p w14:paraId="168B4FD9" w14:textId="194F1414" w:rsidR="00FC5306" w:rsidRPr="0047203B" w:rsidRDefault="00FC5306" w:rsidP="005C23AF">
      <w:pPr>
        <w:pStyle w:val="ListParagraph"/>
        <w:numPr>
          <w:ilvl w:val="0"/>
          <w:numId w:val="25"/>
        </w:numPr>
        <w:pBdr>
          <w:top w:val="nil"/>
          <w:left w:val="nil"/>
          <w:bottom w:val="nil"/>
          <w:right w:val="nil"/>
          <w:between w:val="nil"/>
        </w:pBdr>
        <w:spacing w:after="0" w:line="240" w:lineRule="auto"/>
        <w:ind w:left="0"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Constant 5.663: The constant value </w:t>
      </w:r>
      <w:r w:rsidRPr="0054195E">
        <w:rPr>
          <w:rFonts w:ascii="Arial" w:eastAsia="EB Garamond" w:hAnsi="Arial" w:cs="Arial"/>
          <w:color w:val="000000" w:themeColor="text1"/>
        </w:rPr>
        <w:t>(</w:t>
      </w:r>
      <w:r w:rsidR="00B069B4" w:rsidRPr="0054195E">
        <w:rPr>
          <w:rFonts w:ascii="Arial" w:eastAsia="EB Garamond" w:hAnsi="Arial" w:cs="Arial"/>
          <w:bCs/>
          <w:color w:val="000000" w:themeColor="text1"/>
        </w:rPr>
        <w:t>α</w:t>
      </w:r>
      <w:r w:rsidRPr="0047203B">
        <w:rPr>
          <w:rFonts w:ascii="Arial" w:eastAsia="EB Garamond" w:hAnsi="Arial" w:cs="Arial"/>
          <w:color w:val="000000" w:themeColor="text1"/>
        </w:rPr>
        <w:t>) of 5.663 shows that if all independent variables (Financial Literacy, Infrastructure, Security, User Experience, Benefits and Advantages) are considered constant or do not change, then the Interest in Using E-banking is 5.663 units.</w:t>
      </w:r>
    </w:p>
    <w:p w14:paraId="2E4ACA38" w14:textId="22CDBC35" w:rsidR="00FC5306" w:rsidRPr="0047203B" w:rsidRDefault="00FC5306" w:rsidP="005C23AF">
      <w:pPr>
        <w:pStyle w:val="ListParagraph"/>
        <w:numPr>
          <w:ilvl w:val="0"/>
          <w:numId w:val="25"/>
        </w:numPr>
        <w:pBdr>
          <w:top w:val="nil"/>
          <w:left w:val="nil"/>
          <w:bottom w:val="nil"/>
          <w:right w:val="nil"/>
          <w:between w:val="nil"/>
        </w:pBdr>
        <w:spacing w:after="0" w:line="240" w:lineRule="auto"/>
        <w:ind w:left="0"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Financial Literacy Coefficient -0.103: This coefficient indicates that a one-unit increase in the financial literacy variable will cause a decrease of 0.103 units in the interest in using </w:t>
      </w:r>
      <w:r w:rsidR="004C2EE8">
        <w:rPr>
          <w:rFonts w:ascii="Arial" w:eastAsia="EB Garamond" w:hAnsi="Arial" w:cs="Arial"/>
          <w:color w:val="000000" w:themeColor="text1"/>
        </w:rPr>
        <w:t xml:space="preserve">the </w:t>
      </w:r>
      <w:r w:rsidRPr="0047203B">
        <w:rPr>
          <w:rFonts w:ascii="Arial" w:eastAsia="EB Garamond" w:hAnsi="Arial" w:cs="Arial"/>
          <w:color w:val="000000" w:themeColor="text1"/>
        </w:rPr>
        <w:t>e-banking variable, assuming that other independent variables remain constant.</w:t>
      </w:r>
    </w:p>
    <w:p w14:paraId="5B1FA7AE" w14:textId="391613EC" w:rsidR="00FC5306" w:rsidRPr="0047203B" w:rsidRDefault="00FC5306" w:rsidP="005C23AF">
      <w:pPr>
        <w:pStyle w:val="ListParagraph"/>
        <w:numPr>
          <w:ilvl w:val="0"/>
          <w:numId w:val="25"/>
        </w:numPr>
        <w:pBdr>
          <w:top w:val="nil"/>
          <w:left w:val="nil"/>
          <w:bottom w:val="nil"/>
          <w:right w:val="nil"/>
          <w:between w:val="nil"/>
        </w:pBdr>
        <w:spacing w:after="0" w:line="240" w:lineRule="auto"/>
        <w:ind w:left="0" w:firstLine="567"/>
        <w:jc w:val="both"/>
        <w:rPr>
          <w:rFonts w:ascii="Arial" w:eastAsia="EB Garamond" w:hAnsi="Arial" w:cs="Arial"/>
          <w:color w:val="000000" w:themeColor="text1"/>
        </w:rPr>
      </w:pPr>
      <w:r w:rsidRPr="0047203B">
        <w:rPr>
          <w:rFonts w:ascii="Arial" w:eastAsia="EB Garamond" w:hAnsi="Arial" w:cs="Arial"/>
          <w:color w:val="000000" w:themeColor="text1"/>
        </w:rPr>
        <w:t>Infrastructure Coefficient -0.139: This coefficient shows that every one</w:t>
      </w:r>
      <w:r w:rsidR="00AF389D">
        <w:rPr>
          <w:rFonts w:ascii="Arial" w:eastAsia="EB Garamond" w:hAnsi="Arial" w:cs="Arial"/>
          <w:color w:val="000000" w:themeColor="text1"/>
        </w:rPr>
        <w:t>-</w:t>
      </w:r>
      <w:r w:rsidRPr="0047203B">
        <w:rPr>
          <w:rFonts w:ascii="Arial" w:eastAsia="EB Garamond" w:hAnsi="Arial" w:cs="Arial"/>
          <w:color w:val="000000" w:themeColor="text1"/>
        </w:rPr>
        <w:t xml:space="preserve">unit increase in the infrastructure variable results in a decrease of 0.139 </w:t>
      </w:r>
      <w:r w:rsidR="008A6DA0">
        <w:rPr>
          <w:rFonts w:ascii="Arial" w:eastAsia="EB Garamond" w:hAnsi="Arial" w:cs="Arial"/>
          <w:color w:val="000000" w:themeColor="text1"/>
        </w:rPr>
        <w:t>units in the interest in using the e-banking variable, assuming other independent variables are constant</w:t>
      </w:r>
      <w:r w:rsidRPr="0047203B">
        <w:rPr>
          <w:rFonts w:ascii="Arial" w:eastAsia="EB Garamond" w:hAnsi="Arial" w:cs="Arial"/>
          <w:color w:val="000000" w:themeColor="text1"/>
        </w:rPr>
        <w:t>.</w:t>
      </w:r>
    </w:p>
    <w:p w14:paraId="46461133" w14:textId="7680A5E9" w:rsidR="00FC5306" w:rsidRPr="0047203B" w:rsidRDefault="00FC5306" w:rsidP="005C23AF">
      <w:pPr>
        <w:pStyle w:val="ListParagraph"/>
        <w:numPr>
          <w:ilvl w:val="0"/>
          <w:numId w:val="25"/>
        </w:numPr>
        <w:pBdr>
          <w:top w:val="nil"/>
          <w:left w:val="nil"/>
          <w:bottom w:val="nil"/>
          <w:right w:val="nil"/>
          <w:between w:val="nil"/>
        </w:pBdr>
        <w:spacing w:after="0" w:line="240" w:lineRule="auto"/>
        <w:ind w:left="0" w:firstLine="567"/>
        <w:jc w:val="both"/>
        <w:rPr>
          <w:rFonts w:ascii="Arial" w:eastAsia="EB Garamond" w:hAnsi="Arial" w:cs="Arial"/>
          <w:color w:val="000000" w:themeColor="text1"/>
        </w:rPr>
      </w:pPr>
      <w:r w:rsidRPr="0047203B">
        <w:rPr>
          <w:rFonts w:ascii="Arial" w:eastAsia="EB Garamond" w:hAnsi="Arial" w:cs="Arial"/>
          <w:color w:val="000000" w:themeColor="text1"/>
        </w:rPr>
        <w:t>Security Coefficient 0.654: This coefficient shows that every one</w:t>
      </w:r>
      <w:r w:rsidR="00D47537">
        <w:rPr>
          <w:rFonts w:ascii="Arial" w:eastAsia="EB Garamond" w:hAnsi="Arial" w:cs="Arial"/>
          <w:color w:val="000000" w:themeColor="text1"/>
        </w:rPr>
        <w:t>-</w:t>
      </w:r>
      <w:r w:rsidRPr="0047203B">
        <w:rPr>
          <w:rFonts w:ascii="Arial" w:eastAsia="EB Garamond" w:hAnsi="Arial" w:cs="Arial"/>
          <w:color w:val="000000" w:themeColor="text1"/>
        </w:rPr>
        <w:t>unit increase in the Security variable results in an increase of 0.654 units in the interest variable to use e-banking, assuming that the other independent variables remain constant.</w:t>
      </w:r>
    </w:p>
    <w:p w14:paraId="1371FF95" w14:textId="349F2833" w:rsidR="00FC5306" w:rsidRPr="0047203B" w:rsidRDefault="00FC5306" w:rsidP="005C23AF">
      <w:pPr>
        <w:pStyle w:val="ListParagraph"/>
        <w:numPr>
          <w:ilvl w:val="0"/>
          <w:numId w:val="25"/>
        </w:numPr>
        <w:pBdr>
          <w:top w:val="nil"/>
          <w:left w:val="nil"/>
          <w:bottom w:val="nil"/>
          <w:right w:val="nil"/>
          <w:between w:val="nil"/>
        </w:pBdr>
        <w:spacing w:after="0" w:line="240" w:lineRule="auto"/>
        <w:ind w:left="0" w:firstLine="567"/>
        <w:jc w:val="both"/>
        <w:rPr>
          <w:rFonts w:ascii="Arial" w:eastAsia="EB Garamond" w:hAnsi="Arial" w:cs="Arial"/>
          <w:color w:val="000000" w:themeColor="text1"/>
        </w:rPr>
      </w:pPr>
      <w:r w:rsidRPr="0047203B">
        <w:rPr>
          <w:rFonts w:ascii="Arial" w:eastAsia="EB Garamond" w:hAnsi="Arial" w:cs="Arial"/>
          <w:color w:val="000000" w:themeColor="text1"/>
        </w:rPr>
        <w:t>User Experience Coefficient 0.146: This coefficient shows that every one unit increase in the User Experience variable results in a decrease of 0.146 units in the interest in using</w:t>
      </w:r>
      <w:r w:rsidR="007D26E5">
        <w:rPr>
          <w:rFonts w:ascii="Arial" w:eastAsia="EB Garamond" w:hAnsi="Arial" w:cs="Arial"/>
          <w:color w:val="000000" w:themeColor="text1"/>
        </w:rPr>
        <w:t xml:space="preserve"> the</w:t>
      </w:r>
      <w:r w:rsidRPr="0047203B">
        <w:rPr>
          <w:rFonts w:ascii="Arial" w:eastAsia="EB Garamond" w:hAnsi="Arial" w:cs="Arial"/>
          <w:color w:val="000000" w:themeColor="text1"/>
        </w:rPr>
        <w:t xml:space="preserve"> e-banking variable, assuming other independent variables are constant.</w:t>
      </w:r>
    </w:p>
    <w:p w14:paraId="5AD581E4" w14:textId="389D55D1" w:rsidR="00F265B5" w:rsidRPr="0047203B" w:rsidRDefault="00FC5306" w:rsidP="005C23AF">
      <w:pPr>
        <w:pStyle w:val="ListParagraph"/>
        <w:numPr>
          <w:ilvl w:val="0"/>
          <w:numId w:val="25"/>
        </w:numPr>
        <w:pBdr>
          <w:top w:val="nil"/>
          <w:left w:val="nil"/>
          <w:bottom w:val="nil"/>
          <w:right w:val="nil"/>
          <w:between w:val="nil"/>
        </w:pBdr>
        <w:spacing w:after="0" w:line="240" w:lineRule="auto"/>
        <w:ind w:left="0" w:firstLine="567"/>
        <w:jc w:val="both"/>
        <w:rPr>
          <w:rFonts w:ascii="Arial" w:eastAsia="EB Garamond" w:hAnsi="Arial" w:cs="Arial"/>
          <w:color w:val="000000" w:themeColor="text1"/>
        </w:rPr>
      </w:pPr>
      <w:r w:rsidRPr="0047203B">
        <w:rPr>
          <w:rFonts w:ascii="Arial" w:eastAsia="EB Garamond" w:hAnsi="Arial" w:cs="Arial"/>
          <w:color w:val="000000" w:themeColor="text1"/>
        </w:rPr>
        <w:lastRenderedPageBreak/>
        <w:t>Coefficient of Advantages and Benefits 0.428: This coefficient shows that every one unit increase in the Advantages and Benefits variable leads to a 0.428 unit increase in the interest variable in using e-banking, assuming other independent variables are constant.</w:t>
      </w:r>
    </w:p>
    <w:p w14:paraId="136C28EF" w14:textId="17A3A0BF" w:rsidR="008218AE" w:rsidRPr="0054195E" w:rsidRDefault="00856C39" w:rsidP="0054195E">
      <w:pPr>
        <w:pBdr>
          <w:top w:val="nil"/>
          <w:left w:val="nil"/>
          <w:bottom w:val="nil"/>
          <w:right w:val="nil"/>
          <w:between w:val="nil"/>
        </w:pBdr>
        <w:spacing w:after="0" w:line="240" w:lineRule="auto"/>
        <w:jc w:val="both"/>
        <w:rPr>
          <w:rFonts w:ascii="Arial" w:hAnsi="Arial" w:cs="Arial"/>
          <w:b/>
          <w:i/>
          <w:color w:val="000000" w:themeColor="text1"/>
        </w:rPr>
      </w:pPr>
      <w:r w:rsidRPr="0054195E">
        <w:rPr>
          <w:rFonts w:ascii="Arial" w:hAnsi="Arial" w:cs="Arial"/>
          <w:b/>
          <w:i/>
          <w:color w:val="000000" w:themeColor="text1"/>
        </w:rPr>
        <w:t>Di</w:t>
      </w:r>
      <w:r w:rsidR="00AB253D" w:rsidRPr="0054195E">
        <w:rPr>
          <w:rFonts w:ascii="Arial" w:hAnsi="Arial" w:cs="Arial"/>
          <w:b/>
          <w:i/>
          <w:color w:val="000000" w:themeColor="text1"/>
        </w:rPr>
        <w:t>scussion</w:t>
      </w:r>
      <w:r w:rsidR="00627B84" w:rsidRPr="0054195E">
        <w:rPr>
          <w:rFonts w:ascii="Arial" w:hAnsi="Arial" w:cs="Arial"/>
          <w:b/>
          <w:color w:val="000000" w:themeColor="text1"/>
        </w:rPr>
        <w:t xml:space="preserve"> </w:t>
      </w:r>
    </w:p>
    <w:p w14:paraId="33F191B2" w14:textId="6C45C502" w:rsidR="005E2838" w:rsidRPr="0047203B" w:rsidRDefault="005E2838" w:rsidP="005C23AF">
      <w:pPr>
        <w:pBdr>
          <w:top w:val="nil"/>
          <w:left w:val="nil"/>
          <w:bottom w:val="nil"/>
          <w:right w:val="nil"/>
          <w:between w:val="nil"/>
        </w:pBdr>
        <w:spacing w:after="0" w:line="240" w:lineRule="auto"/>
        <w:ind w:firstLine="567"/>
        <w:jc w:val="both"/>
        <w:rPr>
          <w:rFonts w:ascii="Arial" w:eastAsia="EB Garamond" w:hAnsi="Arial" w:cs="Arial"/>
          <w:b/>
          <w:bCs/>
          <w:color w:val="000000" w:themeColor="text1"/>
        </w:rPr>
      </w:pPr>
      <w:r w:rsidRPr="0047203B">
        <w:rPr>
          <w:rFonts w:ascii="Arial" w:eastAsia="EB Garamond" w:hAnsi="Arial" w:cs="Arial"/>
          <w:b/>
          <w:bCs/>
          <w:color w:val="000000" w:themeColor="text1"/>
        </w:rPr>
        <w:t>The influence of financial literacy among rural communities on interest in using e-banking.</w:t>
      </w:r>
    </w:p>
    <w:p w14:paraId="5EF3D3D7" w14:textId="714CF9B3" w:rsidR="005E2838" w:rsidRPr="0047203B" w:rsidRDefault="005E2838" w:rsidP="0054195E">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The findings of this study related to the impact of financial literacy on the interest in using e-banking are quite interesting to be studied further. The results of this study found that a person’s level of financial literacy is not a factor that influences a person’s decision to use electronic banking services. In line with the findi</w:t>
      </w:r>
      <w:r w:rsidR="00B069B4" w:rsidRPr="0047203B">
        <w:rPr>
          <w:rFonts w:ascii="Arial" w:eastAsia="EB Garamond" w:hAnsi="Arial" w:cs="Arial"/>
          <w:color w:val="000000" w:themeColor="text1"/>
        </w:rPr>
        <w:t>ngs of</w:t>
      </w:r>
      <w:r w:rsidR="00081DBD">
        <w:rPr>
          <w:rFonts w:ascii="Arial" w:eastAsia="EB Garamond" w:hAnsi="Arial" w:cs="Arial"/>
          <w:color w:val="000000" w:themeColor="text1"/>
        </w:rPr>
        <w:fldChar w:fldCharType="begin" w:fldLock="1"/>
      </w:r>
      <w:r w:rsidR="00081DBD">
        <w:rPr>
          <w:rFonts w:ascii="Arial" w:eastAsia="EB Garamond" w:hAnsi="Arial" w:cs="Arial"/>
          <w:color w:val="000000" w:themeColor="text1"/>
        </w:rPr>
        <w:instrText>ADDIN CSL_CITATION {"citationItems":[{"id":"ITEM-1","itemData":{"ISSN":"2579-6534","abstract":"Penelitian ini bertujuan menguji pengaruh penggunaan e-banking dan perlindungan nasabah pengguna e-banking terhadap kepercayaan nasabah dengan literasi keuangan sebagai variabel moderasi. Metode yang digunakan ialah kuantitatif deskriptif dengan pengumpulan data yang diambil melalui penyebaran kuesioner sebanyak 90 responden kepada nasabah Bank Syariah (BSI dan Muamalat) di Malang. Data yang diperoleh kemudian akan diuji melalui analisis pendekatan Partial Least Square melalui bantuan software SmartPls versi 3.0. Adapun hasil temuan pada penelitian ini, diperoleh bahwa variabel penggunaan e-banking berpengaruh negatif dan tidak signifikan terhadap kepercayaan nasabah sedangkan variabel perlindungan nasabah berpengaruh positif dan signifikan terhadap kepercayaan nasabah. Variabel literasi keuangan tidak mampu memoderasi penggunaan e-banking terhadap kepercayaan nasabah dengan pengaruh negatif dan tidak signifikan. Variabel literasi keuangan tidak mampu memoderasi perlindungan nasabah terhadap kepercayaan nasabah. Hasil pengujian R Square, secara simultan variabel kepercayaan nasabah dan literasi keuangan mampu menjelaskan variabel independen sebesar 82% dan 44% sisanya sebesar 18% dan 56% dijelaskan pada penelitian yang lain dengan variabel yang berbeda.","author":[{"dropping-particle":"","family":"Madaniah","given":"","non-dropping-particle":"","parse-names":false,"suffix":""},{"dropping-particle":"","family":"Suprayitno","given":"","non-dropping-particle":"","parse-names":false,"suffix":""}],"container-title":"Jurnal Ilmiah Ekonomi Islam","id":"ITEM-1","issue":"02","issued":{"date-parts":[["2022"]]},"title":"Pengaruh Penggunaan E-Banking dan Perlindungan Nasabah Terhadap Kepercayaan Nasabah dengan Literasi Keuangan sebagai Variabel Moderasi","type":"article-journal","volume":"8"},"uris":["http://www.mendeley.com/documents/?uuid=7be6d12b-1e32-3b23-8bae-61fe0109570b"]}],"mendeley":{"formattedCitation":"(Madaniah &amp; Suprayitno, 2022)","plainTextFormattedCitation":"(Madaniah &amp; Suprayitno, 2022)","previouslyFormattedCitation":"(Madaniah &amp; Suprayitno, 2022)"},"properties":{"noteIndex":0},"schema":"https://github.com/citation-style-language/schema/raw/master/csl-citation.json"}</w:instrText>
      </w:r>
      <w:r w:rsidR="00081DBD">
        <w:rPr>
          <w:rFonts w:ascii="Arial" w:eastAsia="EB Garamond" w:hAnsi="Arial" w:cs="Arial"/>
          <w:color w:val="000000" w:themeColor="text1"/>
        </w:rPr>
        <w:fldChar w:fldCharType="separate"/>
      </w:r>
      <w:r w:rsidR="00081DBD" w:rsidRPr="00081DBD">
        <w:rPr>
          <w:rFonts w:ascii="Arial" w:eastAsia="EB Garamond" w:hAnsi="Arial" w:cs="Arial"/>
          <w:noProof/>
          <w:color w:val="000000" w:themeColor="text1"/>
        </w:rPr>
        <w:t>(Madaniah &amp; Suprayitno, 2022)</w:t>
      </w:r>
      <w:r w:rsidR="00081DBD">
        <w:rPr>
          <w:rFonts w:ascii="Arial" w:eastAsia="EB Garamond" w:hAnsi="Arial" w:cs="Arial"/>
          <w:color w:val="000000" w:themeColor="text1"/>
        </w:rPr>
        <w:fldChar w:fldCharType="end"/>
      </w:r>
      <w:r w:rsidRPr="0047203B">
        <w:rPr>
          <w:rFonts w:ascii="Arial" w:eastAsia="EB Garamond" w:hAnsi="Arial" w:cs="Arial"/>
          <w:color w:val="000000" w:themeColor="text1"/>
        </w:rPr>
        <w:t xml:space="preserve">, but in contrast to previous studies such </w:t>
      </w:r>
      <w:r w:rsidR="00B069B4" w:rsidRPr="0047203B">
        <w:rPr>
          <w:rFonts w:ascii="Arial" w:eastAsia="EB Garamond" w:hAnsi="Arial" w:cs="Arial"/>
          <w:color w:val="000000" w:themeColor="text1"/>
        </w:rPr>
        <w:t xml:space="preserve">as </w:t>
      </w:r>
      <w:r w:rsidR="00081DBD">
        <w:rPr>
          <w:rFonts w:ascii="Arial" w:eastAsia="EB Garamond" w:hAnsi="Arial" w:cs="Arial"/>
          <w:color w:val="000000" w:themeColor="text1"/>
        </w:rPr>
        <w:fldChar w:fldCharType="begin" w:fldLock="1"/>
      </w:r>
      <w:r w:rsidR="00AB6ADE">
        <w:rPr>
          <w:rFonts w:ascii="Arial" w:eastAsia="EB Garamond" w:hAnsi="Arial" w:cs="Arial"/>
          <w:color w:val="000000" w:themeColor="text1"/>
        </w:rPr>
        <w:instrText>ADDIN CSL_CITATION {"citationItems":[{"id":"ITEM-1","itemData":{"DOI":"10.36418/syntax-idea.v2i1.119","abstract":"Bank syariah menjadi alternatif yang paling sesuai dengan pilihan umat Islam. \r\nMenurut (Indonesia, 1998), yang dimaksud dengan bank\r\ndikembangkan sebagai suatu respon dari kelompok ekonomi dan praktisi perbankan \r\nmuslim yang berupaya mengakomodasi desakan dari berbagai pihak yang \r\nmenginginkan agar tersedia jasa transaksi keuangan yang dilaksanakan sejalan dengan \r\nnilai moral dan prinsip-prinsip syariah Islam (Agus Marimin, n.d.). Hal ini dapat \r\ndisimak dari data di bawah ini","author":[{"dropping-particle":"","family":"Ahmad Munajim","given":"","non-dropping-particle":"","parse-names":false,"suffix":""}],"container-title":"Syntax Idea","id":"ITEM-1","issued":{"date-parts":[["2022","1"]]},"page":"1-10","title":"Pengaruh Tingkat Literasi Keuangan Terhadap \rKepercayaan Pada Produk Perbankan Syariah","type":"article-journal","volume":"Vol. 2, No. 1"},"uris":["http://www.mendeley.com/documents/?uuid=fe9ae544-7415-3bcb-a0b5-cdb5b86655d6"]}],"mendeley":{"formattedCitation":"(Ahmad Munajim, 2022)","plainTextFormattedCitation":"(Ahmad Munajim, 2022)","previouslyFormattedCitation":"(Ahmad Munajim, 2022)"},"properties":{"noteIndex":0},"schema":"https://github.com/citation-style-language/schema/raw/master/csl-citation.json"}</w:instrText>
      </w:r>
      <w:r w:rsidR="00081DBD">
        <w:rPr>
          <w:rFonts w:ascii="Arial" w:eastAsia="EB Garamond" w:hAnsi="Arial" w:cs="Arial"/>
          <w:color w:val="000000" w:themeColor="text1"/>
        </w:rPr>
        <w:fldChar w:fldCharType="separate"/>
      </w:r>
      <w:r w:rsidR="00081DBD" w:rsidRPr="00081DBD">
        <w:rPr>
          <w:rFonts w:ascii="Arial" w:eastAsia="EB Garamond" w:hAnsi="Arial" w:cs="Arial"/>
          <w:noProof/>
          <w:color w:val="000000" w:themeColor="text1"/>
        </w:rPr>
        <w:t>(Ahmad Munajim, 2022)</w:t>
      </w:r>
      <w:r w:rsidR="00081DBD">
        <w:rPr>
          <w:rFonts w:ascii="Arial" w:eastAsia="EB Garamond" w:hAnsi="Arial" w:cs="Arial"/>
          <w:color w:val="000000" w:themeColor="text1"/>
        </w:rPr>
        <w:fldChar w:fldCharType="end"/>
      </w:r>
      <w:r w:rsidR="00081DBD">
        <w:rPr>
          <w:rFonts w:ascii="Arial" w:eastAsia="EB Garamond" w:hAnsi="Arial" w:cs="Arial"/>
          <w:color w:val="000000" w:themeColor="text1"/>
        </w:rPr>
        <w:t xml:space="preserve"> </w:t>
      </w:r>
      <w:r w:rsidR="00B069B4" w:rsidRPr="0047203B">
        <w:rPr>
          <w:rFonts w:ascii="Arial" w:eastAsia="EB Garamond" w:hAnsi="Arial" w:cs="Arial"/>
          <w:color w:val="000000" w:themeColor="text1"/>
        </w:rPr>
        <w:t>and</w:t>
      </w:r>
      <w:r w:rsidR="00AB6ADE">
        <w:rPr>
          <w:rFonts w:ascii="Arial" w:eastAsia="EB Garamond" w:hAnsi="Arial" w:cs="Arial"/>
          <w:color w:val="000000" w:themeColor="text1"/>
        </w:rPr>
        <w:t xml:space="preserve"> </w:t>
      </w:r>
      <w:r w:rsidR="00AB6ADE">
        <w:rPr>
          <w:rFonts w:ascii="Arial" w:eastAsia="EB Garamond" w:hAnsi="Arial" w:cs="Arial"/>
          <w:color w:val="000000" w:themeColor="text1"/>
        </w:rPr>
        <w:fldChar w:fldCharType="begin" w:fldLock="1"/>
      </w:r>
      <w:r w:rsidR="005B5BE9">
        <w:rPr>
          <w:rFonts w:ascii="Arial" w:eastAsia="EB Garamond" w:hAnsi="Arial" w:cs="Arial"/>
          <w:color w:val="000000" w:themeColor="text1"/>
        </w:rPr>
        <w:instrText>ADDIN CSL_CITATION {"citationItems":[{"id":"ITEM-1","itemData":{"ISSN":"2528-0163","abstract":"… Berdasarkan beberapa penelitian terhadap pelaku usaha, masih terlihat rendahnya literasi keuangan para pelaku usaha. Rendahnya literasi keuangan membuat seseorang lebih …","author":[{"dropping-particle":"","family":"Budyastuti","given":"Triyani","non-dropping-particle":"","parse-names":false,"suffix":""}],"container-title":"Jurnal Online Insan Akuntan","id":"ITEM-1","issued":{"date-parts":[["2021"]]},"page":"167-178","title":"Pengaruh financial technology dan literasi keuangan terhadap keberlangsungan usaha","type":"article-journal","volume":"6(2)"},"uris":["http://www.mendeley.com/documents/?uuid=0c1ae5a6-922a-3aac-b80a-73b12b71c394"]}],"mendeley":{"formattedCitation":"(Budyastuti, 2021)","plainTextFormattedCitation":"(Budyastuti, 2021)","previouslyFormattedCitation":"(Budyastuti, 2021)"},"properties":{"noteIndex":0},"schema":"https://github.com/citation-style-language/schema/raw/master/csl-citation.json"}</w:instrText>
      </w:r>
      <w:r w:rsidR="00AB6ADE">
        <w:rPr>
          <w:rFonts w:ascii="Arial" w:eastAsia="EB Garamond" w:hAnsi="Arial" w:cs="Arial"/>
          <w:color w:val="000000" w:themeColor="text1"/>
        </w:rPr>
        <w:fldChar w:fldCharType="separate"/>
      </w:r>
      <w:r w:rsidR="00AB6ADE" w:rsidRPr="00AB6ADE">
        <w:rPr>
          <w:rFonts w:ascii="Arial" w:eastAsia="EB Garamond" w:hAnsi="Arial" w:cs="Arial"/>
          <w:noProof/>
          <w:color w:val="000000" w:themeColor="text1"/>
        </w:rPr>
        <w:t>(Budyastuti, 2021)</w:t>
      </w:r>
      <w:r w:rsidR="00AB6ADE">
        <w:rPr>
          <w:rFonts w:ascii="Arial" w:eastAsia="EB Garamond" w:hAnsi="Arial" w:cs="Arial"/>
          <w:color w:val="000000" w:themeColor="text1"/>
        </w:rPr>
        <w:fldChar w:fldCharType="end"/>
      </w:r>
      <w:r w:rsidRPr="0047203B">
        <w:rPr>
          <w:rFonts w:ascii="Arial" w:eastAsia="EB Garamond" w:hAnsi="Arial" w:cs="Arial"/>
          <w:color w:val="000000" w:themeColor="text1"/>
        </w:rPr>
        <w:t xml:space="preserve"> This difference may be due to differences in the characteristics of the samples studied. This finding emphasizes the need for more in-depth research to find modifying or intermediary factors that can explain the complex relationship between financial literacy and e-banking acceptance. The policy implication of this finding is that financial literacy improvement programs need to be designed more specifically and adjusted to the characteristics of each region, especially regarding the e-ba</w:t>
      </w:r>
      <w:r w:rsidR="0054195E">
        <w:rPr>
          <w:rFonts w:ascii="Arial" w:eastAsia="EB Garamond" w:hAnsi="Arial" w:cs="Arial"/>
          <w:color w:val="000000" w:themeColor="text1"/>
        </w:rPr>
        <w:t>nking digital financial system.</w:t>
      </w:r>
    </w:p>
    <w:p w14:paraId="18D59F0B" w14:textId="07553368" w:rsidR="005E2838" w:rsidRPr="0047203B" w:rsidRDefault="005E2838" w:rsidP="005C23AF">
      <w:pPr>
        <w:pBdr>
          <w:top w:val="nil"/>
          <w:left w:val="nil"/>
          <w:bottom w:val="nil"/>
          <w:right w:val="nil"/>
          <w:between w:val="nil"/>
        </w:pBdr>
        <w:spacing w:after="0" w:line="240" w:lineRule="auto"/>
        <w:ind w:firstLine="567"/>
        <w:jc w:val="both"/>
        <w:rPr>
          <w:rFonts w:ascii="Arial" w:eastAsia="EB Garamond" w:hAnsi="Arial" w:cs="Arial"/>
          <w:b/>
          <w:bCs/>
          <w:color w:val="000000" w:themeColor="text1"/>
        </w:rPr>
      </w:pPr>
      <w:r w:rsidRPr="0047203B">
        <w:rPr>
          <w:rFonts w:ascii="Arial" w:eastAsia="EB Garamond" w:hAnsi="Arial" w:cs="Arial"/>
          <w:b/>
          <w:bCs/>
          <w:color w:val="000000" w:themeColor="text1"/>
        </w:rPr>
        <w:t>The Influence of technological infrastructure in villages on people’s interest in using e-banking.</w:t>
      </w:r>
    </w:p>
    <w:p w14:paraId="732ECFCA" w14:textId="2862F8DC" w:rsidR="005E2838" w:rsidRPr="0047203B" w:rsidRDefault="005D7AF9" w:rsidP="0054195E">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5D7AF9">
        <w:rPr>
          <w:rFonts w:ascii="Arial" w:eastAsia="EB Garamond" w:hAnsi="Arial" w:cs="Arial"/>
          <w:color w:val="000000" w:themeColor="text1"/>
        </w:rPr>
        <w:t>This finding shows that the variable ‘Infrastructure’ does not affect people’s interest in using e-banking.</w:t>
      </w:r>
      <w:r w:rsidR="005E2838" w:rsidRPr="0047203B">
        <w:rPr>
          <w:rFonts w:ascii="Arial" w:eastAsia="EB Garamond" w:hAnsi="Arial" w:cs="Arial"/>
          <w:color w:val="000000" w:themeColor="text1"/>
        </w:rPr>
        <w:t xml:space="preserve"> This finding is quite surprising considering the general assumption that the availability of information technology infrastructure is a major prerequisite for the adoption of digital financial services. The results of this study indicate that while infrastructure is an important supporting factor, it is not a determining factor. Other factors such as security and perceived benefits may play a greater role in driving e-banking adoption among rural communities. This finding is in line</w:t>
      </w:r>
      <w:r w:rsidR="00984067" w:rsidRPr="0047203B">
        <w:rPr>
          <w:rFonts w:ascii="Arial" w:eastAsia="EB Garamond" w:hAnsi="Arial" w:cs="Arial"/>
          <w:color w:val="000000" w:themeColor="text1"/>
        </w:rPr>
        <w:t xml:space="preserve"> with </w:t>
      </w:r>
      <w:r w:rsidR="00A36BE6">
        <w:rPr>
          <w:rFonts w:ascii="Arial" w:eastAsia="EB Garamond" w:hAnsi="Arial" w:cs="Arial"/>
        </w:rPr>
        <w:fldChar w:fldCharType="begin" w:fldLock="1"/>
      </w:r>
      <w:r w:rsidR="00A36BE6">
        <w:rPr>
          <w:rFonts w:ascii="Arial" w:eastAsia="EB Garamond" w:hAnsi="Arial" w:cs="Arial"/>
        </w:rPr>
        <w:instrText>ADDIN CSL_CITATION {"citationItems":[{"id":"ITEM-1","itemData":{"author":[{"dropping-particle":"","family":"Adi Saputra Hsb","given":"","non-dropping-particle":"","parse-names":false,"suffix":""},{"dropping-particle":"","family":"Ismi Andari","given":"","non-dropping-particle":"","parse-names":false,"suffix":""}],"container-title":"NUSANTARA: Jurnal Ilmu Pengetahuan Sosial","id":"ITEM-1","issued":{"date-parts":[["2023"]]},"page":"1138-1136","title":"KAJIAN MINAT GUNA LAYANAN MOBILE  BANKING DI KALANGAN MAHASISWA1","type":"article-journal","volume":"Vol 10 No 3"},"uris":["http://www.mendeley.com/documents/?uuid=9e4ceb39-5660-3b75-93ad-141de6618bed"]}],"mendeley":{"formattedCitation":"(Adi Saputra Hsb &amp; Ismi Andari, 2023)","manualFormatting":"(Adi.S.P &amp; Ismi.A, 2023)","plainTextFormattedCitation":"(Adi Saputra Hsb &amp; Ismi Andari, 2023)","previouslyFormattedCitation":"(Adi Saputra Hsb &amp; Ismi Andari, 2023)"},"properties":{"noteIndex":0},"schema":"https://github.com/citation-style-language/schema/raw/master/csl-citation.json"}</w:instrText>
      </w:r>
      <w:r w:rsidR="00A36BE6">
        <w:rPr>
          <w:rFonts w:ascii="Arial" w:eastAsia="EB Garamond" w:hAnsi="Arial" w:cs="Arial"/>
        </w:rPr>
        <w:fldChar w:fldCharType="separate"/>
      </w:r>
      <w:r w:rsidR="00A36BE6">
        <w:rPr>
          <w:rFonts w:ascii="Arial" w:eastAsia="EB Garamond" w:hAnsi="Arial" w:cs="Arial"/>
          <w:noProof/>
        </w:rPr>
        <w:t>(Adi.S.P &amp; Ismi.A</w:t>
      </w:r>
      <w:r w:rsidR="00A36BE6" w:rsidRPr="00A36BE6">
        <w:rPr>
          <w:rFonts w:ascii="Arial" w:eastAsia="EB Garamond" w:hAnsi="Arial" w:cs="Arial"/>
          <w:noProof/>
        </w:rPr>
        <w:t>, 2023)</w:t>
      </w:r>
      <w:r w:rsidR="00A36BE6">
        <w:rPr>
          <w:rFonts w:ascii="Arial" w:eastAsia="EB Garamond" w:hAnsi="Arial" w:cs="Arial"/>
        </w:rPr>
        <w:fldChar w:fldCharType="end"/>
      </w:r>
      <w:r w:rsidR="00A36BE6" w:rsidRPr="00AB6ADE">
        <w:rPr>
          <w:rFonts w:ascii="Arial" w:eastAsia="EB Garamond" w:hAnsi="Arial" w:cs="Arial"/>
        </w:rPr>
        <w:t xml:space="preserve">, </w:t>
      </w:r>
      <w:r w:rsidR="00A36BE6">
        <w:rPr>
          <w:rFonts w:ascii="Arial" w:eastAsia="EB Garamond" w:hAnsi="Arial" w:cs="Arial"/>
        </w:rPr>
        <w:fldChar w:fldCharType="begin" w:fldLock="1"/>
      </w:r>
      <w:r w:rsidR="00A36BE6">
        <w:rPr>
          <w:rFonts w:ascii="Arial" w:eastAsia="EB Garamond" w:hAnsi="Arial" w:cs="Arial"/>
        </w:rPr>
        <w:instrText>ADDIN CSL_CITATION {"citationItems":[{"id":"ITEM-1","itemData":{"ISSN":"2528-0163","abstract":"… Berdasarkan beberapa penelitian terhadap pelaku usaha, masih terlihat rendahnya literasi keuangan para pelaku usaha. Rendahnya literasi keuangan membuat seseorang lebih …","author":[{"dropping-particle":"","family":"Budyastuti","given":"Triyani","non-dropping-particle":"","parse-names":false,"suffix":""}],"container-title":"Jurnal Online Insan Akuntan","id":"ITEM-1","issued":{"date-parts":[["2021"]]},"page":"167-178","title":"Pengaruh financial technology dan literasi keuangan terhadap keberlangsungan usaha","type":"article-journal","volume":"6(2)"},"uris":["http://www.mendeley.com/documents/?uuid=0c1ae5a6-922a-3aac-b80a-73b12b71c394"]}],"mendeley":{"formattedCitation":"(Budyastuti, 2021)","plainTextFormattedCitation":"(Budyastuti, 2021)","previouslyFormattedCitation":"(Budyastuti, 2021)"},"properties":{"noteIndex":0},"schema":"https://github.com/citation-style-language/schema/raw/master/csl-citation.json"}</w:instrText>
      </w:r>
      <w:r w:rsidR="00A36BE6">
        <w:rPr>
          <w:rFonts w:ascii="Arial" w:eastAsia="EB Garamond" w:hAnsi="Arial" w:cs="Arial"/>
        </w:rPr>
        <w:fldChar w:fldCharType="separate"/>
      </w:r>
      <w:r w:rsidR="00A36BE6" w:rsidRPr="00A36BE6">
        <w:rPr>
          <w:rFonts w:ascii="Arial" w:eastAsia="EB Garamond" w:hAnsi="Arial" w:cs="Arial"/>
          <w:noProof/>
        </w:rPr>
        <w:t>(Budyastuti, 2021)</w:t>
      </w:r>
      <w:r w:rsidR="00A36BE6">
        <w:rPr>
          <w:rFonts w:ascii="Arial" w:eastAsia="EB Garamond" w:hAnsi="Arial" w:cs="Arial"/>
        </w:rPr>
        <w:fldChar w:fldCharType="end"/>
      </w:r>
      <w:r w:rsidR="00A36BE6" w:rsidRPr="00AB6ADE">
        <w:rPr>
          <w:rFonts w:ascii="Arial" w:eastAsia="EB Garamond" w:hAnsi="Arial" w:cs="Arial"/>
        </w:rPr>
        <w:t xml:space="preserve"> and </w:t>
      </w:r>
      <w:r w:rsidR="00A36BE6">
        <w:rPr>
          <w:rFonts w:ascii="Arial" w:eastAsia="EB Garamond" w:hAnsi="Arial" w:cs="Arial"/>
        </w:rPr>
        <w:fldChar w:fldCharType="begin" w:fldLock="1"/>
      </w:r>
      <w:r w:rsidR="00EC4D73">
        <w:rPr>
          <w:rFonts w:ascii="Arial" w:eastAsia="EB Garamond" w:hAnsi="Arial" w:cs="Arial"/>
        </w:rPr>
        <w:instrText>ADDIN CSL_CITATION {"citationItems":[{"id":"ITEM-1","itemData":{"abstract":"This study aims to determine how financial inclusion, financial literacy and financial technology affect the sustainability of micro, small and medium enterprises. The sample selection in this study used the Slovin formula. The data collection technique was carried out using a questionnaire, the object of this research was MSMEs in the City of Tidore Islands. Hypothesis testing in this study used Multiple Linear Regression Analysis with the help of SPSS. The results of this study found that: (1) financial inclusion affects the sustainability of MSMEs; (2) financial literacy affects the sustainability of MSMEs; (3) financial technology has no effect on the sustainability of MSMEs.","author":[{"dropping-particle":"","family":"Sahdan","given":"Rinto","non-dropping-particle":"","parse-names":false,"suffix":""},{"dropping-particle":"","family":"Sardju","given":"Fitriani","non-dropping-particle":"","parse-names":false,"suffix":""}],"container-title":"International Journal of Economics Development Research","id":"ITEM-1","issued":{"date-parts":[["2023"]]},"page":"1814-1825","title":"Financial Inclusion, Financial Literacy, And Financial Technology Impact On The Sustainability Of Micro, Small, And Medium Enterprises: A Study In The SMES Of Tidore Islands, Indonesia","type":"article-journal","volume":"4(3)"},"uris":["http://www.mendeley.com/documents/?uuid=8fa41954-9040-3985-8432-1e39c0c3e780"]}],"mendeley":{"formattedCitation":"(Sahdan &amp; Sardju, 2023)","plainTextFormattedCitation":"(Sahdan &amp; Sardju, 2023)","previouslyFormattedCitation":"(Sahdan &amp; Sardju, 2023)"},"properties":{"noteIndex":0},"schema":"https://github.com/citation-style-language/schema/raw/master/csl-citation.json"}</w:instrText>
      </w:r>
      <w:r w:rsidR="00A36BE6">
        <w:rPr>
          <w:rFonts w:ascii="Arial" w:eastAsia="EB Garamond" w:hAnsi="Arial" w:cs="Arial"/>
        </w:rPr>
        <w:fldChar w:fldCharType="separate"/>
      </w:r>
      <w:r w:rsidR="00A36BE6" w:rsidRPr="00A36BE6">
        <w:rPr>
          <w:rFonts w:ascii="Arial" w:eastAsia="EB Garamond" w:hAnsi="Arial" w:cs="Arial"/>
          <w:noProof/>
        </w:rPr>
        <w:t xml:space="preserve">(Sahdan &amp; </w:t>
      </w:r>
      <w:r w:rsidR="00A36BE6" w:rsidRPr="00A36BE6">
        <w:rPr>
          <w:rFonts w:ascii="Arial" w:eastAsia="EB Garamond" w:hAnsi="Arial" w:cs="Arial"/>
          <w:noProof/>
        </w:rPr>
        <w:lastRenderedPageBreak/>
        <w:t>Sardju, 2023)</w:t>
      </w:r>
      <w:r w:rsidR="00A36BE6">
        <w:rPr>
          <w:rFonts w:ascii="Arial" w:eastAsia="EB Garamond" w:hAnsi="Arial" w:cs="Arial"/>
        </w:rPr>
        <w:fldChar w:fldCharType="end"/>
      </w:r>
      <w:r w:rsidR="00984067" w:rsidRPr="0047203B">
        <w:rPr>
          <w:rFonts w:ascii="Arial" w:eastAsia="EB Garamond" w:hAnsi="Arial" w:cs="Arial"/>
          <w:color w:val="000000" w:themeColor="text1"/>
        </w:rPr>
        <w:t xml:space="preserve"> </w:t>
      </w:r>
      <w:r w:rsidR="005E2838" w:rsidRPr="0047203B">
        <w:rPr>
          <w:rFonts w:ascii="Arial" w:eastAsia="EB Garamond" w:hAnsi="Arial" w:cs="Arial"/>
          <w:color w:val="000000" w:themeColor="text1"/>
        </w:rPr>
        <w:t xml:space="preserve">which highlights that economic development is not always influenced by the adoption of the digital economy such as e-banking. The difference in the results of this study with previous studies that emphasize the important </w:t>
      </w:r>
      <w:r w:rsidR="00A36BE6">
        <w:rPr>
          <w:rFonts w:ascii="Arial" w:eastAsia="EB Garamond" w:hAnsi="Arial" w:cs="Arial"/>
          <w:color w:val="000000" w:themeColor="text1"/>
        </w:rPr>
        <w:t>role of infrastructure, such as</w:t>
      </w:r>
      <w:r w:rsidR="005E2838" w:rsidRPr="0047203B">
        <w:rPr>
          <w:rFonts w:ascii="Arial" w:eastAsia="EB Garamond" w:hAnsi="Arial" w:cs="Arial"/>
          <w:color w:val="000000" w:themeColor="text1"/>
        </w:rPr>
        <w:t xml:space="preserve"> research </w:t>
      </w:r>
      <w:r w:rsidR="00A36BE6">
        <w:rPr>
          <w:rFonts w:ascii="Arial" w:eastAsia="EB Garamond" w:hAnsi="Arial" w:cs="Arial"/>
        </w:rPr>
        <w:fldChar w:fldCharType="begin" w:fldLock="1"/>
      </w:r>
      <w:r w:rsidR="00A36BE6">
        <w:rPr>
          <w:rFonts w:ascii="Arial" w:eastAsia="EB Garamond" w:hAnsi="Arial" w:cs="Arial"/>
        </w:rPr>
        <w:instrText>ADDIN CSL_CITATION {"citationItems":[{"id":"ITEM-1","itemData":{"DOI":"10.32722/acc.v8i1.3879","ISSN":"2338-9753","abstract":"ABSTRACT  \r In 2019, the number of BCA mobile banking transactions has increased by 99.2% and the number of BCA Mobile banking users has increased by 28.57%. This shows that the BCA mobile banking application is accepted by the majority of BCA bank customers, but in fact there are still many complaints from BCA Mobile users. Research aims to understand the effect of Service Feature Availability and Service Quality on Customers Interest in Using BCA Mobile in the Jabodetabek Area. The sample taken is 100 customers of Bank Central Asia. The analyze technique used is multiple linear regression with SPSS Version 26.0. The results shows that the Service Feature Availibility and Service Quality partially effect significantly of interest customers in using BCA Mobile in the Jabodetabek Area. All independent variables, have a joint contribution of 49.2% to the customers interest in using the BCA Mobile in the Jabodetabek Area.  \r  \r Keywords: Service Feature, Service Quality, Customer Interest, BCA Mobile, Jabodetabek. \r ABSTRAK \r Pada tahun 2019, jumlah transaksi BCA mobile banking mengalami kenaikan sebesar 99,2%  dan jumlah pengguna BCA mobile banking mengalami kenaikan sebesar 28,57%. Hal ini menunjukkan bahwa aplikasi BCA mobile banking diterima dan diminati oleh sebagian besar nasabah bank BCA, tetapi kenyataannya masih banyak diterima keluhan dari pengguna BCA Mobile. Penelitian ini bertujuan untuk menganalisis pengaruh ketersediaan fitur layanan dan kualitas pelayanan terhadap minat nasabah dalam menggunakan BCA Mobile di wilayah Jabodetabek Sampel dalam penelitian ini terdiri dari 100 nasabah Bank Central Asia. Teknik analisis yang digunakan adalah regresi linear berganda dengan alat bantu analisis yaitu SPSS Versi 26.0. Hasil penelitian ini menunjukkan bahwa variabel ketersediaan fitur layanan dan kualitas pelayanan secara parsial berpengaruh signifikan terhadap minat nasabah dalam menggunakan BCA Mobile di wilayah Jabodetabek. Seluruh variabel bebas yaitu, ketersediaan fitur layanan dan kualitas pelayanan mempunyai kontribusi secara bersama-sama sebesar 49,2% terhadap minat nasabah dalam menggunakan BCA Mobile di wilayah Jabodetabek.  \r  \r Kata kunci: Fitur Layanan, Kualitas Pelayanan, Minat Nasabah, BCA Mobile, Jabodetabek","author":[{"dropping-particle":"","family":"Marthauli","given":"Marthauli","non-dropping-particle":"","parse-names":false,"suffix":""},{"dropping-particle":"","family":"Mirati","given":"Elly","non-dropping-particle":"","parse-names":false,"suffix":""},{"dropping-particle":"","family":"Vidyasari","given":"Rahmanita","non-dropping-particle":"","parse-names":false,"suffix":""}],"container-title":"account","id":"ITEM-1","issue":"1","issued":{"date-parts":[["2021"]]},"title":"PENGARUH KETERSEDIAAN FITUR LAYANAN DAN KUALITAS PELAYANAN TERHADAP MINAT NASABAH DALAM MENGGUNAKAN BCA MOBILE DI WILAYAH JABODETABEK","type":"article-journal","volume":"8"},"uris":["http://www.mendeley.com/documents/?uuid=7a97d68f-71ed-3d03-84fd-7514b8970921"]}],"mendeley":{"formattedCitation":"(Marthauli et al., 2021)","plainTextFormattedCitation":"(Marthauli et al., 2021)","previouslyFormattedCitation":"(Marthauli et al., 2021)"},"properties":{"noteIndex":0},"schema":"https://github.com/citation-style-language/schema/raw/master/csl-citation.json"}</w:instrText>
      </w:r>
      <w:r w:rsidR="00A36BE6">
        <w:rPr>
          <w:rFonts w:ascii="Arial" w:eastAsia="EB Garamond" w:hAnsi="Arial" w:cs="Arial"/>
        </w:rPr>
        <w:fldChar w:fldCharType="separate"/>
      </w:r>
      <w:r w:rsidR="00A36BE6" w:rsidRPr="005B5BE9">
        <w:rPr>
          <w:rFonts w:ascii="Arial" w:eastAsia="EB Garamond" w:hAnsi="Arial" w:cs="Arial"/>
          <w:noProof/>
        </w:rPr>
        <w:t>(Marthauli et al., 2021)</w:t>
      </w:r>
      <w:r w:rsidR="00A36BE6">
        <w:rPr>
          <w:rFonts w:ascii="Arial" w:eastAsia="EB Garamond" w:hAnsi="Arial" w:cs="Arial"/>
        </w:rPr>
        <w:fldChar w:fldCharType="end"/>
      </w:r>
      <w:r w:rsidR="00A36BE6" w:rsidRPr="00AB6ADE">
        <w:rPr>
          <w:rFonts w:ascii="Arial" w:eastAsia="EB Garamond" w:hAnsi="Arial" w:cs="Arial"/>
        </w:rPr>
        <w:t xml:space="preserve">, and </w:t>
      </w:r>
      <w:r w:rsidR="00A36BE6">
        <w:rPr>
          <w:rFonts w:ascii="Arial" w:eastAsia="EB Garamond" w:hAnsi="Arial" w:cs="Arial"/>
        </w:rPr>
        <w:fldChar w:fldCharType="begin" w:fldLock="1"/>
      </w:r>
      <w:r w:rsidR="00A36BE6">
        <w:rPr>
          <w:rFonts w:ascii="Arial" w:eastAsia="EB Garamond" w:hAnsi="Arial" w:cs="Arial"/>
        </w:rPr>
        <w:instrText>ADDIN CSL_CITATION {"citationItems":[{"id":"ITEM-1","itemData":{"abstract":"Research was conducted to analyze factors that \r\naffect interest in using Mobile Banking. Research \r\nconducted on the use of Wow Aps in central Java \r\nusing the Technology Acceptance Model (TAM) \r\ntheory developed by Fred Davis in 1989 which was \r\nlater updated by Davis and Venkatesh in 1996. It \r\nwas a theory that was often used by researchers \r\nregarding public confidence in new technology and \r\nacceptance of technology. Sampling method used \r\nconvenience sampling method. The data collection \r\ntechnique used by researchers was questionnaire \r\ndeployments aimed at users of the Wow Aps \r\nMobile Banking application located in central Java \r\nas respondents. Relationships and/or influences \r\nbetween variables were described using multiple \r\nregression analysis methods. The results of the \r\nanalysis of this study stated that the perceived \r\nusefullness, the Perceived Ease of Use, the \r\nFeature Availability has a significant effect on \r\nBehavioral Intention to Use .","author":[{"dropping-particle":"","family":"Alfina Eka Mutiara Sari1","given":"","non-dropping-particle":"","parse-names":false,"suffix":""},{"dropping-particle":"","family":"Batara Daniel Bagana","given":"","non-dropping-particle":"","parse-names":false,"suffix":""}],"container-title":"JURNAL ILMIAH KOMPUTERISASI AKUNTANS","id":"ITEM-1","issued":{"date-parts":[["2022"]]},"page":"299-307","title":"Analisis Faktor-Faktor Yang Mempengaruhi Minat Menggunakan Mobile Banking","type":"article-journal","volume":"Vol. 15, No. 2"},"uris":["http://www.mendeley.com/documents/?uuid=5e447df1-6c73-36cf-8e2a-e279871e6e72"]}],"mendeley":{"formattedCitation":"(Alfina Eka Mutiara Sari1 &amp; Batara Daniel Bagana, 2022)","manualFormatting":"(Alfina &amp; Batara, 2022)","plainTextFormattedCitation":"(Alfina Eka Mutiara Sari1 &amp; Batara Daniel Bagana, 2022)","previouslyFormattedCitation":"(Alfina Eka Mutiara Sari1 &amp; Batara Daniel Bagana, 2022)"},"properties":{"noteIndex":0},"schema":"https://github.com/citation-style-language/schema/raw/master/csl-citation.json"}</w:instrText>
      </w:r>
      <w:r w:rsidR="00A36BE6">
        <w:rPr>
          <w:rFonts w:ascii="Arial" w:eastAsia="EB Garamond" w:hAnsi="Arial" w:cs="Arial"/>
        </w:rPr>
        <w:fldChar w:fldCharType="separate"/>
      </w:r>
      <w:r w:rsidR="00A36BE6">
        <w:rPr>
          <w:rFonts w:ascii="Arial" w:eastAsia="EB Garamond" w:hAnsi="Arial" w:cs="Arial"/>
          <w:noProof/>
        </w:rPr>
        <w:t>(Alfina &amp; Batara</w:t>
      </w:r>
      <w:r w:rsidR="00A36BE6" w:rsidRPr="005B5BE9">
        <w:rPr>
          <w:rFonts w:ascii="Arial" w:eastAsia="EB Garamond" w:hAnsi="Arial" w:cs="Arial"/>
          <w:noProof/>
        </w:rPr>
        <w:t>, 2022)</w:t>
      </w:r>
      <w:r w:rsidR="00A36BE6">
        <w:rPr>
          <w:rFonts w:ascii="Arial" w:eastAsia="EB Garamond" w:hAnsi="Arial" w:cs="Arial"/>
        </w:rPr>
        <w:fldChar w:fldCharType="end"/>
      </w:r>
      <w:r w:rsidR="00984067" w:rsidRPr="0047203B">
        <w:rPr>
          <w:rFonts w:ascii="Arial" w:eastAsia="EB Garamond" w:hAnsi="Arial" w:cs="Arial"/>
          <w:color w:val="000000" w:themeColor="text1"/>
        </w:rPr>
        <w:t>,</w:t>
      </w:r>
      <w:r w:rsidR="00EC29A0">
        <w:rPr>
          <w:rFonts w:ascii="Arial" w:eastAsia="EB Garamond" w:hAnsi="Arial" w:cs="Arial"/>
          <w:color w:val="000000" w:themeColor="text1"/>
        </w:rPr>
        <w:t xml:space="preserve"> </w:t>
      </w:r>
      <w:r w:rsidR="005E2838" w:rsidRPr="0047203B">
        <w:rPr>
          <w:rFonts w:ascii="Arial" w:eastAsia="EB Garamond" w:hAnsi="Arial" w:cs="Arial"/>
          <w:color w:val="000000" w:themeColor="text1"/>
        </w:rPr>
        <w:t>may be due to different locations or sample sizes. The results of this study highlight the importance of conducting further research to identify the complex interactions between information technology developments and e-b</w:t>
      </w:r>
      <w:r w:rsidR="0054195E">
        <w:rPr>
          <w:rFonts w:ascii="Arial" w:eastAsia="EB Garamond" w:hAnsi="Arial" w:cs="Arial"/>
          <w:color w:val="000000" w:themeColor="text1"/>
        </w:rPr>
        <w:t>anking adoption in rural areas.</w:t>
      </w:r>
    </w:p>
    <w:p w14:paraId="3D21DC0B" w14:textId="690F3445" w:rsidR="005E2838" w:rsidRPr="0047203B" w:rsidRDefault="005E2838" w:rsidP="005C23AF">
      <w:pPr>
        <w:pBdr>
          <w:top w:val="nil"/>
          <w:left w:val="nil"/>
          <w:bottom w:val="nil"/>
          <w:right w:val="nil"/>
          <w:between w:val="nil"/>
        </w:pBdr>
        <w:spacing w:after="0" w:line="240" w:lineRule="auto"/>
        <w:ind w:firstLine="567"/>
        <w:jc w:val="both"/>
        <w:rPr>
          <w:rFonts w:ascii="Arial" w:eastAsia="EB Garamond" w:hAnsi="Arial" w:cs="Arial"/>
          <w:b/>
          <w:bCs/>
          <w:color w:val="000000" w:themeColor="text1"/>
        </w:rPr>
      </w:pPr>
      <w:r w:rsidRPr="0047203B">
        <w:rPr>
          <w:rFonts w:ascii="Arial" w:eastAsia="EB Garamond" w:hAnsi="Arial" w:cs="Arial"/>
          <w:b/>
          <w:bCs/>
          <w:color w:val="000000" w:themeColor="text1"/>
        </w:rPr>
        <w:t>The influence of security perceptions related to e-banking on the interest of rural communities in using e-banking.</w:t>
      </w:r>
    </w:p>
    <w:p w14:paraId="36965F08" w14:textId="78BE48D8" w:rsidR="00B76A3E" w:rsidRPr="0047203B" w:rsidRDefault="005E2838" w:rsidP="0054195E">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The findings of this study indicate that the variable ‘Security has a very significant impact on people’s interest in using e-banking. In other words, the higher a person’s view of security in utilizing e-banking services, the greater</w:t>
      </w:r>
      <w:r w:rsidR="009E474E" w:rsidRPr="0047203B">
        <w:rPr>
          <w:rFonts w:ascii="Arial" w:eastAsia="EB Garamond" w:hAnsi="Arial" w:cs="Arial"/>
          <w:color w:val="000000" w:themeColor="text1"/>
        </w:rPr>
        <w:t xml:space="preserve"> </w:t>
      </w:r>
      <w:r w:rsidR="00B76A3E" w:rsidRPr="0047203B">
        <w:rPr>
          <w:rFonts w:ascii="Arial" w:eastAsia="EB Garamond" w:hAnsi="Arial" w:cs="Arial"/>
          <w:color w:val="000000" w:themeColor="text1"/>
        </w:rPr>
        <w:t xml:space="preserve">their opportunity to use the service. This result is in line with the research of </w:t>
      </w:r>
      <w:r w:rsidR="00EC4D73">
        <w:rPr>
          <w:rFonts w:ascii="Arial" w:eastAsia="EB Garamond" w:hAnsi="Arial" w:cs="Arial"/>
        </w:rPr>
        <w:fldChar w:fldCharType="begin" w:fldLock="1"/>
      </w:r>
      <w:r w:rsidR="00EC4D73">
        <w:rPr>
          <w:rFonts w:ascii="Arial" w:eastAsia="EB Garamond" w:hAnsi="Arial" w:cs="Arial"/>
        </w:rPr>
        <w:instrText>ADDIN CSL_CITATION {"citationItems":[{"id":"ITEM-1","itemData":{"DOI":"10.37385/ijedr.v1i2.70","ISSN":"2715-7903","abstract":"The Internet has been widely used in various business fields. The function of the Internet in this modern era is not only for giving information but it also handles banking transactions anytime and anywhere without being limited by time and distance. This study aims to determine and analyze the influence of Perceived Value, Perceived Ease of Use and Perceived Risk to Customer intention to use Internet Banking. The respondents in this study were 100 respondents who visited BCA KCP A.Yani Pekanbaru. The data analysis technique used is multiple linear regression analysis using the t-test and F test for hypothesis testing. The results of this study indicate that not all variables are influential, in Perceived Ease of Use there is no influence, while the variables of Perceived Value and Perceived Risk have an influence on customer intention. The variables of Perceived Value and Perceived Risk have a significant effect, while Perceived Ease of Use variables that do not significantly influence customer intention for using Internet Banking.  \r Keywords : Perceived Value, Perceived Ease of Use, Perceived Risk, Customer Intention\r  ","author":[{"dropping-particle":"","family":"Purwati","given":"Astri Ayu","non-dropping-particle":"","parse-names":false,"suffix":""},{"dropping-particle":"","family":"Libara","given":"Farenc","non-dropping-particle":"","parse-names":false,"suffix":""},{"dropping-particle":"","family":"Hamzah","given":"Muhammad Luthfi","non-dropping-particle":"","parse-names":false,"suffix":""}],"container-title":"International Journal of Economics Development Research (IJEDR)","id":"ITEM-1","issue":"2","issued":{"date-parts":[["2020"]]},"title":"AN ANALYSIS OF CUSTOMER INTENTION IN USING INTERNET BANKING","type":"article-journal","volume":"1"},"uris":["http://www.mendeley.com/documents/?uuid=a7a4e555-226f-3a7b-bc37-463d1b455d6b"]}],"mendeley":{"formattedCitation":"(Purwati et al., 2020)","plainTextFormattedCitation":"(Purwati et al., 2020)","previouslyFormattedCitation":"(Purwati et al., 2020)"},"properties":{"noteIndex":0},"schema":"https://github.com/citation-style-language/schema/raw/master/csl-citation.json"}</w:instrText>
      </w:r>
      <w:r w:rsidR="00EC4D73">
        <w:rPr>
          <w:rFonts w:ascii="Arial" w:eastAsia="EB Garamond" w:hAnsi="Arial" w:cs="Arial"/>
        </w:rPr>
        <w:fldChar w:fldCharType="separate"/>
      </w:r>
      <w:r w:rsidR="00EC4D73" w:rsidRPr="00EC4D73">
        <w:rPr>
          <w:rFonts w:ascii="Arial" w:eastAsia="EB Garamond" w:hAnsi="Arial" w:cs="Arial"/>
          <w:noProof/>
        </w:rPr>
        <w:t>(Purwati et al., 2020)</w:t>
      </w:r>
      <w:r w:rsidR="00EC4D73">
        <w:rPr>
          <w:rFonts w:ascii="Arial" w:eastAsia="EB Garamond" w:hAnsi="Arial" w:cs="Arial"/>
        </w:rPr>
        <w:fldChar w:fldCharType="end"/>
      </w:r>
      <w:r w:rsidR="00EC4D73" w:rsidRPr="00EC4D73">
        <w:rPr>
          <w:rFonts w:ascii="Arial" w:eastAsia="EB Garamond" w:hAnsi="Arial" w:cs="Arial"/>
        </w:rPr>
        <w:t xml:space="preserve">, </w:t>
      </w:r>
      <w:r w:rsidR="00EC4D73">
        <w:rPr>
          <w:rFonts w:ascii="Arial" w:eastAsia="EB Garamond" w:hAnsi="Arial" w:cs="Arial"/>
        </w:rPr>
        <w:fldChar w:fldCharType="begin" w:fldLock="1"/>
      </w:r>
      <w:r w:rsidR="00EC4D73">
        <w:rPr>
          <w:rFonts w:ascii="Arial" w:eastAsia="EB Garamond" w:hAnsi="Arial" w:cs="Arial"/>
        </w:rPr>
        <w:instrText>ADDIN CSL_CITATION {"citationItems":[{"id":"ITEM-1","itemData":{"DOI":"10.30872/jfor.v24i2.10330","ISSN":"1411-1713","abstract":"Penelitian ini bertujuan untuk memberikan hasil pengujian secara empiris faktor – faktor yang mempengaruhi minat generasi milenial di provinsi Bali dalam menggunakan fintech. Teori yang digunakan dalam menganalisis minat penggunaan fintech adalah kombinasi dari teori Technology Accaptence Model (TAM) dan Theory Planned Behavior (TPB) sebagai acuan teroritis penelitian. Jenis penelitian ini adalah kuantitatif dengan probability sampling dan teknik pengambilan sampel simple random sampling menggunakan metode survei melalui penyebaran kuesioner kepada 140 responden. Kemudian alat analisis yang digunakan menggunakan software SmartPLS 3.2.9. hasil pengujian secara empiris menunjukan minat generasi milenial untuk menggunakan fintech dipengaruhi secara positif dan signifikan oleh literasi keuangan, persepsi manfaat, persepsi kemudahan penggunaan, pengaruh sosial dan persepsi keamanan. Bukti lain menunjukan bahwa persepsi keamanan memiliki skor path coefficient yang tertinggi yang diikuti dengan persepsi kemudahan. Hal tersebut mengindikasikan bahwa generasi milenial lebih mementingkan sistem keamanan fintech yang menjamin informasi pribadi mereka, juga aman ketika melakukan transaksi. Kemudian generasi milenial lebih suka melakukan sesuatu dengan praktis dan tidak memakan waktu, dalam hal ini bertransaksi menggunakan fintech. Penting bagi perushaan fintech untuk memberikan jaminan kemanan sistem dan kemudahan dalam bertransaksi menggunakan fintech.","author":[{"dropping-particle":"","family":"Aditya","given":"Trisna","non-dropping-particle":"","parse-names":false,"suffix":""},{"dropping-particle":"","family":"Mahyuni","given":"Luh Putu","non-dropping-particle":"","parse-names":false,"suffix":""}],"container-title":"FORUM EKONOMI","id":"ITEM-1","issue":"2","issued":{"date-parts":[["2022"]]},"title":"Pengaruh literasi keuangan, persepsi kemudahan, manfaat, keamanan dan pengaruh sosial terhadap minat penggunaan fintech","type":"article-journal","volume":"24"},"uris":["http://www.mendeley.com/documents/?uuid=5e1eb809-b237-3c48-8b2e-df21313b61f2"]}],"mendeley":{"formattedCitation":"(Aditya &amp; Mahyuni, 2022)","plainTextFormattedCitation":"(Aditya &amp; Mahyuni, 2022)","previouslyFormattedCitation":"(Aditya &amp; Mahyuni, 2022)"},"properties":{"noteIndex":0},"schema":"https://github.com/citation-style-language/schema/raw/master/csl-citation.json"}</w:instrText>
      </w:r>
      <w:r w:rsidR="00EC4D73">
        <w:rPr>
          <w:rFonts w:ascii="Arial" w:eastAsia="EB Garamond" w:hAnsi="Arial" w:cs="Arial"/>
        </w:rPr>
        <w:fldChar w:fldCharType="separate"/>
      </w:r>
      <w:r w:rsidR="00EC4D73" w:rsidRPr="00EC4D73">
        <w:rPr>
          <w:rFonts w:ascii="Arial" w:eastAsia="EB Garamond" w:hAnsi="Arial" w:cs="Arial"/>
          <w:noProof/>
        </w:rPr>
        <w:t>(Aditya &amp; Mahyuni, 2022)</w:t>
      </w:r>
      <w:r w:rsidR="00EC4D73">
        <w:rPr>
          <w:rFonts w:ascii="Arial" w:eastAsia="EB Garamond" w:hAnsi="Arial" w:cs="Arial"/>
        </w:rPr>
        <w:fldChar w:fldCharType="end"/>
      </w:r>
      <w:r w:rsidR="00EC4D73" w:rsidRPr="00EC4D73">
        <w:rPr>
          <w:rFonts w:ascii="Arial" w:eastAsia="EB Garamond" w:hAnsi="Arial" w:cs="Arial"/>
        </w:rPr>
        <w:t xml:space="preserve"> and </w:t>
      </w:r>
      <w:r w:rsidR="00EC4D73">
        <w:rPr>
          <w:rFonts w:ascii="Arial" w:eastAsia="EB Garamond" w:hAnsi="Arial" w:cs="Arial"/>
        </w:rPr>
        <w:fldChar w:fldCharType="begin" w:fldLock="1"/>
      </w:r>
      <w:r w:rsidR="00EC4D73">
        <w:rPr>
          <w:rFonts w:ascii="Arial" w:eastAsia="EB Garamond" w:hAnsi="Arial" w:cs="Arial"/>
        </w:rPr>
        <w:instrText>ADDIN CSL_CITATION {"citationItems":[{"id":"ITEM-1","itemData":{"DOI":"10.32507/ajei.v12i2.892","ISSN":"2087-2178","abstract":"Mobile Banking or commonly known as m-banking is treated as one of the most important banking information system services capable of producing financial information, which includes balance checks, fund transfers, credit card bill information, bill payments, and so on through a capable tool. Wireless internet. It is important for customers to have facilities in obtaining financial information and making transactions online, without having to visit the bank where they are customers. When customers feel satisfied by two things, namely the speed in obtaining financial information as well as the accuracy and ease in carrying out mobile banking transaction activities, the purpose of m-banking services as a value-added banking information system will be achieved. Conversely, if customers do not feel satisfied in terms of the privacy security of the mobile banking application, it can lead to negative perceptions of customers about the services that are available, so that it can be said to be one of the risks of using mobile banking services. Therefore, it is important to maintain and improve the confidentiality of customers through the privacy of the mobile banking application so that customers can remain calm in using the service.","author":[{"dropping-particle":"","family":"Sari","given":"Dwi Mutiara","non-dropping-particle":"","parse-names":false,"suffix":""},{"dropping-particle":"","family":"Fasa","given":"Muhammad Iqbal","non-dropping-particle":"","parse-names":false,"suffix":""},{"dropping-particle":"","family":"Suharto","given":"Suharto","non-dropping-particle":"","parse-names":false,"suffix":""}],"container-title":"Al-Infaq: Jurnal Ekonomi Islam","id":"ITEM-1","issue":"2","issued":{"date-parts":[["2021"]]},"title":"MANFAAT DAN RISIKO PENGGUNAAN LAYANAN PERBANKAN MELALUI APLIKASI MOBILE BANKING","type":"article-journal","volume":"12"},"uris":["http://www.mendeley.com/documents/?uuid=d04bd0d4-99b1-3c43-8760-3fc46d70e47f"]}],"mendeley":{"formattedCitation":"(Sari et al., 2021)","plainTextFormattedCitation":"(Sari et al., 2021)","previouslyFormattedCitation":"(Sari et al., 2021)"},"properties":{"noteIndex":0},"schema":"https://github.com/citation-style-language/schema/raw/master/csl-citation.json"}</w:instrText>
      </w:r>
      <w:r w:rsidR="00EC4D73">
        <w:rPr>
          <w:rFonts w:ascii="Arial" w:eastAsia="EB Garamond" w:hAnsi="Arial" w:cs="Arial"/>
        </w:rPr>
        <w:fldChar w:fldCharType="separate"/>
      </w:r>
      <w:r w:rsidR="00EC4D73" w:rsidRPr="00EC4D73">
        <w:rPr>
          <w:rFonts w:ascii="Arial" w:eastAsia="EB Garamond" w:hAnsi="Arial" w:cs="Arial"/>
          <w:noProof/>
        </w:rPr>
        <w:t>(Sari et al., 2021)</w:t>
      </w:r>
      <w:r w:rsidR="00EC4D73">
        <w:rPr>
          <w:rFonts w:ascii="Arial" w:eastAsia="EB Garamond" w:hAnsi="Arial" w:cs="Arial"/>
        </w:rPr>
        <w:fldChar w:fldCharType="end"/>
      </w:r>
      <w:r w:rsidR="00EC4D73">
        <w:rPr>
          <w:rFonts w:ascii="Arial" w:eastAsia="EB Garamond" w:hAnsi="Arial" w:cs="Arial"/>
        </w:rPr>
        <w:t xml:space="preserve"> </w:t>
      </w:r>
      <w:r w:rsidR="00B76A3E" w:rsidRPr="0047203B">
        <w:rPr>
          <w:rFonts w:ascii="Arial" w:eastAsia="EB Garamond" w:hAnsi="Arial" w:cs="Arial"/>
          <w:color w:val="000000" w:themeColor="text1"/>
        </w:rPr>
        <w:t>which showed that views on risk and security are the main factors in the acceptance of e-banking services. From these three results, it can also be concluded that the perception of security is a key factor in the adoption of new technologies, especially in the field of digital finance such as e-banking. The policy implications of this finding are that financial institutions need to pay greater attention to efforts to improve system security and provide education to the public on how to maintain the security of online transactions. In addition, the government needs to create stronger regulations to protect consumers from cybercrime. Further research can investigate the factors that influence the public's perception</w:t>
      </w:r>
      <w:r w:rsidR="0054195E">
        <w:rPr>
          <w:rFonts w:ascii="Arial" w:eastAsia="EB Garamond" w:hAnsi="Arial" w:cs="Arial"/>
          <w:color w:val="000000" w:themeColor="text1"/>
        </w:rPr>
        <w:t xml:space="preserve"> of security towards e-banking.</w:t>
      </w:r>
    </w:p>
    <w:p w14:paraId="4273CFC5" w14:textId="3A4AF8D3" w:rsidR="00B76A3E" w:rsidRPr="0047203B" w:rsidRDefault="00B76A3E" w:rsidP="005C23AF">
      <w:pPr>
        <w:pBdr>
          <w:top w:val="nil"/>
          <w:left w:val="nil"/>
          <w:bottom w:val="nil"/>
          <w:right w:val="nil"/>
          <w:between w:val="nil"/>
        </w:pBdr>
        <w:spacing w:after="0" w:line="240" w:lineRule="auto"/>
        <w:ind w:firstLine="567"/>
        <w:jc w:val="both"/>
        <w:rPr>
          <w:rFonts w:ascii="Arial" w:eastAsia="EB Garamond" w:hAnsi="Arial" w:cs="Arial"/>
          <w:b/>
          <w:bCs/>
          <w:color w:val="000000" w:themeColor="text1"/>
        </w:rPr>
      </w:pPr>
      <w:r w:rsidRPr="0047203B">
        <w:rPr>
          <w:rFonts w:ascii="Arial" w:eastAsia="EB Garamond" w:hAnsi="Arial" w:cs="Arial"/>
          <w:b/>
          <w:bCs/>
          <w:color w:val="000000" w:themeColor="text1"/>
        </w:rPr>
        <w:t>The influence of positive experiences gained on people's interest in using e-banking.</w:t>
      </w:r>
    </w:p>
    <w:p w14:paraId="6FF69DCB" w14:textId="26302A77" w:rsidR="00B76A3E" w:rsidRPr="0047203B" w:rsidRDefault="00B76A3E"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 xml:space="preserve">The results of this study indicate that the variable 'User Experience' does not significantly influence people's interest in </w:t>
      </w:r>
      <w:r w:rsidRPr="0047203B">
        <w:rPr>
          <w:rFonts w:ascii="Arial" w:eastAsia="EB Garamond" w:hAnsi="Arial" w:cs="Arial"/>
          <w:color w:val="000000" w:themeColor="text1"/>
        </w:rPr>
        <w:lastRenderedPageBreak/>
        <w:t xml:space="preserve">using e-banking. This finding is quite surprising considering the general assumption that positive experiences will encourage repeat use. This finding is partly the same as Laksana's research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{"citationItems":[{"id":"ITEM-1","itemData":{"ISSN":"2477-8079","abstract":"Abstrak Sebuah organisasi pasti memiliki tiga hal, yaitu tempat, pekerja, dan sebuah operasi ataupun sistem yang dapat membantu pekerjaan. Pada awalnya sebuah organisasi masih mengerjakan segala sesuatu secara manual sehingga dibutuhkan sebuah teknologi agar dalam proses mengumpulkan informasi, pengambilan keputusan, dan menjalankan pekerjaan dapat berjalan dengan baik. Abstract An organization must have three things, namely a place, workers, and an operation or system that can help work. Initially an organization is still doing everything manually so it needs technology so that the process of gathering information, making decisions, and carrying out work can run well. The needs of workers in organizations such as payroll and payment transactions in personal life with technology there is no need to queue long when they want to pay something or wait a long time to receive wages. The technology that is needed nowadays is called mobile banking. This study aims to analyze the use of mobile banking for payment transactions for priests and workers of the DKI Jakarta Conference using themethod Extended Technology Acceptance Model (TAM). In obtaining results using Structural Equation Modeling (SEM) analysis using SPSS and AMOS version 22 programs.The results of this study indicate that the TAM model construct is significantly related and in other parts there is no influence so thatusers mobile banking can be expected to be more thorough in using mobile banking to facilitate all payment transaction activities.","author":[{"dropping-particle":"","family":"Eudora","given":"Danielle","non-dropping-particle":"","parse-names":false,"suffix":""},{"dropping-particle":"","family":"Rampen","given":"Crystle","non-dropping-particle":"","parse-names":false,"suffix":""},{"dropping-particle":"","family":"Sihotang","given":"Jay Idoan","non-dropping-particle":"","parse-names":false,"suffix":""}],"container-title":"Cogito Smart Journal |","id":"ITEM-1","issue":"1","issued":{"date-parts":[["2021"]]},"title":"Analisis Penggunaan Layanan Mobile Banking Terhadap Transaksi Pembayaran Menggunakan Metode Extended TAM Analysis of Mobile Banking Service Usage Towards Payment Transactions Using Extended TAM","type":"article-journal","volume":"7"},"uris":["http://www.mendeley.com/documents/?uuid=ab482d63-f1de-397d-96ae-15c5715ca765"]}],"mendeley":{"formattedCitation":"(Eudora et al., 2021)","plainTextFormattedCitation":"(Eudora et al., 2021)","previouslyFormattedCitation":"(Eudora et al., 2021)"},"properties":{"noteIndex":0},"schema":"https://github.com/citation-style-language/schema/raw/master/csl-citation.json"}</w:instrText>
      </w:r>
      <w:r w:rsidR="000A0F61">
        <w:rPr>
          <w:rFonts w:ascii="Arial" w:eastAsia="EB Garamond" w:hAnsi="Arial" w:cs="Arial"/>
        </w:rPr>
        <w:fldChar w:fldCharType="separate"/>
      </w:r>
      <w:r w:rsidR="000A0F61" w:rsidRPr="00341AE6">
        <w:rPr>
          <w:rFonts w:ascii="Arial" w:eastAsia="EB Garamond" w:hAnsi="Arial" w:cs="Arial"/>
          <w:noProof/>
        </w:rPr>
        <w:t>(Eudora et al., 2021)</w:t>
      </w:r>
      <w:r w:rsidR="000A0F61">
        <w:rPr>
          <w:rFonts w:ascii="Arial" w:eastAsia="EB Garamond" w:hAnsi="Arial" w:cs="Arial"/>
        </w:rPr>
        <w:fldChar w:fldCharType="end"/>
      </w:r>
      <w:r w:rsidR="000A0F61">
        <w:rPr>
          <w:rFonts w:ascii="Arial" w:eastAsia="EB Garamond" w:hAnsi="Arial" w:cs="Arial"/>
        </w:rPr>
        <w:t xml:space="preserve">,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{"citationItems":[{"id":"ITEM-1","itemData":{"ISSN":"2614-8838","abstract":"Indonesia is ranked third in the 2022 GIFT Index Score, Indonesia continues to develop sharia fintech to maintain that, even though the development of domestic sharia fintech is categorized as good, the capitalization scale of sharia fintech in Indonesia is smaller compared to other countries. The purpose of conducting this research is to analyze the influence of financial literacy, perceived usefulness, and ease of use partially and simultaneously on people's interest in using sharia digital wallets. This research is quantitative. Retrieval research data using a closed questionnaire which is distributed online through social media. The number of samples used is 150 respondents, determined using the non-probability sampling technique purposive sampling method. The data obtained were analyzed using multiple linear regression analysis. The results of this study are that financial literacy and perceived usefulness have a partially significant effect on interest in using sharia digital wallets, ease of use has no partial effect on interest on using sharia digital wallets, and simultaneously financial literacy, perceived usefulness, and ease of use have an effect on interest in using sharia digital wallets. The information obtained is expected to provide an overview of sharia digital wallets service provider companies so they are more innovative in providing financial services.","author":[{"dropping-particle":"","family":"Muthi'ah","given":"Farichatul","non-dropping-particle":"","parse-names":false,"suffix":""},{"dropping-particle":"","family":"Indrarini","given":"Rachma","non-dropping-particle":"","parse-names":false,"suffix":""}],"container-title":"Jurnal Ekonomi dan Bisnis Islam","id":"ITEM-1","issue":"1","issued":{"date-parts":[["2023"]]},"title":"Pengaruh Literasi, Kegunaan, dan Kemudahan Terhadap Minat Masyarakat Menggunakan Dompet Digital Syariah","type":"article-journal","volume":"7"},"uris":["http://www.mendeley.com/documents/?uuid=8a055986-5732-350b-b883-8a25dc05c111"]}],"mendeley":{"formattedCitation":"(Muthi’ah &amp; Indrarini, 2023)","plainTextFormattedCitation":"(Muthi’ah &amp; Indrarini, 2023)","previouslyFormattedCitation":"(Muthi’ah &amp; Indrarini, 2023)"},"properties":{"noteIndex":0},"schema":"https://github.com/citation-style-language/schema/raw/master/csl-citation.json"}</w:instrText>
      </w:r>
      <w:r w:rsidR="000A0F61">
        <w:rPr>
          <w:rFonts w:ascii="Arial" w:eastAsia="EB Garamond" w:hAnsi="Arial" w:cs="Arial"/>
        </w:rPr>
        <w:fldChar w:fldCharType="separate"/>
      </w:r>
      <w:r w:rsidR="000A0F61" w:rsidRPr="00341AE6">
        <w:rPr>
          <w:rFonts w:ascii="Arial" w:eastAsia="EB Garamond" w:hAnsi="Arial" w:cs="Arial"/>
          <w:noProof/>
        </w:rPr>
        <w:t>(Muthi’ah &amp; Indrarini, 2023)</w:t>
      </w:r>
      <w:r w:rsidR="000A0F61">
        <w:rPr>
          <w:rFonts w:ascii="Arial" w:eastAsia="EB Garamond" w:hAnsi="Arial" w:cs="Arial"/>
        </w:rPr>
        <w:fldChar w:fldCharType="end"/>
      </w:r>
      <w:r w:rsidR="000A0F61">
        <w:rPr>
          <w:rFonts w:ascii="Arial" w:eastAsia="EB Garamond" w:hAnsi="Arial" w:cs="Arial"/>
        </w:rPr>
        <w:t xml:space="preserve"> </w:t>
      </w:r>
      <w:r w:rsidR="000A0F61" w:rsidRPr="00EC4D73">
        <w:rPr>
          <w:rFonts w:ascii="Arial" w:eastAsia="EB Garamond" w:hAnsi="Arial" w:cs="Arial"/>
        </w:rPr>
        <w:t xml:space="preserve">and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{"citationItems":[{"id":"ITEM-1","itemData":{"ISSN":"2477-8079","abstract":"Abstrak Sebuah organisasi pasti memiliki tiga hal, yaitu tempat, pekerja, dan sebuah operasi ataupun sistem yang dapat membantu pekerjaan. Pada awalnya sebuah organisasi masih mengerjakan segala sesuatu secara manual sehingga dibutuhkan sebuah teknologi agar dalam proses mengumpulkan informasi, pengambilan keputusan, dan menjalankan pekerjaan dapat berjalan dengan baik. Abstract An organization must have three things, namely a place, workers, and an operation or system that can help work. Initially an organization is still doing everything manually so it needs technology so that the process of gathering information, making decisions, and carrying out work can run well. The needs of workers in organizations such as payroll and payment transactions in personal life with technology there is no need to queue long when they want to pay something or wait a long time to receive wages. The technology that is needed nowadays is called mobile banking. This study aims to analyze the use of mobile banking for payment transactions for priests and workers of the DKI Jakarta Conference using themethod Extended Technology Acceptance Model (TAM). In obtaining results using Structural Equation Modeling (SEM) analysis using SPSS and AMOS version 22 programs.The results of this study indicate that the TAM model construct is significantly related and in other parts there is no influence so thatusers mobile banking can be expected to be more thorough in using mobile banking to facilitate all payment transaction activities.","author":[{"dropping-particle":"","family":"Eudora","given":"Danielle","non-dropping-particle":"","parse-names":false,"suffix":""},{"dropping-particle":"","family":"Rampen","given":"Crystle","non-dropping-particle":"","parse-names":false,"suffix":""},{"dropping-particle":"","family":"Sihotang","given":"Jay Idoan","non-dropping-particle":"","parse-names":false,"suffix":""}],"container-title":"Cogito Smart Journal |","id":"ITEM-1","issue":"1","issued":{"date-parts":[["2021"]]},"title":"Analisis Penggunaan Layanan Mobile Banking Terhadap Transaksi Pembayaran Menggunakan Metode Extended TAM Analysis of Mobile Banking Service Usage Towards Payment Transactions Using Extended TAM","type":"article-journal","volume":"7"},"uris":["http://www.mendeley.com/documents/?uuid=ab482d63-f1de-397d-96ae-15c5715ca765"]}],"mendeley":{"formattedCitation":"(Eudora et al., 2021)","plainTextFormattedCitation":"(Eudora et al., 2021)","previouslyFormattedCitation":"(Eudora et al., 2021)"},"properties":{"noteIndex":0},"schema":"https://github.com/citation-style-language/schema/raw/master/csl-citation.json"}</w:instrText>
      </w:r>
      <w:r w:rsidR="000A0F61">
        <w:rPr>
          <w:rFonts w:ascii="Arial" w:eastAsia="EB Garamond" w:hAnsi="Arial" w:cs="Arial"/>
        </w:rPr>
        <w:fldChar w:fldCharType="separate"/>
      </w:r>
      <w:r w:rsidR="000A0F61" w:rsidRPr="00341AE6">
        <w:rPr>
          <w:rFonts w:ascii="Arial" w:eastAsia="EB Garamond" w:hAnsi="Arial" w:cs="Arial"/>
          <w:noProof/>
        </w:rPr>
        <w:t>(Eudora et al., 2021)</w:t>
      </w:r>
      <w:r w:rsidR="000A0F61">
        <w:rPr>
          <w:rFonts w:ascii="Arial" w:eastAsia="EB Garamond" w:hAnsi="Arial" w:cs="Arial"/>
        </w:rPr>
        <w:fldChar w:fldCharType="end"/>
      </w:r>
      <w:r w:rsidR="000A0F61">
        <w:rPr>
          <w:rFonts w:ascii="Arial" w:eastAsia="EB Garamond" w:hAnsi="Arial" w:cs="Arial"/>
        </w:rPr>
        <w:t xml:space="preserve"> </w:t>
      </w:r>
      <w:r w:rsidRPr="0047203B">
        <w:rPr>
          <w:rFonts w:ascii="Arial" w:eastAsia="EB Garamond" w:hAnsi="Arial" w:cs="Arial"/>
          <w:color w:val="000000" w:themeColor="text1"/>
        </w:rPr>
        <w:t xml:space="preserve">which indicates that views on ease of use can increase interest in using mobile banking. However, the findings of this study are contrary to the research of </w:t>
      </w:r>
      <w:r w:rsidR="00341AE6">
        <w:rPr>
          <w:rFonts w:ascii="Arial" w:eastAsia="EB Garamond" w:hAnsi="Arial" w:cs="Arial"/>
        </w:rPr>
        <w:fldChar w:fldCharType="begin" w:fldLock="1"/>
      </w:r>
      <w:r w:rsidR="00341AE6">
        <w:rPr>
          <w:rFonts w:ascii="Arial" w:eastAsia="EB Garamond" w:hAnsi="Arial" w:cs="Arial"/>
        </w:rPr>
        <w:instrText>ADDIN CSL_CITATION {"citationItems":[{"id":"ITEM-1","itemData":{"ISSN":"2614-8838","abstract":"Indonesia is ranked third in the 2022 GIFT Index Score, Indonesia continues to develop sharia fintech to maintain that, even though the development of domestic sharia fintech is categorized as good, the capitalization scale of sharia fintech in Indonesia is smaller compared to other countries. The purpose of conducting this research is to analyze the influence of financial literacy, perceived usefulness, and ease of use partially and simultaneously on people's interest in using sharia digital wallets. This research is quantitative. Retrieval research data using a closed questionnaire which is distributed online through social media. The number of samples used is 150 respondents, determined using the non-probability sampling technique purposive sampling method. The data obtained were analyzed using multiple linear regression analysis. The results of this study are that financial literacy and perceived usefulness have a partially significant effect on interest in using sharia digital wallets, ease of use has no partial effect on interest on using sharia digital wallets, and simultaneously financial literacy, perceived usefulness, and ease of use have an effect on interest in using sharia digital wallets. The information obtained is expected to provide an overview of sharia digital wallets service provider companies so they are more innovative in providing financial services.","author":[{"dropping-particle":"","family":"Muthi'ah","given":"Farichatul","non-dropping-particle":"","parse-names":false,"suffix":""},{"dropping-particle":"","family":"Indrarini","given":"Rachma","non-dropping-particle":"","parse-names":false,"suffix":""}],"container-title":"Jurnal Ekonomi dan Bisnis Islam","id":"ITEM-1","issue":"1","issued":{"date-parts":[["2023"]]},"title":"Pengaruh Literasi, Kegunaan, dan Kemudahan Terhadap Minat Masyarakat Menggunakan Dompet Digital Syariah","type":"article-journal","volume":"7"},"uris":["http://www.mendeley.com/documents/?uuid=8a055986-5732-350b-b883-8a25dc05c111"]}],"mendeley":{"formattedCitation":"(Muthi’ah &amp; Indrarini, 2023)","plainTextFormattedCitation":"(Muthi’ah &amp; Indrarini, 2023)","previouslyFormattedCitation":"(Muthi’ah &amp; Indrarini, 2023)"},"properties":{"noteIndex":0},"schema":"https://github.com/citation-style-language/schema/raw/master/csl-citation.json"}</w:instrText>
      </w:r>
      <w:r w:rsidR="00341AE6">
        <w:rPr>
          <w:rFonts w:ascii="Arial" w:eastAsia="EB Garamond" w:hAnsi="Arial" w:cs="Arial"/>
        </w:rPr>
        <w:fldChar w:fldCharType="separate"/>
      </w:r>
      <w:r w:rsidR="00341AE6" w:rsidRPr="00EC4D73">
        <w:rPr>
          <w:rFonts w:ascii="Arial" w:eastAsia="EB Garamond" w:hAnsi="Arial" w:cs="Arial"/>
          <w:noProof/>
        </w:rPr>
        <w:t>(Muthi’ah &amp; Indrarini, 2023)</w:t>
      </w:r>
      <w:r w:rsidR="00341AE6">
        <w:rPr>
          <w:rFonts w:ascii="Arial" w:eastAsia="EB Garamond" w:hAnsi="Arial" w:cs="Arial"/>
        </w:rPr>
        <w:fldChar w:fldCharType="end"/>
      </w:r>
      <w:r w:rsidR="00341AE6" w:rsidRPr="00EC4D73">
        <w:rPr>
          <w:rFonts w:ascii="Arial" w:eastAsia="EB Garamond" w:hAnsi="Arial" w:cs="Arial"/>
        </w:rPr>
        <w:t xml:space="preserve">, </w:t>
      </w:r>
      <w:r w:rsidR="00341AE6">
        <w:rPr>
          <w:rFonts w:ascii="Arial" w:eastAsia="EB Garamond" w:hAnsi="Arial" w:cs="Arial"/>
        </w:rPr>
        <w:fldChar w:fldCharType="begin" w:fldLock="1"/>
      </w:r>
      <w:r w:rsidR="00341AE6">
        <w:rPr>
          <w:rFonts w:ascii="Arial" w:eastAsia="EB Garamond" w:hAnsi="Arial" w:cs="Arial"/>
        </w:rPr>
        <w:instrText>ADDIN CSL_CITATION {"citationItems":[{"id":"ITEM-1","itemData":{"author":[{"dropping-particle":"","family":"Maulidini Adha","given":"Syuryatman Desri, Suci Humaira, Rian Septa Hadi","non-dropping-particle":"","parse-names":false,"suffix":""}],"container-title":"JURNAL ILMIAH MANAJEMEN, EKONOMI BISNIS, KEWIRAUSAHAAN","id":"ITEM-1","issued":{"date-parts":[["2024"]]},"page":"1112-1117","title":"Analisis Faktor –Faktor yang Mempengaruhi Minat Penggunaan Mobile  Banking pada Mahasiswa Manajemen Universitas Andalas Kampus  Payakumbuh","type":"article-journal","volume":"Vol 11 No. 2"},"uris":["http://www.mendeley.com/documents/?uuid=d53d061f-ad42-30f8-a3e5-ac73e368382f"]}],"mendeley":{"formattedCitation":"(Maulidini Adha, 2024)","plainTextFormattedCitation":"(Maulidini Adha, 2024)","previouslyFormattedCitation":"(Maulidini Adha, 2024)"},"properties":{"noteIndex":0},"schema":"https://github.com/citation-style-language/schema/raw/master/csl-citation.json"}</w:instrText>
      </w:r>
      <w:r w:rsidR="00341AE6">
        <w:rPr>
          <w:rFonts w:ascii="Arial" w:eastAsia="EB Garamond" w:hAnsi="Arial" w:cs="Arial"/>
        </w:rPr>
        <w:fldChar w:fldCharType="separate"/>
      </w:r>
      <w:r w:rsidR="00341AE6" w:rsidRPr="00341AE6">
        <w:rPr>
          <w:rFonts w:ascii="Arial" w:eastAsia="EB Garamond" w:hAnsi="Arial" w:cs="Arial"/>
          <w:noProof/>
        </w:rPr>
        <w:t>(Maulidini Adha, 2024)</w:t>
      </w:r>
      <w:r w:rsidR="00341AE6">
        <w:rPr>
          <w:rFonts w:ascii="Arial" w:eastAsia="EB Garamond" w:hAnsi="Arial" w:cs="Arial"/>
        </w:rPr>
        <w:fldChar w:fldCharType="end"/>
      </w:r>
      <w:r w:rsidR="00341AE6">
        <w:rPr>
          <w:rFonts w:ascii="Arial" w:eastAsia="EB Garamond" w:hAnsi="Arial" w:cs="Arial"/>
        </w:rPr>
        <w:t xml:space="preserve"> </w:t>
      </w:r>
      <w:r w:rsidR="00341AE6" w:rsidRPr="00EC4D73">
        <w:rPr>
          <w:rFonts w:ascii="Arial" w:eastAsia="EB Garamond" w:hAnsi="Arial" w:cs="Arial"/>
        </w:rPr>
        <w:t xml:space="preserve">and </w:t>
      </w:r>
      <w:r w:rsidR="00341AE6">
        <w:rPr>
          <w:rFonts w:ascii="Arial" w:eastAsia="EB Garamond" w:hAnsi="Arial" w:cs="Arial"/>
        </w:rPr>
        <w:fldChar w:fldCharType="begin" w:fldLock="1"/>
      </w:r>
      <w:r w:rsidR="00341AE6">
        <w:rPr>
          <w:rFonts w:ascii="Arial" w:eastAsia="EB Garamond" w:hAnsi="Arial" w:cs="Arial"/>
        </w:rPr>
        <w:instrText>ADDIN CSL_CITATION {"citationItems":[{"id":"ITEM-1","itemData":{"abstract":"The development of information technology is increasing along with the times. The development of information technology can encourage digital economic growth because it will be more effective and efficient in terms of time. One form of implementation between technology and information with digital economic growth is the payment of non-cash transactions. This study aims to find out how the effect of ease of Islamic financial literacy on students' interest in using DANA electronic money as a transaction tool, to find out how convenience influences interest in using DANA electronic money as a transaction tool. And to find out how the influence of Islamic financial literacy and convenience simultaneously on the interest in using DANA electronic money as a transaction tool. In this study, researchers used the theory of financial literacy according to the OECD (2013) to build Islamic financial literacy requires knowledge, skills, attitudes and beliefs. The convenience theory according to Jogiyanto (2015) is that several indicators are easy to learn, controllable, clear and understandable, flexible, easy to master and use. The theory of interest according to Muklish Muhammad nur Zulfahmi (2018) there are three indicators that can be used to encourage interest, namely, encouragement within the individual, social motives and emotional factors. This study uses a quantitative approach and primary data. The population in this study were 112 students of STEBI Global Mulia Cikarang Islamic Economics Study Program with ages 19 to 35 years. The sample in this study was taken from the population using the slovin formula, so there were 88 respondents. The results of this study partially show that Islamic financial literacy has a significant effect on students' interest in using DANA electronic money as a transaction tool, because the t-value is 6.372 &gt; the t-table value is 1.988 with sig 0.001 &lt;0.05. Convenience has a significant effect on students' interest in using DANA as a transaction tool, because the t-value is 8.766 &gt; the t-table value is 1.988 with sig 0.001 &lt;0.05. Whereas Islamic financial literacy and convenience simultaneously have a significant effect on students' interest in using DANA electronic money as a transaction tool, because the calculated F value is 238.377 &gt; table F value of 3.10 with sig 0.001 &gt; 0.05.","author":[{"dropping-particle":"","family":"Ayuningrum Febrima","given":"","non-dropping-particle":"","parse-names":false,"suffix":""},{"dropping-particle":"","family":"Sadiyah Siti","given":"","non-dropping-particle":"","parse-names":false,"suffix":""}],"container-title":"Jurnal Al-Fatih Global Mulia","id":"ITEM-1","issued":{"date-parts":[["2022"]]},"language":"Indonesia","page":"2746-7058","title":"PENGARUH LITERASI KEUANGAN SYARIAH DAN KEMUDAHAN \r\nTERHADAP MINAT PENGGUNAAN UANG ELEKTRONIK DANA \r\nSEBAGAI ALAT TRANSAKS","type":"article-journal","volume":"4"},"uris":["http://www.mendeley.com/documents/?uuid=689ee870-4720-33fb-8fc7-8c72eab613e1"]}],"mendeley":{"formattedCitation":"(Ayuningrum Febrima &amp; Sadiyah Siti, 2022)","plainTextFormattedCitation":"(Ayuningrum Febrima &amp; Sadiyah Siti, 2022)","previouslyFormattedCitation":"(Ayuningrum Febrima &amp; Sadiyah Siti, 2022)"},"properties":{"noteIndex":0},"schema":"https://github.com/citation-style-language/schema/raw/master/csl-citation.json"}</w:instrText>
      </w:r>
      <w:r w:rsidR="00341AE6">
        <w:rPr>
          <w:rFonts w:ascii="Arial" w:eastAsia="EB Garamond" w:hAnsi="Arial" w:cs="Arial"/>
        </w:rPr>
        <w:fldChar w:fldCharType="separate"/>
      </w:r>
      <w:r w:rsidR="00341AE6" w:rsidRPr="00341AE6">
        <w:rPr>
          <w:rFonts w:ascii="Arial" w:eastAsia="EB Garamond" w:hAnsi="Arial" w:cs="Arial"/>
          <w:noProof/>
        </w:rPr>
        <w:t>(Ayuningrum Febrima &amp; Sadiyah Siti, 2022)</w:t>
      </w:r>
      <w:r w:rsidR="00341AE6">
        <w:rPr>
          <w:rFonts w:ascii="Arial" w:eastAsia="EB Garamond" w:hAnsi="Arial" w:cs="Arial"/>
        </w:rPr>
        <w:fldChar w:fldCharType="end"/>
      </w:r>
      <w:r w:rsidR="00984067" w:rsidRPr="0047203B">
        <w:rPr>
          <w:rFonts w:ascii="Arial" w:eastAsia="EB Garamond" w:hAnsi="Arial" w:cs="Arial"/>
          <w:color w:val="000000" w:themeColor="text1"/>
        </w:rPr>
        <w:t xml:space="preserve"> </w:t>
      </w:r>
      <w:r w:rsidRPr="0047203B">
        <w:rPr>
          <w:rFonts w:ascii="Arial" w:eastAsia="EB Garamond" w:hAnsi="Arial" w:cs="Arial"/>
          <w:color w:val="000000" w:themeColor="text1"/>
        </w:rPr>
        <w:t>which showed different results, where perceptions of ease of use, level of usefulness, and user attitudes do not always have a significant effect on customer intentions to use internet banking. The difference in the results of this study may be due to differences in sample characteristics, where the majority of samples in this study were students who usually had limited funds in the bank, making them less intense in using e-banking even though they had had many positive experiences. The results of this study indicate that user experience may play a greater role in retaining existing users than increasing the intensity of e-banking use.</w:t>
      </w:r>
    </w:p>
    <w:p w14:paraId="2966F674" w14:textId="49D98EE0" w:rsidR="00B76A3E" w:rsidRPr="0047203B" w:rsidRDefault="00B76A3E" w:rsidP="0054195E">
      <w:pPr>
        <w:pBdr>
          <w:top w:val="nil"/>
          <w:left w:val="nil"/>
          <w:bottom w:val="nil"/>
          <w:right w:val="nil"/>
          <w:between w:val="nil"/>
        </w:pBdr>
        <w:spacing w:after="0" w:line="240" w:lineRule="auto"/>
        <w:jc w:val="both"/>
        <w:rPr>
          <w:rFonts w:ascii="Arial" w:eastAsia="EB Garamond" w:hAnsi="Arial" w:cs="Arial"/>
          <w:b/>
          <w:bCs/>
          <w:color w:val="000000" w:themeColor="text1"/>
        </w:rPr>
      </w:pPr>
      <w:r w:rsidRPr="0047203B">
        <w:rPr>
          <w:rFonts w:ascii="Arial" w:eastAsia="EB Garamond" w:hAnsi="Arial" w:cs="Arial"/>
          <w:b/>
          <w:bCs/>
          <w:color w:val="000000" w:themeColor="text1"/>
        </w:rPr>
        <w:t>The influence of perceived advantages and benefits on the interest of rural communities in using e-banking.</w:t>
      </w:r>
    </w:p>
    <w:p w14:paraId="376B10DF" w14:textId="5DD9C88B" w:rsidR="008218AE" w:rsidRPr="0047203B" w:rsidRDefault="00B76A3E"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47203B">
        <w:rPr>
          <w:rFonts w:ascii="Arial" w:eastAsia="EB Garamond" w:hAnsi="Arial" w:cs="Arial"/>
          <w:color w:val="000000" w:themeColor="text1"/>
        </w:rPr>
        <w:t>The findings of this researcher show that the variables of Advantages and Benefits have a significant influence on people's interest in using e-banking. This means that the higher the individual's perception of the advantages and benefits obtained from using e-banking, the greater the likelihood that the individual will use e-banking services. This finding supports the utility theory, which is an economic theory that explains how individuals make choices to maximize the benefits, advantages, or pleasures they get. The higher the satisfaction that</w:t>
      </w:r>
      <w:r w:rsidR="0054030E" w:rsidRPr="0047203B">
        <w:rPr>
          <w:rFonts w:ascii="Arial" w:eastAsia="EB Garamond" w:hAnsi="Arial" w:cs="Arial"/>
          <w:color w:val="000000" w:themeColor="text1"/>
        </w:rPr>
        <w:t xml:space="preserve"> obtained, the higher the utility value. Conversely, the lower the satisfaction </w:t>
      </w:r>
      <w:r w:rsidR="0043390B">
        <w:rPr>
          <w:rFonts w:ascii="Arial" w:eastAsia="EB Garamond" w:hAnsi="Arial" w:cs="Arial"/>
          <w:color w:val="000000" w:themeColor="text1"/>
        </w:rPr>
        <w:t xml:space="preserve">is </w:t>
      </w:r>
      <w:r w:rsidR="0054030E" w:rsidRPr="0047203B">
        <w:rPr>
          <w:rFonts w:ascii="Arial" w:eastAsia="EB Garamond" w:hAnsi="Arial" w:cs="Arial"/>
          <w:color w:val="000000" w:themeColor="text1"/>
        </w:rPr>
        <w:t xml:space="preserve">obtained, the lower the utility value (Jeremy Bentham, 1748-1832). And this result is in line with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{"citationItems":[{"id":"ITEM-1","itemData":{"abstract":"Abstrak This study aims to analyse and determine the variables perceived benefits, perceived ease of use, perceived risk can influence people's interest in using electronic wallet services. This research was conducted using a quantitative method using a questionnaire distributed online. The number of respondents in this study was 265 in the people of Medan City. This study uses data analysis with Structural Equation Modelling analysis with the Partial Least Square (PLS) method assisted by SmartPLS 3.0 software. The results of this study indicate that perceived benefits, perceived ease of use, and perceived risks have a positive and significant impact on the intention to use electronic wallets.","author":[{"dropping-particle":"","family":"Farid","given":"Muhammad","non-dropping-particle":"","parse-names":false,"suffix":""},{"dropping-particle":"","family":"Laksmi","given":"Ayu Chairina","non-dropping-particle":"","parse-names":false,"suffix":""}],"container-title":"Jurnal UII","id":"ITEM-1","issued":{"date-parts":[["2023"]]},"title":"Pengaruh persepsi manfaat, kemudahan penggunaan, risiko terhadap minat menggunakan dompet elektronik","type":"article-journal","volume":"5"},"uris":["http://www.mendeley.com/documents/?uuid=50bf21e0-862e-356c-ac02-9da4d5769fe2"]}],"mendeley":{"formattedCitation":"(Farid &amp; Laksmi, 2023)","plainTextFormattedCitation":"(Farid &amp; Laksmi, 2023)","previouslyFormattedCitation":"(Farid &amp; Laksmi, 2023)"},"properties":{"noteIndex":0},"schema":"https://github.com/citation-style-language/schema/raw/master/csl-citation.json"}</w:instrText>
      </w:r>
      <w:r w:rsidR="000A0F61">
        <w:rPr>
          <w:rFonts w:ascii="Arial" w:eastAsia="EB Garamond" w:hAnsi="Arial" w:cs="Arial"/>
        </w:rPr>
        <w:fldChar w:fldCharType="separate"/>
      </w:r>
      <w:r w:rsidR="000A0F61" w:rsidRPr="000A0F61">
        <w:rPr>
          <w:rFonts w:ascii="Arial" w:eastAsia="EB Garamond" w:hAnsi="Arial" w:cs="Arial"/>
          <w:noProof/>
        </w:rPr>
        <w:t>(Farid &amp; Laksmi, 2023)</w:t>
      </w:r>
      <w:r w:rsidR="000A0F61">
        <w:rPr>
          <w:rFonts w:ascii="Arial" w:eastAsia="EB Garamond" w:hAnsi="Arial" w:cs="Arial"/>
        </w:rPr>
        <w:fldChar w:fldCharType="end"/>
      </w:r>
      <w:r w:rsidR="000A0F61">
        <w:rPr>
          <w:rFonts w:ascii="Arial" w:eastAsia="EB Garamond" w:hAnsi="Arial" w:cs="Arial"/>
        </w:rPr>
        <w:t xml:space="preserve">,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{"citationItems":[{"id":"ITEM-1","itemData":{"DOI":"10.35969/interkom.v15i2.87","ISSN":"1907-8420","abstract":"Abstrak\r Penelitian ini bertujuan untuk (1) Untuk menjelaskan bagaimana pengaruh antaraPerceived Benefit terhadap Intention to use dompet digital. (2) Untuk menjelaskanbagaimana pengaruh antara Intention to used terhadap behaviour use dompet digital. Jenispenelitian yang digunakan adalah penelitian penjelasan dengan pendekatan kuantitatif.Variabel penelitian ini meliputi Perceived Benefit, Intention to use dan behaviour use .Populasi dalam penelitian ini adalah kaum Milenial dengan rentang umur 17-37 tahun danpernah menggunakan dompet digital. Sampel yang digunakan dalam penelitian inisebanyak 116 orang responden yang diambil dengan menggunakan teknik purposivesampling dan metode pengumpulan data menggunakan metode survei dan kuesioner.Data dikumpulkan dengan menggunakan teknik purposive sampling dan denganinstrumen angket dan pengukuran menggunakan skala semantic deferensial. Pendekatananalisis jalur yang diolah dengan persamaan model struktural menggunakan Lisrel 8.7.Hasil penelitian menunjukkan bahwa perceived benefit berpengaruh signifikan terhadapIntention to use dompet digital dan Behaviour use. Penelitian ini menyimpulkan bahwafaktor manfaat dalam menggunakan dompet digital pada kaum milenial tetap menjadipertimbangan keputusan.","author":[{"dropping-particle":"","family":"Effendy","given":"Femmy","non-dropping-particle":"","parse-names":false,"suffix":""}],"container-title":"Jurnal Interkom: Jurnal Publikasi Ilmiah Bidang Teknologi Informasi dan Komunikasi","id":"ITEM-1","issue":"2","issued":{"date-parts":[["2021"]]},"title":"PENGARUH PERCEIVED OF BENEFIT TERHADAP NIAT UNTUK MENGGUNAKAN LAYANAN DOMPET DIGITAL DI KALANGAN MILENIAL","type":"article-journal","volume":"15"},"uris":["http://www.mendeley.com/documents/?uuid=0c54bc94-eea4-3c51-89d6-3914862fbd37"]}],"mendeley":{"formattedCitation":"(Effendy, 2021)","plainTextFormattedCitation":"(Effendy, 2021)","previouslyFormattedCitation":"(Effendy, 2021)"},"properties":{"noteIndex":0},"schema":"https://github.com/citation-style-language/schema/raw/master/csl-citation.json"}</w:instrText>
      </w:r>
      <w:r w:rsidR="000A0F61">
        <w:rPr>
          <w:rFonts w:ascii="Arial" w:eastAsia="EB Garamond" w:hAnsi="Arial" w:cs="Arial"/>
        </w:rPr>
        <w:fldChar w:fldCharType="separate"/>
      </w:r>
      <w:r w:rsidR="000A0F61" w:rsidRPr="000A0F61">
        <w:rPr>
          <w:rFonts w:ascii="Arial" w:eastAsia="EB Garamond" w:hAnsi="Arial" w:cs="Arial"/>
          <w:noProof/>
        </w:rPr>
        <w:t>(Effendy, 2021)</w:t>
      </w:r>
      <w:r w:rsidR="000A0F61">
        <w:rPr>
          <w:rFonts w:ascii="Arial" w:eastAsia="EB Garamond" w:hAnsi="Arial" w:cs="Arial"/>
        </w:rPr>
        <w:fldChar w:fldCharType="end"/>
      </w:r>
      <w:r w:rsidR="000A0F61">
        <w:rPr>
          <w:rFonts w:ascii="Arial" w:eastAsia="EB Garamond" w:hAnsi="Arial" w:cs="Arial"/>
        </w:rPr>
        <w:t xml:space="preserve"> and </w:t>
      </w:r>
      <w:r w:rsidR="000A0F61" w:rsidRPr="00D82747">
        <w:rPr>
          <w:rFonts w:ascii="Arial" w:eastAsia="EB Garamond" w:hAnsi="Arial" w:cs="Arial"/>
        </w:rPr>
        <w:t xml:space="preserve"> </w:t>
      </w:r>
      <w:r w:rsidR="000A0F61">
        <w:rPr>
          <w:rFonts w:ascii="Arial" w:eastAsia="EB Garamond" w:hAnsi="Arial" w:cs="Arial"/>
        </w:rPr>
        <w:fldChar w:fldCharType="begin" w:fldLock="1"/>
      </w:r>
      <w:r w:rsidR="000A0F61">
        <w:rPr>
          <w:rFonts w:ascii="Arial" w:eastAsia="EB Garamond" w:hAnsi="Arial" w:cs="Arial"/>
        </w:rPr>
        <w:instrText>ADDIN CSL_CITATION {"citationItems":[{"id":"ITEM-1","itemData":{"DOI":"10.30872/jakt.v19i1.10711","ISSN":"0216-7743","abstract":"Mobile banking merupakan fasilitas perbankan dengan menggunakan alat komunikasi seluler seperti ponsel. Layanan mobile banking memberikan kemudahan bagi pelanggan untuk melakukan transaksi perbankan seperti cek saldo, transfer antar rekening dan pembayaran tagihan. Penelitian ini bertujuan untuk mengukur seberapa besar pengaruh persepsi kemudahan penggunaan, persepsi manfaat dan persepsi keamanan terhadap minat menggunakan. Variabel yang digunakan dalam penelitian ini yaitu persepsi kemudahan penggunaan (X1), persepsi manfaat (X2), persepsi keamanan (X3) dan minat menggunakan (Y). Adapun metode yang digunakan dalam penelitian ini menggunakan metode purposive sampling dengan melakukan penyebaran kuesioner kepada 100 responden nasabah Bank Rakyat Indonesia Kabupaten Mamuju Tengah. Teknik Analisa yang digunakan yaitu regresi linear berganda untuk mengukur pengaruh secara parsial dan simultan . Hasil yang didapatkan menunjukkan adanya pengaruh yang positif dan signifikan antara persepsi kemudahan penggunaan, persepsi manfaat dan persepsi keamanan terhadap minat menggunakan","author":[{"dropping-particle":"","family":"Nursiah","given":"Nursiah","non-dropping-particle":"","parse-names":false,"suffix":""},{"dropping-particle":"","family":"Ferils","given":"Muh.","non-dropping-particle":"","parse-names":false,"suffix":""},{"dropping-particle":"","family":"Kamarudin","given":"Jamaludin","non-dropping-particle":"","parse-names":false,"suffix":""}],"container-title":"AKUNTABEL","id":"ITEM-1","issue":"1","issued":{"date-parts":[["2022"]]},"title":"Analisis minat menggunakan mobile banking","type":"article-journal","volume":"19"},"uris":["http://www.mendeley.com/documents/?uuid=ace85415-2c7e-3145-a711-b4dc2f8e5c79"]}],"mendeley":{"formattedCitation":"(Nursiah et al., 2022)","plainTextFormattedCitation":"(Nursiah et al., 2022)","previouslyFormattedCitation":"(Nursiah et al., 2022)"},"properties":{"noteIndex":0},"schema":"https://github.com/citation-style-language/schema/raw/master/csl-citation.json"}</w:instrText>
      </w:r>
      <w:r w:rsidR="000A0F61">
        <w:rPr>
          <w:rFonts w:ascii="Arial" w:eastAsia="EB Garamond" w:hAnsi="Arial" w:cs="Arial"/>
        </w:rPr>
        <w:fldChar w:fldCharType="separate"/>
      </w:r>
      <w:r w:rsidR="000A0F61" w:rsidRPr="000A0F61">
        <w:rPr>
          <w:rFonts w:ascii="Arial" w:eastAsia="EB Garamond" w:hAnsi="Arial" w:cs="Arial"/>
          <w:noProof/>
        </w:rPr>
        <w:t>(Nursiah et al., 2022)</w:t>
      </w:r>
      <w:r w:rsidR="000A0F61">
        <w:rPr>
          <w:rFonts w:ascii="Arial" w:eastAsia="EB Garamond" w:hAnsi="Arial" w:cs="Arial"/>
        </w:rPr>
        <w:fldChar w:fldCharType="end"/>
      </w:r>
      <w:r w:rsidR="000A0F61">
        <w:rPr>
          <w:rFonts w:ascii="Arial" w:eastAsia="EB Garamond" w:hAnsi="Arial" w:cs="Arial"/>
        </w:rPr>
        <w:t xml:space="preserve">. </w:t>
      </w:r>
      <w:r w:rsidR="0054030E" w:rsidRPr="0047203B">
        <w:rPr>
          <w:rFonts w:ascii="Arial" w:eastAsia="EB Garamond" w:hAnsi="Arial" w:cs="Arial"/>
          <w:color w:val="000000" w:themeColor="text1"/>
        </w:rPr>
        <w:t xml:space="preserve">However, the results of </w:t>
      </w:r>
      <w:r w:rsidR="000A0F61">
        <w:rPr>
          <w:rFonts w:ascii="Arial" w:eastAsia="EB Garamond" w:hAnsi="Arial" w:cs="Arial"/>
          <w:color w:val="000000" w:themeColor="text1"/>
        </w:rPr>
        <w:fldChar w:fldCharType="begin" w:fldLock="1"/>
      </w:r>
      <w:r w:rsidR="000A0F61">
        <w:rPr>
          <w:rFonts w:ascii="Arial" w:eastAsia="EB Garamond" w:hAnsi="Arial" w:cs="Arial"/>
          <w:color w:val="000000" w:themeColor="text1"/>
        </w:rPr>
        <w:instrText>ADDIN CSL_CITATION {"citationItems":[{"id":"ITEM-1","itemData":{"DOI":"https://doi.org/10.37301/jmubh.v16i2.19032","author":[{"dropping-particle":"","family":"Jhon Fernos ;Mairizal Alfadino","given":"","non-dropping-particle":"","parse-names":false,"suffix":""}],"container-title":"Jurnal Manajemen Universitas Bung Hatta","id":"ITEM-1","issued":{"date-parts":[["2021","7","27"]]},"page":"115-125","title":"Pengaruh Manfaat, Kepercayaan, Dan Kemudahan Penggunaan Terhadap Minat Nasabah Menggunakan Layanan Mobile Banking Pada Pt. Bank Pembangunan Daerah Sumatera Barat Cabang Koto Baru, Dharmasraya","type":"article-journal","volume":"Jil. 16 No.2"},"uris":["http://www.mendeley.com/documents/?uuid=1158f8e7-ec8a-3e28-92a9-afc067a534a5"]}],"mendeley":{"formattedCitation":"(Jhon Fernos ;Mairizal Alfadino, 2021)","plainTextFormattedCitation":"(Jhon Fernos ;Mairizal Alfadino, 2021)","previouslyFormattedCitation":"(Jhon Fernos ;Mairizal Alfadino, 2021)"},"properties":{"noteIndex":0},"schema":"https://github.com/citation-style-language/schema/raw/master/csl-citation.json"}</w:instrText>
      </w:r>
      <w:r w:rsidR="000A0F61">
        <w:rPr>
          <w:rFonts w:ascii="Arial" w:eastAsia="EB Garamond" w:hAnsi="Arial" w:cs="Arial"/>
          <w:color w:val="000000" w:themeColor="text1"/>
        </w:rPr>
        <w:fldChar w:fldCharType="separate"/>
      </w:r>
      <w:r w:rsidR="000A0F61" w:rsidRPr="000A0F61">
        <w:rPr>
          <w:rFonts w:ascii="Arial" w:eastAsia="EB Garamond" w:hAnsi="Arial" w:cs="Arial"/>
          <w:noProof/>
          <w:color w:val="000000" w:themeColor="text1"/>
        </w:rPr>
        <w:t>(Jhon Fernos ;Mairizal Alfadino, 2021)</w:t>
      </w:r>
      <w:r w:rsidR="000A0F61">
        <w:rPr>
          <w:rFonts w:ascii="Arial" w:eastAsia="EB Garamond" w:hAnsi="Arial" w:cs="Arial"/>
          <w:color w:val="000000" w:themeColor="text1"/>
        </w:rPr>
        <w:fldChar w:fldCharType="end"/>
      </w:r>
      <w:r w:rsidR="000A0F61">
        <w:rPr>
          <w:rFonts w:ascii="Arial" w:eastAsia="EB Garamond" w:hAnsi="Arial" w:cs="Arial"/>
          <w:color w:val="000000" w:themeColor="text1"/>
        </w:rPr>
        <w:t xml:space="preserve"> </w:t>
      </w:r>
      <w:r w:rsidR="0054030E" w:rsidRPr="0047203B">
        <w:rPr>
          <w:rFonts w:ascii="Arial" w:eastAsia="EB Garamond" w:hAnsi="Arial" w:cs="Arial"/>
          <w:color w:val="000000" w:themeColor="text1"/>
        </w:rPr>
        <w:t xml:space="preserve">showed that the perception of </w:t>
      </w:r>
      <w:r w:rsidR="0054030E" w:rsidRPr="0047203B">
        <w:rPr>
          <w:rFonts w:ascii="Arial" w:eastAsia="EB Garamond" w:hAnsi="Arial" w:cs="Arial"/>
          <w:color w:val="000000" w:themeColor="text1"/>
        </w:rPr>
        <w:lastRenderedPageBreak/>
        <w:t>benefits is not always a determining factor in the use of mobile banking. Our research results show that the perception of benefits and advantages is an important factor in increasing the adoption of e-banking, especially among people who are still hesitant to use this service. The policy implications of this finding are that financial institutions need to be more proactive in communicating the concrete advantages and benefits that customers can get from using e-banking. In addition, it is necessary to innovate e-banking products and services that are more in line with the needs and preferences of rural communities. Further research can identify what types of advantages and benefits are most effective in encouraging the adoption of e-banking among rural communities.</w:t>
      </w:r>
    </w:p>
    <w:p w14:paraId="67582F43" w14:textId="77777777" w:rsidR="00684145" w:rsidRPr="0047203B" w:rsidRDefault="00684145"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p>
    <w:p w14:paraId="7C2F00DE" w14:textId="64390F92" w:rsidR="00D808B7" w:rsidRPr="0054195E" w:rsidRDefault="0054195E" w:rsidP="0054195E">
      <w:pPr>
        <w:pBdr>
          <w:top w:val="nil"/>
          <w:left w:val="nil"/>
          <w:bottom w:val="nil"/>
          <w:right w:val="nil"/>
          <w:between w:val="nil"/>
        </w:pBdr>
        <w:spacing w:after="0" w:line="240" w:lineRule="auto"/>
        <w:jc w:val="both"/>
        <w:rPr>
          <w:rFonts w:ascii="Arial" w:hAnsi="Arial" w:cs="Arial"/>
          <w:b/>
          <w:color w:val="000000" w:themeColor="text1"/>
        </w:rPr>
      </w:pPr>
      <w:r w:rsidRPr="0047203B">
        <w:rPr>
          <w:rFonts w:ascii="Arial" w:hAnsi="Arial" w:cs="Arial"/>
          <w:b/>
          <w:color w:val="000000" w:themeColor="text1"/>
        </w:rPr>
        <w:t>CONCLUSION</w:t>
      </w:r>
    </w:p>
    <w:p w14:paraId="6D7CBBF6" w14:textId="30522CF4" w:rsidR="00984067" w:rsidRDefault="00D82663"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r w:rsidRPr="00D82663">
        <w:rPr>
          <w:rFonts w:ascii="Arial" w:eastAsia="EB Garamond" w:hAnsi="Arial" w:cs="Arial"/>
          <w:color w:val="000000" w:themeColor="text1"/>
        </w:rPr>
        <w:t xml:space="preserve">This study aims to identify factors that influence the adoption of e-banking in rural communities, especially in the Batang Kuis area. The results of the study indicate that the perception of benefits and security are the dominant factors that encourage people to use e-banking services. Although financial literacy and infrastructure also play a role, their influence is not as large as the two main factors. This finding indicates that to increase the adoption of e-banking, financial institutions need to focus more on efforts to build public trust and communicate the real benefits of digital services. In addition, the government needs to play an active role in providing adequate infrastructure and creating a conducive environment for the growth of digital financial services. The results also show that user experience does not have a significant influence on the initial decision to use e-banking, but may play a greater role in retaining existing users. Further research is recommended to explore more deeply the role of cultural, social, and economic factors that may influence the interest in using e-banking. It should be noted that this study has limitations, namely the relatively limited sample size and focus on the Batang Kuis area only. This can limit the generalization </w:t>
      </w:r>
      <w:r w:rsidRPr="00D82663">
        <w:rPr>
          <w:rFonts w:ascii="Arial" w:eastAsia="EB Garamond" w:hAnsi="Arial" w:cs="Arial"/>
          <w:color w:val="000000" w:themeColor="text1"/>
        </w:rPr>
        <w:lastRenderedPageBreak/>
        <w:t>of the research results to other rural areas with different characteristics.</w:t>
      </w:r>
    </w:p>
    <w:p w14:paraId="3EBE6627" w14:textId="77777777" w:rsidR="00D82663" w:rsidRPr="0047203B" w:rsidRDefault="00D82663" w:rsidP="005C23AF">
      <w:pPr>
        <w:pBdr>
          <w:top w:val="nil"/>
          <w:left w:val="nil"/>
          <w:bottom w:val="nil"/>
          <w:right w:val="nil"/>
          <w:between w:val="nil"/>
        </w:pBdr>
        <w:spacing w:after="0" w:line="240" w:lineRule="auto"/>
        <w:ind w:firstLine="567"/>
        <w:jc w:val="both"/>
        <w:rPr>
          <w:rFonts w:ascii="Arial" w:eastAsia="EB Garamond" w:hAnsi="Arial" w:cs="Arial"/>
          <w:color w:val="000000" w:themeColor="text1"/>
        </w:rPr>
      </w:pPr>
      <w:bookmarkStart w:id="0" w:name="_GoBack"/>
      <w:bookmarkEnd w:id="0"/>
    </w:p>
    <w:p w14:paraId="72D59F1D" w14:textId="23921C85" w:rsidR="00984067" w:rsidRDefault="0054195E" w:rsidP="0054195E">
      <w:pPr>
        <w:spacing w:after="0" w:line="240" w:lineRule="auto"/>
        <w:jc w:val="both"/>
        <w:rPr>
          <w:rFonts w:ascii="Arial" w:hAnsi="Arial" w:cs="Arial"/>
          <w:b/>
          <w:color w:val="000000" w:themeColor="text1"/>
        </w:rPr>
      </w:pPr>
      <w:r w:rsidRPr="0047203B">
        <w:rPr>
          <w:rFonts w:ascii="Arial" w:hAnsi="Arial" w:cs="Arial"/>
          <w:b/>
          <w:color w:val="000000" w:themeColor="text1"/>
        </w:rPr>
        <w:t>REFERENCES</w:t>
      </w:r>
      <w:r w:rsidR="00627B84" w:rsidRPr="0047203B">
        <w:rPr>
          <w:rFonts w:ascii="Arial" w:hAnsi="Arial" w:cs="Arial"/>
          <w:b/>
          <w:color w:val="000000" w:themeColor="text1"/>
        </w:rPr>
        <w:t xml:space="preserve"> </w:t>
      </w:r>
    </w:p>
    <w:p w14:paraId="517C6985" w14:textId="77777777" w:rsidR="000A0F61" w:rsidRDefault="000A0F61" w:rsidP="0054195E">
      <w:pPr>
        <w:spacing w:after="0" w:line="240" w:lineRule="auto"/>
        <w:jc w:val="both"/>
        <w:rPr>
          <w:rFonts w:ascii="Arial" w:hAnsi="Arial" w:cs="Arial"/>
          <w:b/>
          <w:color w:val="000000" w:themeColor="text1"/>
        </w:rPr>
      </w:pPr>
    </w:p>
    <w:p w14:paraId="1727DA99" w14:textId="65131D0F" w:rsidR="00517B3F" w:rsidRPr="00517B3F" w:rsidRDefault="000A0F61" w:rsidP="00B17B40">
      <w:pPr>
        <w:widowControl w:val="0"/>
        <w:autoSpaceDE w:val="0"/>
        <w:autoSpaceDN w:val="0"/>
        <w:adjustRightInd w:val="0"/>
        <w:spacing w:after="0" w:line="240" w:lineRule="auto"/>
        <w:ind w:left="480" w:hanging="480"/>
        <w:jc w:val="both"/>
        <w:rPr>
          <w:rFonts w:ascii="Arial" w:hAnsi="Arial" w:cs="Arial"/>
          <w:noProof/>
          <w:szCs w:val="24"/>
        </w:rPr>
      </w:pPr>
      <w:r>
        <w:rPr>
          <w:rFonts w:ascii="Arial" w:hAnsi="Arial" w:cs="Arial"/>
          <w:b/>
          <w:color w:val="000000" w:themeColor="text1"/>
        </w:rPr>
        <w:fldChar w:fldCharType="begin" w:fldLock="1"/>
      </w:r>
      <w:r>
        <w:rPr>
          <w:rFonts w:ascii="Arial" w:hAnsi="Arial" w:cs="Arial"/>
          <w:b/>
          <w:color w:val="000000" w:themeColor="text1"/>
        </w:rPr>
        <w:instrText xml:space="preserve">ADDIN Mendeley Bibliography CSL_BIBLIOGRAPHY </w:instrText>
      </w:r>
      <w:r>
        <w:rPr>
          <w:rFonts w:ascii="Arial" w:hAnsi="Arial" w:cs="Arial"/>
          <w:b/>
          <w:color w:val="000000" w:themeColor="text1"/>
        </w:rPr>
        <w:fldChar w:fldCharType="separate"/>
      </w:r>
      <w:r w:rsidR="00517B3F" w:rsidRPr="00517B3F">
        <w:rPr>
          <w:rFonts w:ascii="Arial" w:hAnsi="Arial" w:cs="Arial"/>
          <w:noProof/>
          <w:szCs w:val="24"/>
        </w:rPr>
        <w:t xml:space="preserve">Adi Saputra Hsb, &amp; Ismi Andari. (2023). </w:t>
      </w:r>
      <w:r w:rsidR="00255D8C" w:rsidRPr="00517B3F">
        <w:rPr>
          <w:rFonts w:ascii="Arial" w:hAnsi="Arial" w:cs="Arial"/>
          <w:noProof/>
          <w:szCs w:val="24"/>
        </w:rPr>
        <w:t>Kajian Minat Guna Layanan Mobile  Banking Di Kalangan Mahasiswa1</w:t>
      </w:r>
      <w:r w:rsidR="00517B3F" w:rsidRPr="00517B3F">
        <w:rPr>
          <w:rFonts w:ascii="Arial" w:hAnsi="Arial" w:cs="Arial"/>
          <w:noProof/>
          <w:szCs w:val="24"/>
        </w:rPr>
        <w:t xml:space="preserve">. </w:t>
      </w:r>
      <w:r w:rsidR="00517B3F" w:rsidRPr="00517B3F">
        <w:rPr>
          <w:rFonts w:ascii="Arial" w:hAnsi="Arial" w:cs="Arial"/>
          <w:i/>
          <w:iCs/>
          <w:noProof/>
          <w:szCs w:val="24"/>
        </w:rPr>
        <w:t>NUSANTARA: Jurnal Ilmu Pengetahuan Sosial</w:t>
      </w:r>
      <w:r w:rsidR="00517B3F" w:rsidRPr="00517B3F">
        <w:rPr>
          <w:rFonts w:ascii="Arial" w:hAnsi="Arial" w:cs="Arial"/>
          <w:noProof/>
          <w:szCs w:val="24"/>
        </w:rPr>
        <w:t xml:space="preserve">, </w:t>
      </w:r>
      <w:r w:rsidR="00517B3F" w:rsidRPr="00517B3F">
        <w:rPr>
          <w:rFonts w:ascii="Arial" w:hAnsi="Arial" w:cs="Arial"/>
          <w:i/>
          <w:iCs/>
          <w:noProof/>
          <w:szCs w:val="24"/>
        </w:rPr>
        <w:t>Vol 10 No 3</w:t>
      </w:r>
      <w:r w:rsidR="00517B3F" w:rsidRPr="00517B3F">
        <w:rPr>
          <w:rFonts w:ascii="Arial" w:hAnsi="Arial" w:cs="Arial"/>
          <w:noProof/>
          <w:szCs w:val="24"/>
        </w:rPr>
        <w:t>, 1138–1136.</w:t>
      </w:r>
    </w:p>
    <w:p w14:paraId="6EF9DEAB" w14:textId="77777777" w:rsidR="00517B3F" w:rsidRPr="00517B3F" w:rsidRDefault="00517B3F" w:rsidP="00B17B40">
      <w:pPr>
        <w:widowControl w:val="0"/>
        <w:autoSpaceDE w:val="0"/>
        <w:autoSpaceDN w:val="0"/>
        <w:adjustRightInd w:val="0"/>
        <w:spacing w:after="0" w:line="240" w:lineRule="auto"/>
        <w:ind w:left="480" w:hanging="480"/>
        <w:rPr>
          <w:rFonts w:ascii="Arial" w:hAnsi="Arial" w:cs="Arial"/>
          <w:noProof/>
          <w:szCs w:val="24"/>
        </w:rPr>
      </w:pPr>
      <w:r w:rsidRPr="00517B3F">
        <w:rPr>
          <w:rFonts w:ascii="Arial" w:hAnsi="Arial" w:cs="Arial"/>
          <w:noProof/>
          <w:szCs w:val="24"/>
        </w:rPr>
        <w:t xml:space="preserve">Aditya, T., &amp; Mahyuni, L. P. (2022). Pengaruh literasi keuangan, persepsi kemudahan, manfaat, keamanan dan pengaruh sosial terhadap minat penggunaan fintech. </w:t>
      </w:r>
      <w:r w:rsidRPr="00517B3F">
        <w:rPr>
          <w:rFonts w:ascii="Arial" w:hAnsi="Arial" w:cs="Arial"/>
          <w:i/>
          <w:iCs/>
          <w:noProof/>
          <w:szCs w:val="24"/>
        </w:rPr>
        <w:t>FORUM EKONOMI</w:t>
      </w:r>
      <w:r w:rsidRPr="00517B3F">
        <w:rPr>
          <w:rFonts w:ascii="Arial" w:hAnsi="Arial" w:cs="Arial"/>
          <w:noProof/>
          <w:szCs w:val="24"/>
        </w:rPr>
        <w:t xml:space="preserve">, </w:t>
      </w:r>
      <w:r w:rsidRPr="00517B3F">
        <w:rPr>
          <w:rFonts w:ascii="Arial" w:hAnsi="Arial" w:cs="Arial"/>
          <w:i/>
          <w:iCs/>
          <w:noProof/>
          <w:szCs w:val="24"/>
        </w:rPr>
        <w:t>24</w:t>
      </w:r>
      <w:r w:rsidRPr="00517B3F">
        <w:rPr>
          <w:rFonts w:ascii="Arial" w:hAnsi="Arial" w:cs="Arial"/>
          <w:noProof/>
          <w:szCs w:val="24"/>
        </w:rPr>
        <w:t>(2). https://doi.org/10.30872/jfor.v24i2.10330</w:t>
      </w:r>
    </w:p>
    <w:p w14:paraId="02E04414" w14:textId="5643C90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Ahmad Munajim. (2022). Pengaruh Tingkat Literasi Keuan</w:t>
      </w:r>
      <w:r w:rsidR="00E04C17">
        <w:rPr>
          <w:rFonts w:ascii="Arial" w:hAnsi="Arial" w:cs="Arial"/>
          <w:noProof/>
          <w:szCs w:val="24"/>
        </w:rPr>
        <w:t xml:space="preserve"> </w:t>
      </w:r>
      <w:r w:rsidRPr="00517B3F">
        <w:rPr>
          <w:rFonts w:ascii="Arial" w:hAnsi="Arial" w:cs="Arial"/>
          <w:noProof/>
          <w:szCs w:val="24"/>
        </w:rPr>
        <w:t xml:space="preserve">gan Terhadap Kepercayaan Pada Produk Perbankan Syariah. </w:t>
      </w:r>
      <w:r w:rsidRPr="00517B3F">
        <w:rPr>
          <w:rFonts w:ascii="Arial" w:hAnsi="Arial" w:cs="Arial"/>
          <w:i/>
          <w:iCs/>
          <w:noProof/>
          <w:szCs w:val="24"/>
        </w:rPr>
        <w:t>Syntax Idea</w:t>
      </w:r>
      <w:r w:rsidRPr="00517B3F">
        <w:rPr>
          <w:rFonts w:ascii="Arial" w:hAnsi="Arial" w:cs="Arial"/>
          <w:noProof/>
          <w:szCs w:val="24"/>
        </w:rPr>
        <w:t xml:space="preserve">, </w:t>
      </w:r>
      <w:r w:rsidRPr="00517B3F">
        <w:rPr>
          <w:rFonts w:ascii="Arial" w:hAnsi="Arial" w:cs="Arial"/>
          <w:i/>
          <w:iCs/>
          <w:noProof/>
          <w:szCs w:val="24"/>
        </w:rPr>
        <w:t>Vol. 2</w:t>
      </w:r>
      <w:r w:rsidRPr="00517B3F">
        <w:rPr>
          <w:rFonts w:ascii="Arial" w:hAnsi="Arial" w:cs="Arial"/>
          <w:noProof/>
          <w:szCs w:val="24"/>
        </w:rPr>
        <w:t xml:space="preserve">, </w:t>
      </w:r>
      <w:r w:rsidRPr="00517B3F">
        <w:rPr>
          <w:rFonts w:ascii="Arial" w:hAnsi="Arial" w:cs="Arial"/>
          <w:i/>
          <w:iCs/>
          <w:noProof/>
          <w:szCs w:val="24"/>
        </w:rPr>
        <w:t>No. 1</w:t>
      </w:r>
      <w:r w:rsidRPr="00517B3F">
        <w:rPr>
          <w:rFonts w:ascii="Arial" w:hAnsi="Arial" w:cs="Arial"/>
          <w:noProof/>
          <w:szCs w:val="24"/>
        </w:rPr>
        <w:t>, 1–10. https://doi.org/10.36418/syntax-idea.v2i1.119</w:t>
      </w:r>
    </w:p>
    <w:p w14:paraId="70A073C7"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Alfina Eka Mutiara Sari1, &amp; Batara Daniel Bagana. (2022). Analisis Faktor-Faktor Yang Mempengaruhi Minat Menggunakan Mobile Banking. </w:t>
      </w:r>
      <w:r w:rsidRPr="00517B3F">
        <w:rPr>
          <w:rFonts w:ascii="Arial" w:hAnsi="Arial" w:cs="Arial"/>
          <w:i/>
          <w:iCs/>
          <w:noProof/>
          <w:szCs w:val="24"/>
        </w:rPr>
        <w:t>JURNAL ILMIAH KOMPUTERISASI AKUNTANS</w:t>
      </w:r>
      <w:r w:rsidRPr="00517B3F">
        <w:rPr>
          <w:rFonts w:ascii="Arial" w:hAnsi="Arial" w:cs="Arial"/>
          <w:noProof/>
          <w:szCs w:val="24"/>
        </w:rPr>
        <w:t xml:space="preserve">, </w:t>
      </w:r>
      <w:r w:rsidRPr="00517B3F">
        <w:rPr>
          <w:rFonts w:ascii="Arial" w:hAnsi="Arial" w:cs="Arial"/>
          <w:i/>
          <w:iCs/>
          <w:noProof/>
          <w:szCs w:val="24"/>
        </w:rPr>
        <w:t>Vol. 15</w:t>
      </w:r>
      <w:r w:rsidRPr="00517B3F">
        <w:rPr>
          <w:rFonts w:ascii="Arial" w:hAnsi="Arial" w:cs="Arial"/>
          <w:noProof/>
          <w:szCs w:val="24"/>
        </w:rPr>
        <w:t xml:space="preserve">, </w:t>
      </w:r>
      <w:r w:rsidRPr="00517B3F">
        <w:rPr>
          <w:rFonts w:ascii="Arial" w:hAnsi="Arial" w:cs="Arial"/>
          <w:i/>
          <w:iCs/>
          <w:noProof/>
          <w:szCs w:val="24"/>
        </w:rPr>
        <w:t>No. 2</w:t>
      </w:r>
      <w:r w:rsidRPr="00517B3F">
        <w:rPr>
          <w:rFonts w:ascii="Arial" w:hAnsi="Arial" w:cs="Arial"/>
          <w:noProof/>
          <w:szCs w:val="24"/>
        </w:rPr>
        <w:t>, 299–307.</w:t>
      </w:r>
    </w:p>
    <w:p w14:paraId="56868232" w14:textId="505EDEC5"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Andriyaningtyas, I., Adam, M., &amp; Herianingrum, S. (2022). </w:t>
      </w:r>
      <w:r w:rsidR="00255D8C" w:rsidRPr="00517B3F">
        <w:rPr>
          <w:rFonts w:ascii="Arial" w:hAnsi="Arial" w:cs="Arial"/>
          <w:noProof/>
          <w:szCs w:val="24"/>
        </w:rPr>
        <w:t>Penerimaan E-Wallet Syariah Linkaja Dalam Rangka Pengembangan Ekonomi Digital Di Indonesia.</w:t>
      </w:r>
      <w:r w:rsidRPr="00517B3F">
        <w:rPr>
          <w:rFonts w:ascii="Arial" w:hAnsi="Arial" w:cs="Arial"/>
          <w:noProof/>
          <w:szCs w:val="24"/>
        </w:rPr>
        <w:t xml:space="preserve"> </w:t>
      </w:r>
      <w:r w:rsidRPr="00517B3F">
        <w:rPr>
          <w:rFonts w:ascii="Arial" w:hAnsi="Arial" w:cs="Arial"/>
          <w:i/>
          <w:iCs/>
          <w:noProof/>
          <w:szCs w:val="24"/>
        </w:rPr>
        <w:t>EKUITAS (Jurnal Ekonomi dan Keuangan)</w:t>
      </w:r>
      <w:r w:rsidRPr="00517B3F">
        <w:rPr>
          <w:rFonts w:ascii="Arial" w:hAnsi="Arial" w:cs="Arial"/>
          <w:noProof/>
          <w:szCs w:val="24"/>
        </w:rPr>
        <w:t xml:space="preserve">, </w:t>
      </w:r>
      <w:r w:rsidRPr="00517B3F">
        <w:rPr>
          <w:rFonts w:ascii="Arial" w:hAnsi="Arial" w:cs="Arial"/>
          <w:i/>
          <w:iCs/>
          <w:noProof/>
          <w:szCs w:val="24"/>
        </w:rPr>
        <w:t>5</w:t>
      </w:r>
      <w:r w:rsidRPr="00517B3F">
        <w:rPr>
          <w:rFonts w:ascii="Arial" w:hAnsi="Arial" w:cs="Arial"/>
          <w:noProof/>
          <w:szCs w:val="24"/>
        </w:rPr>
        <w:t>(4). https://doi.org/10.24034/j25485024.y2021.v5.i4.4772</w:t>
      </w:r>
    </w:p>
    <w:p w14:paraId="013D8DF6"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APJII. (2024). APJII Jumlah Pengguna Internet Indonesia Tembus 221 Juta Orang. </w:t>
      </w:r>
      <w:r w:rsidRPr="00517B3F">
        <w:rPr>
          <w:rFonts w:ascii="Arial" w:hAnsi="Arial" w:cs="Arial"/>
          <w:i/>
          <w:iCs/>
          <w:noProof/>
          <w:szCs w:val="24"/>
        </w:rPr>
        <w:t>Www.Apji.or.Id</w:t>
      </w:r>
      <w:r w:rsidRPr="00517B3F">
        <w:rPr>
          <w:rFonts w:ascii="Arial" w:hAnsi="Arial" w:cs="Arial"/>
          <w:noProof/>
          <w:szCs w:val="24"/>
        </w:rPr>
        <w:t xml:space="preserve">, </w:t>
      </w:r>
      <w:r w:rsidRPr="00517B3F">
        <w:rPr>
          <w:rFonts w:ascii="Arial" w:hAnsi="Arial" w:cs="Arial"/>
          <w:i/>
          <w:iCs/>
          <w:noProof/>
          <w:szCs w:val="24"/>
        </w:rPr>
        <w:t>8</w:t>
      </w:r>
      <w:r w:rsidRPr="00517B3F">
        <w:rPr>
          <w:rFonts w:ascii="Arial" w:hAnsi="Arial" w:cs="Arial"/>
          <w:noProof/>
          <w:szCs w:val="24"/>
        </w:rPr>
        <w:t>. https://apjii.or.id/berita/d/apjii-jumlah-pengguna-internet-indonesia-tembus-221-juta-orang</w:t>
      </w:r>
    </w:p>
    <w:p w14:paraId="317BC905" w14:textId="095F1F92"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Ayuningrum Febrima, &amp; Sadiyah Siti. (2022). </w:t>
      </w:r>
      <w:r w:rsidR="00255D8C" w:rsidRPr="00517B3F">
        <w:rPr>
          <w:rFonts w:ascii="Arial" w:hAnsi="Arial" w:cs="Arial"/>
          <w:noProof/>
          <w:szCs w:val="24"/>
        </w:rPr>
        <w:t>Pengaruh Literasi Keuangan Syariah Dan Kemudahan Terhadap Minat Penggunaan Uang Elektronik Dana Sebagai Alat Transaks.</w:t>
      </w:r>
      <w:r w:rsidRPr="00517B3F">
        <w:rPr>
          <w:rFonts w:ascii="Arial" w:hAnsi="Arial" w:cs="Arial"/>
          <w:noProof/>
          <w:szCs w:val="24"/>
        </w:rPr>
        <w:t xml:space="preserve"> </w:t>
      </w:r>
      <w:r w:rsidRPr="00517B3F">
        <w:rPr>
          <w:rFonts w:ascii="Arial" w:hAnsi="Arial" w:cs="Arial"/>
          <w:i/>
          <w:iCs/>
          <w:noProof/>
          <w:szCs w:val="24"/>
        </w:rPr>
        <w:t>Jurnal Al-Fatih Global Mulia</w:t>
      </w:r>
      <w:r w:rsidRPr="00517B3F">
        <w:rPr>
          <w:rFonts w:ascii="Arial" w:hAnsi="Arial" w:cs="Arial"/>
          <w:noProof/>
          <w:szCs w:val="24"/>
        </w:rPr>
        <w:t xml:space="preserve">, </w:t>
      </w:r>
      <w:r w:rsidRPr="00517B3F">
        <w:rPr>
          <w:rFonts w:ascii="Arial" w:hAnsi="Arial" w:cs="Arial"/>
          <w:i/>
          <w:iCs/>
          <w:noProof/>
          <w:szCs w:val="24"/>
        </w:rPr>
        <w:t>4</w:t>
      </w:r>
      <w:r w:rsidRPr="00517B3F">
        <w:rPr>
          <w:rFonts w:ascii="Arial" w:hAnsi="Arial" w:cs="Arial"/>
          <w:noProof/>
          <w:szCs w:val="24"/>
        </w:rPr>
        <w:t>, 2746–7058. https://jurnalglobalmulia.or.id/index.p</w:t>
      </w:r>
      <w:r w:rsidRPr="00517B3F">
        <w:rPr>
          <w:rFonts w:ascii="Arial" w:hAnsi="Arial" w:cs="Arial"/>
          <w:noProof/>
          <w:szCs w:val="24"/>
        </w:rPr>
        <w:lastRenderedPageBreak/>
        <w:t>hp/alfatih</w:t>
      </w:r>
    </w:p>
    <w:p w14:paraId="74DB9690"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Budyastuti, T. (2021). Pengaruh financial technology dan literasi keuangan terhadap keberlangsungan usaha. </w:t>
      </w:r>
      <w:r w:rsidRPr="00517B3F">
        <w:rPr>
          <w:rFonts w:ascii="Arial" w:hAnsi="Arial" w:cs="Arial"/>
          <w:i/>
          <w:iCs/>
          <w:noProof/>
          <w:szCs w:val="24"/>
        </w:rPr>
        <w:t>Jurnal Online Insan Akuntan</w:t>
      </w:r>
      <w:r w:rsidRPr="00517B3F">
        <w:rPr>
          <w:rFonts w:ascii="Arial" w:hAnsi="Arial" w:cs="Arial"/>
          <w:noProof/>
          <w:szCs w:val="24"/>
        </w:rPr>
        <w:t xml:space="preserve">, </w:t>
      </w:r>
      <w:r w:rsidRPr="00517B3F">
        <w:rPr>
          <w:rFonts w:ascii="Arial" w:hAnsi="Arial" w:cs="Arial"/>
          <w:i/>
          <w:iCs/>
          <w:noProof/>
          <w:szCs w:val="24"/>
        </w:rPr>
        <w:t>6(2)</w:t>
      </w:r>
      <w:r w:rsidRPr="00517B3F">
        <w:rPr>
          <w:rFonts w:ascii="Arial" w:hAnsi="Arial" w:cs="Arial"/>
          <w:noProof/>
          <w:szCs w:val="24"/>
        </w:rPr>
        <w:t>, 167–178.</w:t>
      </w:r>
    </w:p>
    <w:p w14:paraId="272BFE2C" w14:textId="1801F66F"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Effendy, F. (2021).</w:t>
      </w:r>
      <w:r w:rsidR="00255D8C" w:rsidRPr="00517B3F">
        <w:rPr>
          <w:rFonts w:ascii="Arial" w:hAnsi="Arial" w:cs="Arial"/>
          <w:noProof/>
          <w:szCs w:val="24"/>
        </w:rPr>
        <w:t xml:space="preserve"> Pengaruh Perceived Of Benefit Terhadap Niat Untuk Menggunakan Layanan Dompet Digital Di Kalangan Milenial.</w:t>
      </w:r>
      <w:r w:rsidRPr="00517B3F">
        <w:rPr>
          <w:rFonts w:ascii="Arial" w:hAnsi="Arial" w:cs="Arial"/>
          <w:noProof/>
          <w:szCs w:val="24"/>
        </w:rPr>
        <w:t xml:space="preserve"> </w:t>
      </w:r>
      <w:r w:rsidRPr="00517B3F">
        <w:rPr>
          <w:rFonts w:ascii="Arial" w:hAnsi="Arial" w:cs="Arial"/>
          <w:i/>
          <w:iCs/>
          <w:noProof/>
          <w:szCs w:val="24"/>
        </w:rPr>
        <w:t>Jurnal Interkom: Jurnal Publikasi Ilmiah Bidang Teknologi Informasi dan Komunikasi</w:t>
      </w:r>
      <w:r w:rsidRPr="00517B3F">
        <w:rPr>
          <w:rFonts w:ascii="Arial" w:hAnsi="Arial" w:cs="Arial"/>
          <w:noProof/>
          <w:szCs w:val="24"/>
        </w:rPr>
        <w:t xml:space="preserve">, </w:t>
      </w:r>
      <w:r w:rsidRPr="00517B3F">
        <w:rPr>
          <w:rFonts w:ascii="Arial" w:hAnsi="Arial" w:cs="Arial"/>
          <w:i/>
          <w:iCs/>
          <w:noProof/>
          <w:szCs w:val="24"/>
        </w:rPr>
        <w:t>15</w:t>
      </w:r>
      <w:r w:rsidRPr="00517B3F">
        <w:rPr>
          <w:rFonts w:ascii="Arial" w:hAnsi="Arial" w:cs="Arial"/>
          <w:noProof/>
          <w:szCs w:val="24"/>
        </w:rPr>
        <w:t>(2). https://doi.org/10.35969/interkom.v15i2.87</w:t>
      </w:r>
    </w:p>
    <w:p w14:paraId="5DC2B6C6"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Eudora, D., Rampen, C., &amp; Sihotang, J. I. (2021). Analisis Penggunaan Layanan Mobile Banking Terhadap Transaksi Pembayaran Menggunakan Metode Extended TAM Analysis of Mobile Banking Service Usage Towards Payment Transactions Using Extended TAM. </w:t>
      </w:r>
      <w:r w:rsidRPr="00517B3F">
        <w:rPr>
          <w:rFonts w:ascii="Arial" w:hAnsi="Arial" w:cs="Arial"/>
          <w:i/>
          <w:iCs/>
          <w:noProof/>
          <w:szCs w:val="24"/>
        </w:rPr>
        <w:t>Cogito Smart Journal |</w:t>
      </w:r>
      <w:r w:rsidRPr="00517B3F">
        <w:rPr>
          <w:rFonts w:ascii="Arial" w:hAnsi="Arial" w:cs="Arial"/>
          <w:noProof/>
          <w:szCs w:val="24"/>
        </w:rPr>
        <w:t xml:space="preserve">, </w:t>
      </w:r>
      <w:r w:rsidRPr="00517B3F">
        <w:rPr>
          <w:rFonts w:ascii="Arial" w:hAnsi="Arial" w:cs="Arial"/>
          <w:i/>
          <w:iCs/>
          <w:noProof/>
          <w:szCs w:val="24"/>
        </w:rPr>
        <w:t>7</w:t>
      </w:r>
      <w:r w:rsidRPr="00517B3F">
        <w:rPr>
          <w:rFonts w:ascii="Arial" w:hAnsi="Arial" w:cs="Arial"/>
          <w:noProof/>
          <w:szCs w:val="24"/>
        </w:rPr>
        <w:t>(1).</w:t>
      </w:r>
    </w:p>
    <w:p w14:paraId="11EAAD23"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Farid, M., &amp; Laksmi, A. C. (2023). Pengaruh persepsi manfaat, kemudahan penggunaan, risiko terhadap minat menggunakan dompet elektronik. </w:t>
      </w:r>
      <w:r w:rsidRPr="00517B3F">
        <w:rPr>
          <w:rFonts w:ascii="Arial" w:hAnsi="Arial" w:cs="Arial"/>
          <w:i/>
          <w:iCs/>
          <w:noProof/>
          <w:szCs w:val="24"/>
        </w:rPr>
        <w:t>Jurnal UII</w:t>
      </w:r>
      <w:r w:rsidRPr="00517B3F">
        <w:rPr>
          <w:rFonts w:ascii="Arial" w:hAnsi="Arial" w:cs="Arial"/>
          <w:noProof/>
          <w:szCs w:val="24"/>
        </w:rPr>
        <w:t xml:space="preserve">, </w:t>
      </w:r>
      <w:r w:rsidRPr="00517B3F">
        <w:rPr>
          <w:rFonts w:ascii="Arial" w:hAnsi="Arial" w:cs="Arial"/>
          <w:i/>
          <w:iCs/>
          <w:noProof/>
          <w:szCs w:val="24"/>
        </w:rPr>
        <w:t>5</w:t>
      </w:r>
      <w:r w:rsidRPr="00517B3F">
        <w:rPr>
          <w:rFonts w:ascii="Arial" w:hAnsi="Arial" w:cs="Arial"/>
          <w:noProof/>
          <w:szCs w:val="24"/>
        </w:rPr>
        <w:t>.</w:t>
      </w:r>
    </w:p>
    <w:p w14:paraId="7300DE12"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Ghozali, &amp; Imam. (2012). Aplikasi Analisis Multivariate dengan Program IBM SPSS  20. </w:t>
      </w:r>
      <w:r w:rsidRPr="00517B3F">
        <w:rPr>
          <w:rFonts w:ascii="Arial" w:hAnsi="Arial" w:cs="Arial"/>
          <w:i/>
          <w:iCs/>
          <w:noProof/>
          <w:szCs w:val="24"/>
        </w:rPr>
        <w:t>Semarang : UNDIP</w:t>
      </w:r>
      <w:r w:rsidRPr="00517B3F">
        <w:rPr>
          <w:rFonts w:ascii="Arial" w:hAnsi="Arial" w:cs="Arial"/>
          <w:noProof/>
          <w:szCs w:val="24"/>
        </w:rPr>
        <w:t>.</w:t>
      </w:r>
    </w:p>
    <w:p w14:paraId="035447E3"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Goyal, K., &amp; Kumar, S. (2021). Financial literacy: A systematic review and bibliometric analysis. </w:t>
      </w:r>
      <w:r w:rsidRPr="00517B3F">
        <w:rPr>
          <w:rFonts w:ascii="Arial" w:hAnsi="Arial" w:cs="Arial"/>
          <w:i/>
          <w:iCs/>
          <w:noProof/>
          <w:szCs w:val="24"/>
        </w:rPr>
        <w:t>International Journal of Consumer Studies</w:t>
      </w:r>
      <w:r w:rsidRPr="00517B3F">
        <w:rPr>
          <w:rFonts w:ascii="Arial" w:hAnsi="Arial" w:cs="Arial"/>
          <w:noProof/>
          <w:szCs w:val="24"/>
        </w:rPr>
        <w:t xml:space="preserve">, </w:t>
      </w:r>
      <w:r w:rsidRPr="00517B3F">
        <w:rPr>
          <w:rFonts w:ascii="Arial" w:hAnsi="Arial" w:cs="Arial"/>
          <w:i/>
          <w:iCs/>
          <w:noProof/>
          <w:szCs w:val="24"/>
        </w:rPr>
        <w:t>45</w:t>
      </w:r>
      <w:r w:rsidRPr="00517B3F">
        <w:rPr>
          <w:rFonts w:ascii="Arial" w:hAnsi="Arial" w:cs="Arial"/>
          <w:noProof/>
          <w:szCs w:val="24"/>
        </w:rPr>
        <w:t>(1). https://doi.org/10.1111/ijcs.12605</w:t>
      </w:r>
    </w:p>
    <w:p w14:paraId="53567FCB"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Grohmann, A., &amp; Menkhoff, L. (2020). The Relationship between Financial Literacy and Financial Inclusion. </w:t>
      </w:r>
      <w:r w:rsidRPr="00517B3F">
        <w:rPr>
          <w:rFonts w:ascii="Arial" w:hAnsi="Arial" w:cs="Arial"/>
          <w:i/>
          <w:iCs/>
          <w:noProof/>
          <w:szCs w:val="24"/>
        </w:rPr>
        <w:t>Deutsches Institut für Wirtschaftsforschung</w:t>
      </w:r>
      <w:r w:rsidRPr="00517B3F">
        <w:rPr>
          <w:rFonts w:ascii="Arial" w:hAnsi="Arial" w:cs="Arial"/>
          <w:noProof/>
          <w:szCs w:val="24"/>
        </w:rPr>
        <w:t>.</w:t>
      </w:r>
    </w:p>
    <w:p w14:paraId="38716EA8"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I Gede Prayudi, S. T. . M. ., Dr. I Putu Gde Sukaatmadja, S. M., Prof. Dr. Ni Nyoman Kerti Yasa, S. E. . M. S., &amp; Prof. Dr. Dra I Gusti Ayu Ketut Giantari, Ms. (2022). </w:t>
      </w:r>
      <w:r w:rsidRPr="00517B3F">
        <w:rPr>
          <w:rFonts w:ascii="Arial" w:hAnsi="Arial" w:cs="Arial"/>
          <w:i/>
          <w:iCs/>
          <w:noProof/>
          <w:szCs w:val="24"/>
        </w:rPr>
        <w:t>A Studi: Persepsi Kemudahan Penggunaan dan Kegunaan untuk Membangun Kepercayaan dan Niat Menggunakan Kembali Layanan Mobile Banking</w:t>
      </w:r>
      <w:r w:rsidRPr="00517B3F">
        <w:rPr>
          <w:rFonts w:ascii="Arial" w:hAnsi="Arial" w:cs="Arial"/>
          <w:noProof/>
          <w:szCs w:val="24"/>
        </w:rPr>
        <w:t xml:space="preserve"> (Rintho R. Rerung). Media sains Indonesia.</w:t>
      </w:r>
    </w:p>
    <w:p w14:paraId="72AF00B0"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Jatmiko, L. D. (2020). APJII: 196,7 JUTA WARGA INDONESIA SUDAH </w:t>
      </w:r>
      <w:r w:rsidRPr="00517B3F">
        <w:rPr>
          <w:rFonts w:ascii="Arial" w:hAnsi="Arial" w:cs="Arial"/>
          <w:noProof/>
          <w:szCs w:val="24"/>
        </w:rPr>
        <w:lastRenderedPageBreak/>
        <w:t xml:space="preserve">MELEK INTERNET Leo. </w:t>
      </w:r>
      <w:r w:rsidRPr="00517B3F">
        <w:rPr>
          <w:rFonts w:ascii="Arial" w:hAnsi="Arial" w:cs="Arial"/>
          <w:i/>
          <w:iCs/>
          <w:noProof/>
          <w:szCs w:val="24"/>
        </w:rPr>
        <w:t>bisnis tekno</w:t>
      </w:r>
      <w:r w:rsidRPr="00517B3F">
        <w:rPr>
          <w:rFonts w:ascii="Arial" w:hAnsi="Arial" w:cs="Arial"/>
          <w:noProof/>
          <w:szCs w:val="24"/>
        </w:rPr>
        <w:t>. https://teknologi.bisnis.com/read/20201110/101/1315765/apjii-1967-juta-warga-indonesia-sudah-melek-internet</w:t>
      </w:r>
    </w:p>
    <w:p w14:paraId="3EBA6217"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Jhon Fernos ;Mairizal Alfadino. (2021). Pengaruh Manfaat, Kepercayaan, Dan Kemudahan Penggunaan Terhadap Minat Nasabah Menggunakan Layanan Mobile Banking Pada Pt. Bank Pembangunan Daerah Sumatera Barat Cabang Koto Baru, Dharmasraya. </w:t>
      </w:r>
      <w:r w:rsidRPr="00517B3F">
        <w:rPr>
          <w:rFonts w:ascii="Arial" w:hAnsi="Arial" w:cs="Arial"/>
          <w:i/>
          <w:iCs/>
          <w:noProof/>
          <w:szCs w:val="24"/>
        </w:rPr>
        <w:t>Jurnal Manajemen Universitas Bung Hatta</w:t>
      </w:r>
      <w:r w:rsidRPr="00517B3F">
        <w:rPr>
          <w:rFonts w:ascii="Arial" w:hAnsi="Arial" w:cs="Arial"/>
          <w:noProof/>
          <w:szCs w:val="24"/>
        </w:rPr>
        <w:t xml:space="preserve">, </w:t>
      </w:r>
      <w:r w:rsidRPr="00517B3F">
        <w:rPr>
          <w:rFonts w:ascii="Arial" w:hAnsi="Arial" w:cs="Arial"/>
          <w:i/>
          <w:iCs/>
          <w:noProof/>
          <w:szCs w:val="24"/>
        </w:rPr>
        <w:t>Jil. 16 No.2</w:t>
      </w:r>
      <w:r w:rsidRPr="00517B3F">
        <w:rPr>
          <w:rFonts w:ascii="Arial" w:hAnsi="Arial" w:cs="Arial"/>
          <w:noProof/>
          <w:szCs w:val="24"/>
        </w:rPr>
        <w:t>, 115–125. https://doi.org/https://doi.org/10.37301/jmubh.v16i2.19032</w:t>
      </w:r>
    </w:p>
    <w:p w14:paraId="0F51D377"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Madaniah, &amp; Suprayitno. (2022). Pengaruh Penggunaan E-Banking dan Perlindungan Nasabah Terhadap Kepercayaan Nasabah dengan Literasi Keuangan sebagai Variabel Moderasi. </w:t>
      </w:r>
      <w:r w:rsidRPr="00517B3F">
        <w:rPr>
          <w:rFonts w:ascii="Arial" w:hAnsi="Arial" w:cs="Arial"/>
          <w:i/>
          <w:iCs/>
          <w:noProof/>
          <w:szCs w:val="24"/>
        </w:rPr>
        <w:t>Jurnal Ilmiah Ekonomi Islam</w:t>
      </w:r>
      <w:r w:rsidRPr="00517B3F">
        <w:rPr>
          <w:rFonts w:ascii="Arial" w:hAnsi="Arial" w:cs="Arial"/>
          <w:noProof/>
          <w:szCs w:val="24"/>
        </w:rPr>
        <w:t xml:space="preserve">, </w:t>
      </w:r>
      <w:r w:rsidRPr="00517B3F">
        <w:rPr>
          <w:rFonts w:ascii="Arial" w:hAnsi="Arial" w:cs="Arial"/>
          <w:i/>
          <w:iCs/>
          <w:noProof/>
          <w:szCs w:val="24"/>
        </w:rPr>
        <w:t>8</w:t>
      </w:r>
      <w:r w:rsidRPr="00517B3F">
        <w:rPr>
          <w:rFonts w:ascii="Arial" w:hAnsi="Arial" w:cs="Arial"/>
          <w:noProof/>
          <w:szCs w:val="24"/>
        </w:rPr>
        <w:t>(02).</w:t>
      </w:r>
    </w:p>
    <w:p w14:paraId="512A3E2B" w14:textId="306D5F62"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Marthauli, M., Mirati, E., &amp; Vidyasari, R. (2021). </w:t>
      </w:r>
      <w:r w:rsidR="00B17B40" w:rsidRPr="00517B3F">
        <w:rPr>
          <w:rFonts w:ascii="Arial" w:hAnsi="Arial" w:cs="Arial"/>
          <w:noProof/>
          <w:szCs w:val="24"/>
        </w:rPr>
        <w:t>Pengaruh Ketersediaan Fitur Layanan Dan Kualitas Pelayanan Terhadap Minat Nasabah Dalam Menggunakan Bca Mobile Di Wilayah Jabodetabek.</w:t>
      </w:r>
      <w:r w:rsidRPr="00517B3F">
        <w:rPr>
          <w:rFonts w:ascii="Arial" w:hAnsi="Arial" w:cs="Arial"/>
          <w:noProof/>
          <w:szCs w:val="24"/>
        </w:rPr>
        <w:t xml:space="preserve"> </w:t>
      </w:r>
      <w:r w:rsidRPr="00517B3F">
        <w:rPr>
          <w:rFonts w:ascii="Arial" w:hAnsi="Arial" w:cs="Arial"/>
          <w:i/>
          <w:iCs/>
          <w:noProof/>
          <w:szCs w:val="24"/>
        </w:rPr>
        <w:t>account</w:t>
      </w:r>
      <w:r w:rsidRPr="00517B3F">
        <w:rPr>
          <w:rFonts w:ascii="Arial" w:hAnsi="Arial" w:cs="Arial"/>
          <w:noProof/>
          <w:szCs w:val="24"/>
        </w:rPr>
        <w:t xml:space="preserve">, </w:t>
      </w:r>
      <w:r w:rsidRPr="00517B3F">
        <w:rPr>
          <w:rFonts w:ascii="Arial" w:hAnsi="Arial" w:cs="Arial"/>
          <w:i/>
          <w:iCs/>
          <w:noProof/>
          <w:szCs w:val="24"/>
        </w:rPr>
        <w:t>8</w:t>
      </w:r>
      <w:r w:rsidRPr="00517B3F">
        <w:rPr>
          <w:rFonts w:ascii="Arial" w:hAnsi="Arial" w:cs="Arial"/>
          <w:noProof/>
          <w:szCs w:val="24"/>
        </w:rPr>
        <w:t>(1). https://doi.org/10.32722/acc.v8i1.3879</w:t>
      </w:r>
    </w:p>
    <w:p w14:paraId="5C9FCB77" w14:textId="65DB1798"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Maulidini Adha, S. D. S. H. R. S. H. (2024). Analisis Faktor –Faktor yang Mempengaruhi Minat Penggunaan Mobile  Banking pada Mahasiswa Manajemen Universitas Andalas Kampus  Payakumbuh. </w:t>
      </w:r>
      <w:r w:rsidR="00B17B40" w:rsidRPr="00517B3F">
        <w:rPr>
          <w:rFonts w:ascii="Arial" w:hAnsi="Arial" w:cs="Arial"/>
          <w:i/>
          <w:iCs/>
          <w:noProof/>
          <w:szCs w:val="24"/>
        </w:rPr>
        <w:t>Jurnal Ilmiah Manajemen, Ekonomi Bisnis, Kewirausahaan</w:t>
      </w:r>
      <w:r w:rsidRPr="00517B3F">
        <w:rPr>
          <w:rFonts w:ascii="Arial" w:hAnsi="Arial" w:cs="Arial"/>
          <w:noProof/>
          <w:szCs w:val="24"/>
        </w:rPr>
        <w:t xml:space="preserve">, </w:t>
      </w:r>
      <w:r w:rsidRPr="00517B3F">
        <w:rPr>
          <w:rFonts w:ascii="Arial" w:hAnsi="Arial" w:cs="Arial"/>
          <w:i/>
          <w:iCs/>
          <w:noProof/>
          <w:szCs w:val="24"/>
        </w:rPr>
        <w:t>Vol 11 No. 2</w:t>
      </w:r>
      <w:r w:rsidRPr="00517B3F">
        <w:rPr>
          <w:rFonts w:ascii="Arial" w:hAnsi="Arial" w:cs="Arial"/>
          <w:noProof/>
          <w:szCs w:val="24"/>
        </w:rPr>
        <w:t>, 1112–1117.</w:t>
      </w:r>
    </w:p>
    <w:p w14:paraId="794D77E2"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Muthi’ah, F., &amp; Indrarini, R. (2023). Pengaruh Literasi, Kegunaan, dan Kemudahan Terhadap Minat Masyarakat Menggunakan Dompet Digital Syariah. </w:t>
      </w:r>
      <w:r w:rsidRPr="00517B3F">
        <w:rPr>
          <w:rFonts w:ascii="Arial" w:hAnsi="Arial" w:cs="Arial"/>
          <w:i/>
          <w:iCs/>
          <w:noProof/>
          <w:szCs w:val="24"/>
        </w:rPr>
        <w:t>Jurnal Ekonomi dan Bisnis Islam</w:t>
      </w:r>
      <w:r w:rsidRPr="00517B3F">
        <w:rPr>
          <w:rFonts w:ascii="Arial" w:hAnsi="Arial" w:cs="Arial"/>
          <w:noProof/>
          <w:szCs w:val="24"/>
        </w:rPr>
        <w:t xml:space="preserve">, </w:t>
      </w:r>
      <w:r w:rsidRPr="00517B3F">
        <w:rPr>
          <w:rFonts w:ascii="Arial" w:hAnsi="Arial" w:cs="Arial"/>
          <w:i/>
          <w:iCs/>
          <w:noProof/>
          <w:szCs w:val="24"/>
        </w:rPr>
        <w:t>7</w:t>
      </w:r>
      <w:r w:rsidRPr="00517B3F">
        <w:rPr>
          <w:rFonts w:ascii="Arial" w:hAnsi="Arial" w:cs="Arial"/>
          <w:noProof/>
          <w:szCs w:val="24"/>
        </w:rPr>
        <w:t>(1).</w:t>
      </w:r>
    </w:p>
    <w:p w14:paraId="2BFD0945"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Nursiah, N., Ferils, M., &amp; Kamarudin, J. (2022). Analisis minat menggunakan mobile banking. </w:t>
      </w:r>
      <w:r w:rsidRPr="00517B3F">
        <w:rPr>
          <w:rFonts w:ascii="Arial" w:hAnsi="Arial" w:cs="Arial"/>
          <w:i/>
          <w:iCs/>
          <w:noProof/>
          <w:szCs w:val="24"/>
        </w:rPr>
        <w:t>AKUNTABEL</w:t>
      </w:r>
      <w:r w:rsidRPr="00517B3F">
        <w:rPr>
          <w:rFonts w:ascii="Arial" w:hAnsi="Arial" w:cs="Arial"/>
          <w:noProof/>
          <w:szCs w:val="24"/>
        </w:rPr>
        <w:t xml:space="preserve">, </w:t>
      </w:r>
      <w:r w:rsidRPr="00517B3F">
        <w:rPr>
          <w:rFonts w:ascii="Arial" w:hAnsi="Arial" w:cs="Arial"/>
          <w:i/>
          <w:iCs/>
          <w:noProof/>
          <w:szCs w:val="24"/>
        </w:rPr>
        <w:t>19</w:t>
      </w:r>
      <w:r w:rsidRPr="00517B3F">
        <w:rPr>
          <w:rFonts w:ascii="Arial" w:hAnsi="Arial" w:cs="Arial"/>
          <w:noProof/>
          <w:szCs w:val="24"/>
        </w:rPr>
        <w:t>(1). https://doi.org/10.30872/jakt.v19i1.10711</w:t>
      </w:r>
    </w:p>
    <w:p w14:paraId="255972C3"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Otoritas Jasa Keuangan (OJK). (2022a, </w:t>
      </w:r>
      <w:r w:rsidRPr="00517B3F">
        <w:rPr>
          <w:rFonts w:ascii="Arial" w:hAnsi="Arial" w:cs="Arial"/>
          <w:noProof/>
          <w:szCs w:val="24"/>
        </w:rPr>
        <w:lastRenderedPageBreak/>
        <w:t xml:space="preserve">September 22). </w:t>
      </w:r>
      <w:r w:rsidRPr="00517B3F">
        <w:rPr>
          <w:rFonts w:ascii="Arial" w:hAnsi="Arial" w:cs="Arial"/>
          <w:i/>
          <w:iCs/>
          <w:noProof/>
          <w:szCs w:val="24"/>
        </w:rPr>
        <w:t>Siaran Pers Survei Nasional Literasi Dan Inklusi Keuangan Tahun 2022</w:t>
      </w:r>
      <w:r w:rsidRPr="00517B3F">
        <w:rPr>
          <w:rFonts w:ascii="Arial" w:hAnsi="Arial" w:cs="Arial"/>
          <w:noProof/>
          <w:szCs w:val="24"/>
        </w:rPr>
        <w:t>. https://ojk.go.id/id/berita-dan-kegiatan/siaran-pers/Pages/Survei-Nasional-Literasi-dan-Inklusi-Keuangan-Tahun-2022.aspx</w:t>
      </w:r>
    </w:p>
    <w:p w14:paraId="73945C62"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Otoritas Jasa Keuangan (OJK). (2022b, November 21). </w:t>
      </w:r>
      <w:r w:rsidRPr="00517B3F">
        <w:rPr>
          <w:rFonts w:ascii="Arial" w:hAnsi="Arial" w:cs="Arial"/>
          <w:i/>
          <w:iCs/>
          <w:noProof/>
          <w:szCs w:val="24"/>
        </w:rPr>
        <w:t>Pentingnya Literasi Dan Inklusi Keuangan Bagi Kita Semua!‟, Sikapiuangmu</w:t>
      </w:r>
      <w:r w:rsidRPr="00517B3F">
        <w:rPr>
          <w:rFonts w:ascii="Arial" w:hAnsi="Arial" w:cs="Arial"/>
          <w:noProof/>
          <w:szCs w:val="24"/>
        </w:rPr>
        <w:t>. https://sikapiuangmu.ojk.go.id/FrontEnd/CMS/Article/40780</w:t>
      </w:r>
    </w:p>
    <w:p w14:paraId="1DA908A0" w14:textId="65B90A2C"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Purwati, A. A., Libara, F., &amp; Hamzah, M. L. (2020). </w:t>
      </w:r>
      <w:r w:rsidR="00B17B40" w:rsidRPr="00517B3F">
        <w:rPr>
          <w:rFonts w:ascii="Arial" w:hAnsi="Arial" w:cs="Arial"/>
          <w:noProof/>
          <w:szCs w:val="24"/>
        </w:rPr>
        <w:t>An Analysis Of Customer Intention In Using Internet Banking</w:t>
      </w:r>
      <w:r w:rsidRPr="00517B3F">
        <w:rPr>
          <w:rFonts w:ascii="Arial" w:hAnsi="Arial" w:cs="Arial"/>
          <w:noProof/>
          <w:szCs w:val="24"/>
        </w:rPr>
        <w:t xml:space="preserve">. </w:t>
      </w:r>
      <w:r w:rsidRPr="00517B3F">
        <w:rPr>
          <w:rFonts w:ascii="Arial" w:hAnsi="Arial" w:cs="Arial"/>
          <w:i/>
          <w:iCs/>
          <w:noProof/>
          <w:szCs w:val="24"/>
        </w:rPr>
        <w:t>International Journal of Economics Development Research (IJEDR)</w:t>
      </w:r>
      <w:r w:rsidRPr="00517B3F">
        <w:rPr>
          <w:rFonts w:ascii="Arial" w:hAnsi="Arial" w:cs="Arial"/>
          <w:noProof/>
          <w:szCs w:val="24"/>
        </w:rPr>
        <w:t xml:space="preserve">, </w:t>
      </w:r>
      <w:r w:rsidRPr="00517B3F">
        <w:rPr>
          <w:rFonts w:ascii="Arial" w:hAnsi="Arial" w:cs="Arial"/>
          <w:i/>
          <w:iCs/>
          <w:noProof/>
          <w:szCs w:val="24"/>
        </w:rPr>
        <w:t>1</w:t>
      </w:r>
      <w:r w:rsidRPr="00517B3F">
        <w:rPr>
          <w:rFonts w:ascii="Arial" w:hAnsi="Arial" w:cs="Arial"/>
          <w:noProof/>
          <w:szCs w:val="24"/>
        </w:rPr>
        <w:t>(2). https://doi.org/10.37385/ijedr.v1i2.70</w:t>
      </w:r>
    </w:p>
    <w:p w14:paraId="78BCA0B0" w14:textId="1C1A9F30"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REZZA RESITA HIMAWATI. (2018). </w:t>
      </w:r>
      <w:r w:rsidR="00B17B40" w:rsidRPr="00517B3F">
        <w:rPr>
          <w:rFonts w:ascii="Arial" w:hAnsi="Arial" w:cs="Arial"/>
          <w:i/>
          <w:iCs/>
          <w:noProof/>
          <w:szCs w:val="24"/>
        </w:rPr>
        <w:t>Pengaruh Persepsi Manfaat Dan Persepsi Kemudahan Terhadap Minat Menggunakan Mobile Banking Dengan Sikap Sebagai Variabel Intervening</w:t>
      </w:r>
      <w:r w:rsidR="00B17B40" w:rsidRPr="00517B3F">
        <w:rPr>
          <w:rFonts w:ascii="Arial" w:hAnsi="Arial" w:cs="Arial"/>
          <w:noProof/>
          <w:szCs w:val="24"/>
        </w:rPr>
        <w:t>.</w:t>
      </w:r>
      <w:r w:rsidRPr="00517B3F">
        <w:rPr>
          <w:rFonts w:ascii="Arial" w:hAnsi="Arial" w:cs="Arial"/>
          <w:noProof/>
          <w:szCs w:val="24"/>
        </w:rPr>
        <w:t xml:space="preserve"> http://e-repository.perpus.uinsalatiga.ac.id/id/eprint/5089</w:t>
      </w:r>
    </w:p>
    <w:p w14:paraId="776D7379"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 xml:space="preserve">Sahdan, R., &amp; Sardju, F. (2023). Financial Inclusion, Financial Literacy, And Financial Technology Impact On The Sustainability Of Micro, Small, And Medium Enterprises: A Study In The SMES Of Tidore Islands, Indonesia. </w:t>
      </w:r>
      <w:r w:rsidRPr="00517B3F">
        <w:rPr>
          <w:rFonts w:ascii="Arial" w:hAnsi="Arial" w:cs="Arial"/>
          <w:i/>
          <w:iCs/>
          <w:noProof/>
          <w:szCs w:val="24"/>
        </w:rPr>
        <w:t>International Journal of Economics Development Research</w:t>
      </w:r>
      <w:r w:rsidRPr="00517B3F">
        <w:rPr>
          <w:rFonts w:ascii="Arial" w:hAnsi="Arial" w:cs="Arial"/>
          <w:noProof/>
          <w:szCs w:val="24"/>
        </w:rPr>
        <w:t xml:space="preserve">, </w:t>
      </w:r>
      <w:r w:rsidRPr="00517B3F">
        <w:rPr>
          <w:rFonts w:ascii="Arial" w:hAnsi="Arial" w:cs="Arial"/>
          <w:i/>
          <w:iCs/>
          <w:noProof/>
          <w:szCs w:val="24"/>
        </w:rPr>
        <w:t>4(3)</w:t>
      </w:r>
      <w:r w:rsidRPr="00517B3F">
        <w:rPr>
          <w:rFonts w:ascii="Arial" w:hAnsi="Arial" w:cs="Arial"/>
          <w:noProof/>
          <w:szCs w:val="24"/>
        </w:rPr>
        <w:t>, 1814–1825.</w:t>
      </w:r>
    </w:p>
    <w:p w14:paraId="3CF3EC9B" w14:textId="1A274B19"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szCs w:val="24"/>
        </w:rPr>
      </w:pPr>
      <w:r w:rsidRPr="00517B3F">
        <w:rPr>
          <w:rFonts w:ascii="Arial" w:hAnsi="Arial" w:cs="Arial"/>
          <w:noProof/>
          <w:szCs w:val="24"/>
        </w:rPr>
        <w:t>Sari, D. M., Fasa, M. I., &amp; Suharto, S. (2021).</w:t>
      </w:r>
      <w:r w:rsidR="00B17B40" w:rsidRPr="00517B3F">
        <w:rPr>
          <w:rFonts w:ascii="Arial" w:hAnsi="Arial" w:cs="Arial"/>
          <w:noProof/>
          <w:szCs w:val="24"/>
        </w:rPr>
        <w:t xml:space="preserve"> Manfaat Dan Risiko Penggunaan Layanan Perbankan Melalui Aplikasi Mobile Banking</w:t>
      </w:r>
      <w:r w:rsidRPr="00517B3F">
        <w:rPr>
          <w:rFonts w:ascii="Arial" w:hAnsi="Arial" w:cs="Arial"/>
          <w:noProof/>
          <w:szCs w:val="24"/>
        </w:rPr>
        <w:t xml:space="preserve">. </w:t>
      </w:r>
      <w:r w:rsidRPr="00517B3F">
        <w:rPr>
          <w:rFonts w:ascii="Arial" w:hAnsi="Arial" w:cs="Arial"/>
          <w:i/>
          <w:iCs/>
          <w:noProof/>
          <w:szCs w:val="24"/>
        </w:rPr>
        <w:t>Al-Infaq: Jurnal Ekonomi Islam</w:t>
      </w:r>
      <w:r w:rsidRPr="00517B3F">
        <w:rPr>
          <w:rFonts w:ascii="Arial" w:hAnsi="Arial" w:cs="Arial"/>
          <w:noProof/>
          <w:szCs w:val="24"/>
        </w:rPr>
        <w:t xml:space="preserve">, </w:t>
      </w:r>
      <w:r w:rsidRPr="00517B3F">
        <w:rPr>
          <w:rFonts w:ascii="Arial" w:hAnsi="Arial" w:cs="Arial"/>
          <w:i/>
          <w:iCs/>
          <w:noProof/>
          <w:szCs w:val="24"/>
        </w:rPr>
        <w:t>12</w:t>
      </w:r>
      <w:r w:rsidRPr="00517B3F">
        <w:rPr>
          <w:rFonts w:ascii="Arial" w:hAnsi="Arial" w:cs="Arial"/>
          <w:noProof/>
          <w:szCs w:val="24"/>
        </w:rPr>
        <w:t>(2). https://doi.org/10.32507/ajei.v12i2.892</w:t>
      </w:r>
    </w:p>
    <w:p w14:paraId="74C8D5B0" w14:textId="77777777" w:rsidR="00517B3F" w:rsidRPr="00517B3F" w:rsidRDefault="00517B3F" w:rsidP="00B17B40">
      <w:pPr>
        <w:widowControl w:val="0"/>
        <w:autoSpaceDE w:val="0"/>
        <w:autoSpaceDN w:val="0"/>
        <w:adjustRightInd w:val="0"/>
        <w:spacing w:after="0" w:line="240" w:lineRule="auto"/>
        <w:ind w:left="480" w:hanging="480"/>
        <w:jc w:val="both"/>
        <w:rPr>
          <w:rFonts w:ascii="Arial" w:hAnsi="Arial" w:cs="Arial"/>
          <w:noProof/>
        </w:rPr>
      </w:pPr>
      <w:r w:rsidRPr="00517B3F">
        <w:rPr>
          <w:rFonts w:ascii="Arial" w:hAnsi="Arial" w:cs="Arial"/>
          <w:noProof/>
          <w:szCs w:val="24"/>
        </w:rPr>
        <w:t xml:space="preserve">Sugiyono. (2018). Prof. Dr. Sugiyono. 2018. Metode Penelitian Kuantitatif, Kualitatif, dan R&amp;D. Bandung: Alfabeta. </w:t>
      </w:r>
      <w:r w:rsidRPr="00517B3F">
        <w:rPr>
          <w:rFonts w:ascii="Arial" w:hAnsi="Arial" w:cs="Arial"/>
          <w:i/>
          <w:iCs/>
          <w:noProof/>
          <w:szCs w:val="24"/>
        </w:rPr>
        <w:t>Prof. Dr. Sugiyono. 2018. Metode Penelitian Kuantitatif, Kualitatif, dan R&amp;D. Bandung: Alfabeta.</w:t>
      </w:r>
    </w:p>
    <w:p w14:paraId="0822C60B" w14:textId="5E83C5F2" w:rsidR="000A0F61" w:rsidRPr="0047203B" w:rsidRDefault="000A0F61" w:rsidP="00B17B40">
      <w:pPr>
        <w:widowControl w:val="0"/>
        <w:autoSpaceDE w:val="0"/>
        <w:autoSpaceDN w:val="0"/>
        <w:adjustRightInd w:val="0"/>
        <w:spacing w:after="0" w:line="240" w:lineRule="auto"/>
        <w:ind w:left="480" w:hanging="480"/>
        <w:jc w:val="both"/>
        <w:rPr>
          <w:rFonts w:ascii="Arial" w:hAnsi="Arial" w:cs="Arial"/>
          <w:b/>
          <w:color w:val="000000" w:themeColor="text1"/>
        </w:rPr>
      </w:pPr>
      <w:r>
        <w:rPr>
          <w:rFonts w:ascii="Arial" w:hAnsi="Arial" w:cs="Arial"/>
          <w:b/>
          <w:color w:val="000000" w:themeColor="text1"/>
        </w:rPr>
        <w:fldChar w:fldCharType="end"/>
      </w:r>
    </w:p>
    <w:sectPr w:rsidR="000A0F61" w:rsidRPr="0047203B" w:rsidSect="00685DB1">
      <w:type w:val="continuous"/>
      <w:pgSz w:w="11906" w:h="16838"/>
      <w:pgMar w:top="1440" w:right="1440" w:bottom="1440" w:left="1440" w:header="397" w:footer="708"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47522" w14:textId="77777777" w:rsidR="00231243" w:rsidRDefault="00231243">
      <w:pPr>
        <w:spacing w:after="0" w:line="240" w:lineRule="auto"/>
      </w:pPr>
      <w:r>
        <w:separator/>
      </w:r>
    </w:p>
  </w:endnote>
  <w:endnote w:type="continuationSeparator" w:id="0">
    <w:p w14:paraId="2C5DA7E2" w14:textId="77777777" w:rsidR="00231243" w:rsidRDefault="00231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9D32C591-D911-4F79-B07F-11AB8659DE2B}"/>
  </w:font>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BD4FBE6-B6C0-4368-9323-440203B55FB7}"/>
    <w:embedBold r:id="rId3" w:fontKey="{6DEF3A84-E7A4-4B39-9C6E-0D26A2E1B8BC}"/>
    <w:embedItalic r:id="rId4" w:fontKey="{97012DE7-CDCB-411B-8F9A-CCAD7FF0BF00}"/>
    <w:embedBoldItalic r:id="rId5" w:fontKey="{9154B663-9A53-444B-B72C-467CD6C8D2CC}"/>
  </w:font>
  <w:font w:name="Georgia">
    <w:panose1 w:val="02040502050405020303"/>
    <w:charset w:val="00"/>
    <w:family w:val="roman"/>
    <w:pitch w:val="variable"/>
    <w:sig w:usb0="00000287" w:usb1="00000000" w:usb2="00000000" w:usb3="00000000" w:csb0="0000009F" w:csb1="00000000"/>
    <w:embedRegular r:id="rId6" w:fontKey="{B1C2D272-3620-452E-A9A4-91C8DC3EA1AC}"/>
    <w:embedItalic r:id="rId7" w:fontKey="{C67BA7AB-02EB-4C21-85F2-399938AAE318}"/>
  </w:font>
  <w:font w:name="Tahoma">
    <w:panose1 w:val="020B0604030504040204"/>
    <w:charset w:val="00"/>
    <w:family w:val="swiss"/>
    <w:pitch w:val="variable"/>
    <w:sig w:usb0="E1002EFF" w:usb1="C000605B" w:usb2="00000029" w:usb3="00000000" w:csb0="000101FF" w:csb1="00000000"/>
    <w:embedRegular r:id="rId8" w:fontKey="{F23118B1-E3B4-4BC0-B79D-0630DE28CB34}"/>
  </w:font>
  <w:font w:name="Consolas">
    <w:panose1 w:val="020B0609020204030204"/>
    <w:charset w:val="00"/>
    <w:family w:val="modern"/>
    <w:pitch w:val="fixed"/>
    <w:sig w:usb0="E00006FF" w:usb1="0000FCFF" w:usb2="00000001" w:usb3="00000000" w:csb0="0000019F" w:csb1="00000000"/>
    <w:embedRegular r:id="rId9" w:fontKey="{AAB9BE71-4DE3-463A-90C8-F36BFC7CB317}"/>
  </w:font>
  <w:font w:name="Corbel">
    <w:panose1 w:val="020B0503020204020204"/>
    <w:charset w:val="00"/>
    <w:family w:val="swiss"/>
    <w:pitch w:val="variable"/>
    <w:sig w:usb0="A00002EF" w:usb1="4000A44B" w:usb2="00000000" w:usb3="00000000" w:csb0="0000019F" w:csb1="00000000"/>
    <w:embedRegular r:id="rId10" w:fontKey="{91E85904-83F3-4B1F-9F76-3DB8B9E7E120}"/>
    <w:embedBold r:id="rId11" w:fontKey="{B08D7756-5502-48DF-9DF5-19AF43403242}"/>
    <w:embedItalic r:id="rId12" w:fontKey="{4D302073-E126-4DA7-A49B-3E0419BA7DB7}"/>
    <w:embedBoldItalic r:id="rId13" w:fontKey="{578FDBE0-A83F-4BA5-8DBA-A553F6BBFE01}"/>
  </w:font>
  <w:font w:name="EB Garamond">
    <w:charset w:val="00"/>
    <w:family w:val="auto"/>
    <w:pitch w:val="variable"/>
    <w:sig w:usb0="E00002FF" w:usb1="02000413" w:usb2="00000000" w:usb3="00000000" w:csb0="0000019F" w:csb1="00000000"/>
    <w:embedRegular r:id="rId14" w:fontKey="{8E07FDB7-6B5E-4287-983D-ACA7AFA79159}"/>
    <w:embedBold r:id="rId15" w:fontKey="{A25C5DCC-DE1E-476C-AA6A-E749990C3136}"/>
    <w:embedItalic r:id="rId16" w:fontKey="{B41C2590-EFA5-4DCF-8CCF-D486E916541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17" w:fontKey="{83423D28-62B0-4D87-BF13-71C34E49E60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F80E1" w14:textId="77777777" w:rsidR="00231243" w:rsidRDefault="00231243">
      <w:pPr>
        <w:spacing w:after="0" w:line="240" w:lineRule="auto"/>
      </w:pPr>
      <w:r>
        <w:separator/>
      </w:r>
    </w:p>
  </w:footnote>
  <w:footnote w:type="continuationSeparator" w:id="0">
    <w:p w14:paraId="10594130" w14:textId="77777777" w:rsidR="00231243" w:rsidRDefault="00231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BD8"/>
    <w:multiLevelType w:val="hybridMultilevel"/>
    <w:tmpl w:val="17DEE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C4340"/>
    <w:multiLevelType w:val="hybridMultilevel"/>
    <w:tmpl w:val="770E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B03FA"/>
    <w:multiLevelType w:val="multilevel"/>
    <w:tmpl w:val="FFFFFFFF"/>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3">
    <w:nsid w:val="10751909"/>
    <w:multiLevelType w:val="hybridMultilevel"/>
    <w:tmpl w:val="45262050"/>
    <w:lvl w:ilvl="0" w:tplc="FFFFFFF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14F10894"/>
    <w:multiLevelType w:val="hybridMultilevel"/>
    <w:tmpl w:val="DD8A79B2"/>
    <w:lvl w:ilvl="0" w:tplc="FFFFFFFF">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
    <w:nsid w:val="15E52DE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FC77CC"/>
    <w:multiLevelType w:val="hybridMultilevel"/>
    <w:tmpl w:val="28943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01ED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EE4E5B"/>
    <w:multiLevelType w:val="hybridMultilevel"/>
    <w:tmpl w:val="1892D844"/>
    <w:lvl w:ilvl="0" w:tplc="FFFFFFF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1D0D264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E9023C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4D3602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7132DF5"/>
    <w:multiLevelType w:val="hybridMultilevel"/>
    <w:tmpl w:val="E8D00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986FC6"/>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2C9F08DF"/>
    <w:multiLevelType w:val="multilevel"/>
    <w:tmpl w:val="FFFFFFFF"/>
    <w:lvl w:ilvl="0">
      <w:start w:val="1"/>
      <w:numFmt w:val="decimal"/>
      <w:lvlText w:val="%1."/>
      <w:lvlJc w:val="left"/>
      <w:pPr>
        <w:ind w:left="2770" w:hanging="360"/>
      </w:pPr>
      <w:rPr>
        <w:rFonts w:ascii="Calibri" w:eastAsia="Calibri" w:hAnsi="Calibri" w:cs="Calibri"/>
        <w:b/>
        <w:color w:val="CA4266"/>
        <w:sz w:val="22"/>
        <w:szCs w:val="22"/>
      </w:rPr>
    </w:lvl>
    <w:lvl w:ilvl="1">
      <w:start w:val="1"/>
      <w:numFmt w:val="decimal"/>
      <w:lvlText w:val="%1.%2."/>
      <w:lvlJc w:val="left"/>
      <w:pPr>
        <w:ind w:left="2770" w:hanging="360"/>
      </w:pPr>
      <w:rPr>
        <w:rFonts w:ascii="Calibri" w:eastAsia="Calibri" w:hAnsi="Calibri" w:cs="Calibri"/>
        <w:i/>
        <w:color w:val="CA4266"/>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15">
    <w:nsid w:val="2E1B6F7D"/>
    <w:multiLevelType w:val="hybridMultilevel"/>
    <w:tmpl w:val="48181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B1153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38C1762"/>
    <w:multiLevelType w:val="hybridMultilevel"/>
    <w:tmpl w:val="A32ECF44"/>
    <w:lvl w:ilvl="0" w:tplc="0409000F">
      <w:start w:val="1"/>
      <w:numFmt w:val="decimal"/>
      <w:lvlText w:val="%1."/>
      <w:lvlJc w:val="left"/>
      <w:pPr>
        <w:ind w:left="720" w:hanging="360"/>
      </w:pPr>
    </w:lvl>
    <w:lvl w:ilvl="1" w:tplc="F9F018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493270"/>
    <w:multiLevelType w:val="hybridMultilevel"/>
    <w:tmpl w:val="84F2B6EC"/>
    <w:lvl w:ilvl="0" w:tplc="0421000F">
      <w:start w:val="1"/>
      <w:numFmt w:val="decimal"/>
      <w:lvlText w:val="%1."/>
      <w:lvlJc w:val="left"/>
      <w:pPr>
        <w:ind w:left="1636" w:hanging="360"/>
      </w:pPr>
    </w:lvl>
    <w:lvl w:ilvl="1" w:tplc="04210019">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9">
    <w:nsid w:val="4B8A39DA"/>
    <w:multiLevelType w:val="multilevel"/>
    <w:tmpl w:val="FFFFFFFF"/>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0">
    <w:nsid w:val="4DC7083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5E32C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03377A9"/>
    <w:multiLevelType w:val="multilevel"/>
    <w:tmpl w:val="FFFFFFFF"/>
    <w:lvl w:ilvl="0">
      <w:start w:val="1"/>
      <w:numFmt w:val="decimal"/>
      <w:lvlText w:val="%1."/>
      <w:lvlJc w:val="left"/>
      <w:pPr>
        <w:ind w:left="1800" w:hanging="360"/>
      </w:pPr>
      <w:rPr>
        <w:rFonts w:ascii="Calibri" w:eastAsia="Calibri" w:hAnsi="Calibri" w:cs="Calibri"/>
        <w:b/>
        <w:color w:val="CA4266"/>
        <w:sz w:val="22"/>
        <w:szCs w:val="22"/>
      </w:rPr>
    </w:lvl>
    <w:lvl w:ilvl="1">
      <w:start w:val="1"/>
      <w:numFmt w:val="decimal"/>
      <w:lvlText w:val="%1.%2."/>
      <w:lvlJc w:val="left"/>
      <w:pPr>
        <w:ind w:left="1800" w:hanging="360"/>
      </w:pPr>
      <w:rPr>
        <w:rFonts w:ascii="Calibri" w:eastAsia="Calibri" w:hAnsi="Calibri" w:cs="Calibri"/>
        <w:i/>
        <w:color w:val="CA4266"/>
      </w:rPr>
    </w:lvl>
    <w:lvl w:ilvl="2">
      <w:start w:val="1"/>
      <w:numFmt w:val="decimal"/>
      <w:lvlText w:val="%1.%2.%3."/>
      <w:lvlJc w:val="left"/>
      <w:pPr>
        <w:ind w:left="2160" w:hanging="720"/>
      </w:pPr>
    </w:lvl>
    <w:lvl w:ilvl="3">
      <w:start w:val="1"/>
      <w:numFmt w:val="decimal"/>
      <w:lvlText w:val="%1.%2.%3.%4."/>
      <w:lvlJc w:val="left"/>
      <w:pPr>
        <w:ind w:left="2160" w:hanging="720"/>
      </w:pPr>
    </w:lvl>
    <w:lvl w:ilvl="4">
      <w:start w:val="1"/>
      <w:numFmt w:val="decimal"/>
      <w:lvlText w:val="%1.%2.%3.%4.%5."/>
      <w:lvlJc w:val="left"/>
      <w:pPr>
        <w:ind w:left="2520" w:hanging="1080"/>
      </w:pPr>
    </w:lvl>
    <w:lvl w:ilvl="5">
      <w:start w:val="1"/>
      <w:numFmt w:val="decimal"/>
      <w:lvlText w:val="%1.%2.%3.%4.%5.%6."/>
      <w:lvlJc w:val="left"/>
      <w:pPr>
        <w:ind w:left="2520" w:hanging="1080"/>
      </w:pPr>
    </w:lvl>
    <w:lvl w:ilvl="6">
      <w:start w:val="1"/>
      <w:numFmt w:val="decimal"/>
      <w:lvlText w:val="%1.%2.%3.%4.%5.%6.%7."/>
      <w:lvlJc w:val="left"/>
      <w:pPr>
        <w:ind w:left="2520" w:hanging="1080"/>
      </w:pPr>
    </w:lvl>
    <w:lvl w:ilvl="7">
      <w:start w:val="1"/>
      <w:numFmt w:val="decimal"/>
      <w:lvlText w:val="%1.%2.%3.%4.%5.%6.%7.%8."/>
      <w:lvlJc w:val="left"/>
      <w:pPr>
        <w:ind w:left="2880" w:hanging="1440"/>
      </w:pPr>
    </w:lvl>
    <w:lvl w:ilvl="8">
      <w:start w:val="1"/>
      <w:numFmt w:val="decimal"/>
      <w:lvlText w:val="%1.%2.%3.%4.%5.%6.%7.%8.%9."/>
      <w:lvlJc w:val="left"/>
      <w:pPr>
        <w:ind w:left="2880" w:hanging="1440"/>
      </w:pPr>
    </w:lvl>
  </w:abstractNum>
  <w:abstractNum w:abstractNumId="23">
    <w:nsid w:val="55B84BF9"/>
    <w:multiLevelType w:val="hybridMultilevel"/>
    <w:tmpl w:val="D9C02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0A44EB"/>
    <w:multiLevelType w:val="multilevel"/>
    <w:tmpl w:val="FFFFFFFF"/>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25">
    <w:nsid w:val="5A577E83"/>
    <w:multiLevelType w:val="hybridMultilevel"/>
    <w:tmpl w:val="C414AE6E"/>
    <w:lvl w:ilvl="0" w:tplc="D91EE5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0B490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E900DB9"/>
    <w:multiLevelType w:val="multilevel"/>
    <w:tmpl w:val="FFFFFFFF"/>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28">
    <w:nsid w:val="5FB147B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1CF160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34D5AB6"/>
    <w:multiLevelType w:val="hybridMultilevel"/>
    <w:tmpl w:val="CBFE4D48"/>
    <w:lvl w:ilvl="0" w:tplc="04210011">
      <w:start w:val="1"/>
      <w:numFmt w:val="decimal"/>
      <w:lvlText w:val="%1)"/>
      <w:lvlJc w:val="left"/>
      <w:pPr>
        <w:ind w:left="1636" w:hanging="360"/>
      </w:pPr>
    </w:lvl>
    <w:lvl w:ilvl="1" w:tplc="FFFFFFFF">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31">
    <w:nsid w:val="719C387F"/>
    <w:multiLevelType w:val="hybridMultilevel"/>
    <w:tmpl w:val="DBEEF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474A06"/>
    <w:multiLevelType w:val="hybridMultilevel"/>
    <w:tmpl w:val="555C3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7642B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D97563C"/>
    <w:multiLevelType w:val="multilevel"/>
    <w:tmpl w:val="FFFFFFFF"/>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num w:numId="1">
    <w:abstractNumId w:val="13"/>
  </w:num>
  <w:num w:numId="2">
    <w:abstractNumId w:val="33"/>
  </w:num>
  <w:num w:numId="3">
    <w:abstractNumId w:val="16"/>
  </w:num>
  <w:num w:numId="4">
    <w:abstractNumId w:val="9"/>
  </w:num>
  <w:num w:numId="5">
    <w:abstractNumId w:val="19"/>
  </w:num>
  <w:num w:numId="6">
    <w:abstractNumId w:val="21"/>
  </w:num>
  <w:num w:numId="7">
    <w:abstractNumId w:val="26"/>
  </w:num>
  <w:num w:numId="8">
    <w:abstractNumId w:val="2"/>
  </w:num>
  <w:num w:numId="9">
    <w:abstractNumId w:val="27"/>
  </w:num>
  <w:num w:numId="10">
    <w:abstractNumId w:val="34"/>
  </w:num>
  <w:num w:numId="11">
    <w:abstractNumId w:val="28"/>
  </w:num>
  <w:num w:numId="12">
    <w:abstractNumId w:val="11"/>
  </w:num>
  <w:num w:numId="13">
    <w:abstractNumId w:val="14"/>
  </w:num>
  <w:num w:numId="14">
    <w:abstractNumId w:val="24"/>
  </w:num>
  <w:num w:numId="15">
    <w:abstractNumId w:val="10"/>
  </w:num>
  <w:num w:numId="16">
    <w:abstractNumId w:val="20"/>
  </w:num>
  <w:num w:numId="17">
    <w:abstractNumId w:val="7"/>
  </w:num>
  <w:num w:numId="18">
    <w:abstractNumId w:val="5"/>
  </w:num>
  <w:num w:numId="19">
    <w:abstractNumId w:val="29"/>
  </w:num>
  <w:num w:numId="20">
    <w:abstractNumId w:val="3"/>
  </w:num>
  <w:num w:numId="21">
    <w:abstractNumId w:val="8"/>
  </w:num>
  <w:num w:numId="22">
    <w:abstractNumId w:val="18"/>
  </w:num>
  <w:num w:numId="23">
    <w:abstractNumId w:val="4"/>
  </w:num>
  <w:num w:numId="24">
    <w:abstractNumId w:val="22"/>
  </w:num>
  <w:num w:numId="25">
    <w:abstractNumId w:val="30"/>
  </w:num>
  <w:num w:numId="26">
    <w:abstractNumId w:val="23"/>
  </w:num>
  <w:num w:numId="27">
    <w:abstractNumId w:val="6"/>
  </w:num>
  <w:num w:numId="28">
    <w:abstractNumId w:val="1"/>
  </w:num>
  <w:num w:numId="29">
    <w:abstractNumId w:val="32"/>
  </w:num>
  <w:num w:numId="30">
    <w:abstractNumId w:val="17"/>
  </w:num>
  <w:num w:numId="31">
    <w:abstractNumId w:val="0"/>
  </w:num>
  <w:num w:numId="32">
    <w:abstractNumId w:val="31"/>
  </w:num>
  <w:num w:numId="33">
    <w:abstractNumId w:val="15"/>
  </w:num>
  <w:num w:numId="34">
    <w:abstractNumId w:val="12"/>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8AE"/>
    <w:rsid w:val="00013B0E"/>
    <w:rsid w:val="00022EF9"/>
    <w:rsid w:val="00024F08"/>
    <w:rsid w:val="00030DDF"/>
    <w:rsid w:val="00033BE9"/>
    <w:rsid w:val="00043C92"/>
    <w:rsid w:val="00046854"/>
    <w:rsid w:val="0005430C"/>
    <w:rsid w:val="000571DD"/>
    <w:rsid w:val="00065A17"/>
    <w:rsid w:val="0006670E"/>
    <w:rsid w:val="00067FFB"/>
    <w:rsid w:val="000718AA"/>
    <w:rsid w:val="000812BB"/>
    <w:rsid w:val="0008149B"/>
    <w:rsid w:val="00081970"/>
    <w:rsid w:val="00081DBD"/>
    <w:rsid w:val="00093839"/>
    <w:rsid w:val="000942E1"/>
    <w:rsid w:val="000A0F61"/>
    <w:rsid w:val="000A3294"/>
    <w:rsid w:val="000A4CCF"/>
    <w:rsid w:val="000A4FA6"/>
    <w:rsid w:val="000B303C"/>
    <w:rsid w:val="000B4714"/>
    <w:rsid w:val="000C5713"/>
    <w:rsid w:val="000C6AEF"/>
    <w:rsid w:val="000D64E6"/>
    <w:rsid w:val="000D7A43"/>
    <w:rsid w:val="000E0D7F"/>
    <w:rsid w:val="000E158C"/>
    <w:rsid w:val="000E1900"/>
    <w:rsid w:val="000E3407"/>
    <w:rsid w:val="000E55BF"/>
    <w:rsid w:val="001003DB"/>
    <w:rsid w:val="00103CD7"/>
    <w:rsid w:val="00103EC0"/>
    <w:rsid w:val="00104B04"/>
    <w:rsid w:val="00106077"/>
    <w:rsid w:val="0010655E"/>
    <w:rsid w:val="00110F07"/>
    <w:rsid w:val="00111713"/>
    <w:rsid w:val="001226B7"/>
    <w:rsid w:val="001335E5"/>
    <w:rsid w:val="00140A87"/>
    <w:rsid w:val="00151D10"/>
    <w:rsid w:val="00152050"/>
    <w:rsid w:val="00154891"/>
    <w:rsid w:val="00157FFC"/>
    <w:rsid w:val="001612F5"/>
    <w:rsid w:val="00161B07"/>
    <w:rsid w:val="00167F6A"/>
    <w:rsid w:val="00171882"/>
    <w:rsid w:val="0017410D"/>
    <w:rsid w:val="00176408"/>
    <w:rsid w:val="001811A3"/>
    <w:rsid w:val="00184115"/>
    <w:rsid w:val="00185BB5"/>
    <w:rsid w:val="001950C5"/>
    <w:rsid w:val="0019639E"/>
    <w:rsid w:val="00197A00"/>
    <w:rsid w:val="001A046E"/>
    <w:rsid w:val="001A5A41"/>
    <w:rsid w:val="001B57EE"/>
    <w:rsid w:val="001C0CAB"/>
    <w:rsid w:val="001C0E73"/>
    <w:rsid w:val="001C25D7"/>
    <w:rsid w:val="001C694A"/>
    <w:rsid w:val="001C7B78"/>
    <w:rsid w:val="001D342B"/>
    <w:rsid w:val="001E24E4"/>
    <w:rsid w:val="001E3824"/>
    <w:rsid w:val="001F5587"/>
    <w:rsid w:val="002027A4"/>
    <w:rsid w:val="002034DC"/>
    <w:rsid w:val="00216085"/>
    <w:rsid w:val="00227BE1"/>
    <w:rsid w:val="002301E5"/>
    <w:rsid w:val="00231243"/>
    <w:rsid w:val="00232BA7"/>
    <w:rsid w:val="0023358A"/>
    <w:rsid w:val="002407FC"/>
    <w:rsid w:val="00245E11"/>
    <w:rsid w:val="00251841"/>
    <w:rsid w:val="00255D8C"/>
    <w:rsid w:val="00257278"/>
    <w:rsid w:val="00272209"/>
    <w:rsid w:val="002823FF"/>
    <w:rsid w:val="002953EE"/>
    <w:rsid w:val="002953F3"/>
    <w:rsid w:val="002A02D8"/>
    <w:rsid w:val="002B62B2"/>
    <w:rsid w:val="002B6A4E"/>
    <w:rsid w:val="002C3F8F"/>
    <w:rsid w:val="002C5B93"/>
    <w:rsid w:val="002E2B1F"/>
    <w:rsid w:val="002E6018"/>
    <w:rsid w:val="002F6995"/>
    <w:rsid w:val="00304C56"/>
    <w:rsid w:val="0030696B"/>
    <w:rsid w:val="0032179B"/>
    <w:rsid w:val="00322CE5"/>
    <w:rsid w:val="00331D81"/>
    <w:rsid w:val="0033626B"/>
    <w:rsid w:val="00341AE6"/>
    <w:rsid w:val="00342BED"/>
    <w:rsid w:val="003529B4"/>
    <w:rsid w:val="00355247"/>
    <w:rsid w:val="00362253"/>
    <w:rsid w:val="00366368"/>
    <w:rsid w:val="0036646B"/>
    <w:rsid w:val="0037610E"/>
    <w:rsid w:val="003763CF"/>
    <w:rsid w:val="0038244B"/>
    <w:rsid w:val="0038760D"/>
    <w:rsid w:val="00392D8B"/>
    <w:rsid w:val="00393F47"/>
    <w:rsid w:val="003A15CF"/>
    <w:rsid w:val="003A5576"/>
    <w:rsid w:val="003B3097"/>
    <w:rsid w:val="003B6A5E"/>
    <w:rsid w:val="003C019B"/>
    <w:rsid w:val="003C09EC"/>
    <w:rsid w:val="003C1E1F"/>
    <w:rsid w:val="003C3E55"/>
    <w:rsid w:val="003D7C26"/>
    <w:rsid w:val="00401E07"/>
    <w:rsid w:val="00401EF4"/>
    <w:rsid w:val="00403A43"/>
    <w:rsid w:val="00405A66"/>
    <w:rsid w:val="004064DF"/>
    <w:rsid w:val="004108E3"/>
    <w:rsid w:val="00420B63"/>
    <w:rsid w:val="00423C0B"/>
    <w:rsid w:val="004309B0"/>
    <w:rsid w:val="00430BF6"/>
    <w:rsid w:val="00430D49"/>
    <w:rsid w:val="00431404"/>
    <w:rsid w:val="00432EDA"/>
    <w:rsid w:val="0043390B"/>
    <w:rsid w:val="00437CDE"/>
    <w:rsid w:val="00440093"/>
    <w:rsid w:val="0044539C"/>
    <w:rsid w:val="00447701"/>
    <w:rsid w:val="004478C3"/>
    <w:rsid w:val="00451F0D"/>
    <w:rsid w:val="00464800"/>
    <w:rsid w:val="0047203B"/>
    <w:rsid w:val="00472EA5"/>
    <w:rsid w:val="00476D59"/>
    <w:rsid w:val="00482BD5"/>
    <w:rsid w:val="0048649E"/>
    <w:rsid w:val="00487213"/>
    <w:rsid w:val="0049101C"/>
    <w:rsid w:val="004A28BA"/>
    <w:rsid w:val="004A6030"/>
    <w:rsid w:val="004A6D67"/>
    <w:rsid w:val="004A6F01"/>
    <w:rsid w:val="004B6473"/>
    <w:rsid w:val="004C2EE8"/>
    <w:rsid w:val="004C5729"/>
    <w:rsid w:val="004C5D7B"/>
    <w:rsid w:val="004C7C93"/>
    <w:rsid w:val="004D01A5"/>
    <w:rsid w:val="004D146E"/>
    <w:rsid w:val="004E03F6"/>
    <w:rsid w:val="004F0353"/>
    <w:rsid w:val="00502352"/>
    <w:rsid w:val="00504434"/>
    <w:rsid w:val="00506CE9"/>
    <w:rsid w:val="00512409"/>
    <w:rsid w:val="00513F61"/>
    <w:rsid w:val="00517B3F"/>
    <w:rsid w:val="005214FD"/>
    <w:rsid w:val="00525E11"/>
    <w:rsid w:val="00526113"/>
    <w:rsid w:val="00526870"/>
    <w:rsid w:val="00535171"/>
    <w:rsid w:val="0054030E"/>
    <w:rsid w:val="00541051"/>
    <w:rsid w:val="0054195E"/>
    <w:rsid w:val="005421F2"/>
    <w:rsid w:val="00546CDE"/>
    <w:rsid w:val="0055787D"/>
    <w:rsid w:val="00581563"/>
    <w:rsid w:val="00582BBB"/>
    <w:rsid w:val="00585833"/>
    <w:rsid w:val="005922A1"/>
    <w:rsid w:val="0059279D"/>
    <w:rsid w:val="005A1902"/>
    <w:rsid w:val="005A3244"/>
    <w:rsid w:val="005A3F5B"/>
    <w:rsid w:val="005B5BE9"/>
    <w:rsid w:val="005C23AF"/>
    <w:rsid w:val="005C29F7"/>
    <w:rsid w:val="005C4922"/>
    <w:rsid w:val="005D1560"/>
    <w:rsid w:val="005D7AF9"/>
    <w:rsid w:val="005E0C8F"/>
    <w:rsid w:val="005E2838"/>
    <w:rsid w:val="005E3E62"/>
    <w:rsid w:val="005E4178"/>
    <w:rsid w:val="005F0BAA"/>
    <w:rsid w:val="005F3A51"/>
    <w:rsid w:val="0061142A"/>
    <w:rsid w:val="00617E4F"/>
    <w:rsid w:val="00621E1A"/>
    <w:rsid w:val="00627B84"/>
    <w:rsid w:val="00627FEE"/>
    <w:rsid w:val="00631142"/>
    <w:rsid w:val="00636EA0"/>
    <w:rsid w:val="006376DF"/>
    <w:rsid w:val="0064529E"/>
    <w:rsid w:val="00651B68"/>
    <w:rsid w:val="00652DC5"/>
    <w:rsid w:val="0066073C"/>
    <w:rsid w:val="006638C7"/>
    <w:rsid w:val="00674BD3"/>
    <w:rsid w:val="00681C70"/>
    <w:rsid w:val="00684145"/>
    <w:rsid w:val="00684D6E"/>
    <w:rsid w:val="00685DB1"/>
    <w:rsid w:val="006868BD"/>
    <w:rsid w:val="00687DB8"/>
    <w:rsid w:val="006900A2"/>
    <w:rsid w:val="006931D0"/>
    <w:rsid w:val="00693C6C"/>
    <w:rsid w:val="00695AC2"/>
    <w:rsid w:val="006A242C"/>
    <w:rsid w:val="006B6CE7"/>
    <w:rsid w:val="006C5AC5"/>
    <w:rsid w:val="006D28A8"/>
    <w:rsid w:val="006D69B3"/>
    <w:rsid w:val="006E144E"/>
    <w:rsid w:val="006E1843"/>
    <w:rsid w:val="006E46B4"/>
    <w:rsid w:val="006F4686"/>
    <w:rsid w:val="006F784B"/>
    <w:rsid w:val="00701E99"/>
    <w:rsid w:val="00710731"/>
    <w:rsid w:val="00712229"/>
    <w:rsid w:val="00722F4A"/>
    <w:rsid w:val="007254EE"/>
    <w:rsid w:val="007326E5"/>
    <w:rsid w:val="00733CDA"/>
    <w:rsid w:val="007351AA"/>
    <w:rsid w:val="0073734E"/>
    <w:rsid w:val="007439B6"/>
    <w:rsid w:val="00744D05"/>
    <w:rsid w:val="0075172D"/>
    <w:rsid w:val="00752852"/>
    <w:rsid w:val="00760F06"/>
    <w:rsid w:val="007719C4"/>
    <w:rsid w:val="00771DB1"/>
    <w:rsid w:val="00774B91"/>
    <w:rsid w:val="007817F2"/>
    <w:rsid w:val="00791AD4"/>
    <w:rsid w:val="00792C19"/>
    <w:rsid w:val="007A0D86"/>
    <w:rsid w:val="007B0057"/>
    <w:rsid w:val="007B433C"/>
    <w:rsid w:val="007B6FFC"/>
    <w:rsid w:val="007B7FEA"/>
    <w:rsid w:val="007C0B03"/>
    <w:rsid w:val="007C40D3"/>
    <w:rsid w:val="007C4EA6"/>
    <w:rsid w:val="007D26E5"/>
    <w:rsid w:val="007D42B9"/>
    <w:rsid w:val="007D4E5A"/>
    <w:rsid w:val="007E2E8C"/>
    <w:rsid w:val="007F0A16"/>
    <w:rsid w:val="007F3CA9"/>
    <w:rsid w:val="008004D1"/>
    <w:rsid w:val="00807B01"/>
    <w:rsid w:val="0081318D"/>
    <w:rsid w:val="00816E36"/>
    <w:rsid w:val="008212DE"/>
    <w:rsid w:val="008218AE"/>
    <w:rsid w:val="00821ABE"/>
    <w:rsid w:val="0082385D"/>
    <w:rsid w:val="008264A0"/>
    <w:rsid w:val="00832B3A"/>
    <w:rsid w:val="00850067"/>
    <w:rsid w:val="00851009"/>
    <w:rsid w:val="008516C2"/>
    <w:rsid w:val="00856C39"/>
    <w:rsid w:val="00862772"/>
    <w:rsid w:val="00864FCF"/>
    <w:rsid w:val="00866586"/>
    <w:rsid w:val="00866D91"/>
    <w:rsid w:val="00872FA5"/>
    <w:rsid w:val="00880827"/>
    <w:rsid w:val="00882A95"/>
    <w:rsid w:val="0088544F"/>
    <w:rsid w:val="0089084C"/>
    <w:rsid w:val="00890B01"/>
    <w:rsid w:val="008967CA"/>
    <w:rsid w:val="008A6DA0"/>
    <w:rsid w:val="008B1890"/>
    <w:rsid w:val="008B428A"/>
    <w:rsid w:val="008B58A3"/>
    <w:rsid w:val="008B67A3"/>
    <w:rsid w:val="008C2CA2"/>
    <w:rsid w:val="008C55D1"/>
    <w:rsid w:val="008C5F3D"/>
    <w:rsid w:val="008D0E33"/>
    <w:rsid w:val="008D21AF"/>
    <w:rsid w:val="008D2770"/>
    <w:rsid w:val="008D3871"/>
    <w:rsid w:val="008D6578"/>
    <w:rsid w:val="008E013E"/>
    <w:rsid w:val="008E63C2"/>
    <w:rsid w:val="008F37BB"/>
    <w:rsid w:val="008F5977"/>
    <w:rsid w:val="00901C62"/>
    <w:rsid w:val="00903F1A"/>
    <w:rsid w:val="00904006"/>
    <w:rsid w:val="00916E12"/>
    <w:rsid w:val="00917C9B"/>
    <w:rsid w:val="009311F7"/>
    <w:rsid w:val="00951FD1"/>
    <w:rsid w:val="009541ED"/>
    <w:rsid w:val="009575C0"/>
    <w:rsid w:val="00957FCF"/>
    <w:rsid w:val="0096620A"/>
    <w:rsid w:val="0096707C"/>
    <w:rsid w:val="00973188"/>
    <w:rsid w:val="0098029F"/>
    <w:rsid w:val="00984067"/>
    <w:rsid w:val="009B3E1B"/>
    <w:rsid w:val="009C318B"/>
    <w:rsid w:val="009D6387"/>
    <w:rsid w:val="009E28BF"/>
    <w:rsid w:val="009E3E9F"/>
    <w:rsid w:val="009E474E"/>
    <w:rsid w:val="009F426E"/>
    <w:rsid w:val="00A03EDA"/>
    <w:rsid w:val="00A04585"/>
    <w:rsid w:val="00A10BDD"/>
    <w:rsid w:val="00A20863"/>
    <w:rsid w:val="00A3249E"/>
    <w:rsid w:val="00A330E3"/>
    <w:rsid w:val="00A36BE6"/>
    <w:rsid w:val="00A43F63"/>
    <w:rsid w:val="00A54AFF"/>
    <w:rsid w:val="00A57D84"/>
    <w:rsid w:val="00A67930"/>
    <w:rsid w:val="00A71FDC"/>
    <w:rsid w:val="00A74A29"/>
    <w:rsid w:val="00A767DB"/>
    <w:rsid w:val="00A80E29"/>
    <w:rsid w:val="00A82BD7"/>
    <w:rsid w:val="00A915DF"/>
    <w:rsid w:val="00A933BF"/>
    <w:rsid w:val="00A94A43"/>
    <w:rsid w:val="00AA6970"/>
    <w:rsid w:val="00AA71D7"/>
    <w:rsid w:val="00AA7AC4"/>
    <w:rsid w:val="00AB19C6"/>
    <w:rsid w:val="00AB253D"/>
    <w:rsid w:val="00AB6ADE"/>
    <w:rsid w:val="00AD0A79"/>
    <w:rsid w:val="00AD2C35"/>
    <w:rsid w:val="00AD6D97"/>
    <w:rsid w:val="00AE75C0"/>
    <w:rsid w:val="00AF389D"/>
    <w:rsid w:val="00B00D03"/>
    <w:rsid w:val="00B00FFB"/>
    <w:rsid w:val="00B0359D"/>
    <w:rsid w:val="00B05773"/>
    <w:rsid w:val="00B069B4"/>
    <w:rsid w:val="00B13C8A"/>
    <w:rsid w:val="00B17B40"/>
    <w:rsid w:val="00B20115"/>
    <w:rsid w:val="00B33A4C"/>
    <w:rsid w:val="00B43DDD"/>
    <w:rsid w:val="00B45613"/>
    <w:rsid w:val="00B56CEA"/>
    <w:rsid w:val="00B6114F"/>
    <w:rsid w:val="00B63D4B"/>
    <w:rsid w:val="00B72516"/>
    <w:rsid w:val="00B76A3E"/>
    <w:rsid w:val="00B94433"/>
    <w:rsid w:val="00BA1D4D"/>
    <w:rsid w:val="00BA5211"/>
    <w:rsid w:val="00BA7A51"/>
    <w:rsid w:val="00BA7E41"/>
    <w:rsid w:val="00BB3AB7"/>
    <w:rsid w:val="00BB6CB6"/>
    <w:rsid w:val="00BB7CB9"/>
    <w:rsid w:val="00BC7446"/>
    <w:rsid w:val="00BD1D50"/>
    <w:rsid w:val="00BD3800"/>
    <w:rsid w:val="00BD5CB3"/>
    <w:rsid w:val="00BE1316"/>
    <w:rsid w:val="00BF0C5C"/>
    <w:rsid w:val="00C00565"/>
    <w:rsid w:val="00C02E41"/>
    <w:rsid w:val="00C16207"/>
    <w:rsid w:val="00C2766F"/>
    <w:rsid w:val="00C334BF"/>
    <w:rsid w:val="00C344D7"/>
    <w:rsid w:val="00C52C41"/>
    <w:rsid w:val="00C54E43"/>
    <w:rsid w:val="00C61BDE"/>
    <w:rsid w:val="00C64697"/>
    <w:rsid w:val="00C713C2"/>
    <w:rsid w:val="00C801AB"/>
    <w:rsid w:val="00C863F1"/>
    <w:rsid w:val="00C94A88"/>
    <w:rsid w:val="00C964A5"/>
    <w:rsid w:val="00C979AC"/>
    <w:rsid w:val="00C97DF3"/>
    <w:rsid w:val="00CA37BD"/>
    <w:rsid w:val="00CA4D4F"/>
    <w:rsid w:val="00CB0B31"/>
    <w:rsid w:val="00CB0FAA"/>
    <w:rsid w:val="00CC2BF6"/>
    <w:rsid w:val="00CE7D78"/>
    <w:rsid w:val="00CF0C04"/>
    <w:rsid w:val="00D14886"/>
    <w:rsid w:val="00D16E82"/>
    <w:rsid w:val="00D227AB"/>
    <w:rsid w:val="00D24D7B"/>
    <w:rsid w:val="00D25F47"/>
    <w:rsid w:val="00D27A82"/>
    <w:rsid w:val="00D31A0B"/>
    <w:rsid w:val="00D36DB8"/>
    <w:rsid w:val="00D36EA2"/>
    <w:rsid w:val="00D40E92"/>
    <w:rsid w:val="00D412E5"/>
    <w:rsid w:val="00D44A66"/>
    <w:rsid w:val="00D47537"/>
    <w:rsid w:val="00D47C91"/>
    <w:rsid w:val="00D50503"/>
    <w:rsid w:val="00D646D1"/>
    <w:rsid w:val="00D664C8"/>
    <w:rsid w:val="00D705FF"/>
    <w:rsid w:val="00D713F3"/>
    <w:rsid w:val="00D75438"/>
    <w:rsid w:val="00D75A79"/>
    <w:rsid w:val="00D80613"/>
    <w:rsid w:val="00D808B7"/>
    <w:rsid w:val="00D82663"/>
    <w:rsid w:val="00D82747"/>
    <w:rsid w:val="00D86530"/>
    <w:rsid w:val="00D90DDF"/>
    <w:rsid w:val="00D91EAA"/>
    <w:rsid w:val="00DA2D37"/>
    <w:rsid w:val="00DA41CE"/>
    <w:rsid w:val="00DB226C"/>
    <w:rsid w:val="00DB2F76"/>
    <w:rsid w:val="00DC1BBD"/>
    <w:rsid w:val="00DC3319"/>
    <w:rsid w:val="00DD57C5"/>
    <w:rsid w:val="00DD6A03"/>
    <w:rsid w:val="00DE242E"/>
    <w:rsid w:val="00DE2B0F"/>
    <w:rsid w:val="00DE5933"/>
    <w:rsid w:val="00DE6F47"/>
    <w:rsid w:val="00DF20BD"/>
    <w:rsid w:val="00DF3DFA"/>
    <w:rsid w:val="00DF5136"/>
    <w:rsid w:val="00DF7442"/>
    <w:rsid w:val="00E04C17"/>
    <w:rsid w:val="00E05DEE"/>
    <w:rsid w:val="00E11D0D"/>
    <w:rsid w:val="00E14A8A"/>
    <w:rsid w:val="00E2025F"/>
    <w:rsid w:val="00E233A5"/>
    <w:rsid w:val="00E26C41"/>
    <w:rsid w:val="00E32140"/>
    <w:rsid w:val="00E323A6"/>
    <w:rsid w:val="00E45F3B"/>
    <w:rsid w:val="00E52A88"/>
    <w:rsid w:val="00E56675"/>
    <w:rsid w:val="00E57D82"/>
    <w:rsid w:val="00E6717A"/>
    <w:rsid w:val="00E73723"/>
    <w:rsid w:val="00E772A0"/>
    <w:rsid w:val="00E80A71"/>
    <w:rsid w:val="00E8736D"/>
    <w:rsid w:val="00E873FE"/>
    <w:rsid w:val="00E87E86"/>
    <w:rsid w:val="00EB0BF9"/>
    <w:rsid w:val="00EB3602"/>
    <w:rsid w:val="00EB3C74"/>
    <w:rsid w:val="00EB5C93"/>
    <w:rsid w:val="00EC15AC"/>
    <w:rsid w:val="00EC29A0"/>
    <w:rsid w:val="00EC3322"/>
    <w:rsid w:val="00EC4D73"/>
    <w:rsid w:val="00EC5D10"/>
    <w:rsid w:val="00EC7439"/>
    <w:rsid w:val="00EC77DD"/>
    <w:rsid w:val="00ED1C7C"/>
    <w:rsid w:val="00ED28D5"/>
    <w:rsid w:val="00ED6D30"/>
    <w:rsid w:val="00ED6DF1"/>
    <w:rsid w:val="00EE62E3"/>
    <w:rsid w:val="00EE7342"/>
    <w:rsid w:val="00EF477D"/>
    <w:rsid w:val="00F000A6"/>
    <w:rsid w:val="00F02534"/>
    <w:rsid w:val="00F05B3F"/>
    <w:rsid w:val="00F05FAB"/>
    <w:rsid w:val="00F07C3C"/>
    <w:rsid w:val="00F10095"/>
    <w:rsid w:val="00F11438"/>
    <w:rsid w:val="00F13F97"/>
    <w:rsid w:val="00F23023"/>
    <w:rsid w:val="00F23CC3"/>
    <w:rsid w:val="00F265B5"/>
    <w:rsid w:val="00F36AE9"/>
    <w:rsid w:val="00F42255"/>
    <w:rsid w:val="00F478F7"/>
    <w:rsid w:val="00F57E48"/>
    <w:rsid w:val="00F61BD6"/>
    <w:rsid w:val="00F648FB"/>
    <w:rsid w:val="00F64F77"/>
    <w:rsid w:val="00F70D8A"/>
    <w:rsid w:val="00F77225"/>
    <w:rsid w:val="00F80FE1"/>
    <w:rsid w:val="00F829CF"/>
    <w:rsid w:val="00F842AF"/>
    <w:rsid w:val="00F9054B"/>
    <w:rsid w:val="00FA095E"/>
    <w:rsid w:val="00FA214F"/>
    <w:rsid w:val="00FA74D1"/>
    <w:rsid w:val="00FB2217"/>
    <w:rsid w:val="00FC1B14"/>
    <w:rsid w:val="00FC3000"/>
    <w:rsid w:val="00FC5306"/>
    <w:rsid w:val="00FD0F47"/>
    <w:rsid w:val="00FD2AF7"/>
    <w:rsid w:val="00FE4300"/>
    <w:rsid w:val="00FE6C16"/>
    <w:rsid w:val="00FF7E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D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A704FE"/>
    <w:rPr>
      <w:color w:val="605E5C"/>
      <w:shd w:val="clear" w:color="auto" w:fill="E1DFDD"/>
    </w:rPr>
  </w:style>
  <w:style w:type="paragraph" w:styleId="ListParagraph">
    <w:name w:val="List Paragraph"/>
    <w:aliases w:val="Body of text"/>
    <w:basedOn w:val="Normal"/>
    <w:link w:val="ListParagraphChar"/>
    <w:uiPriority w:val="34"/>
    <w:qFormat/>
    <w:rsid w:val="00A704FE"/>
    <w:pPr>
      <w:ind w:left="720"/>
      <w:contextualSpacing/>
    </w:pPr>
  </w:style>
  <w:style w:type="table" w:styleId="TableGrid">
    <w:name w:val="Table Grid"/>
    <w:basedOn w:val="TableNormal"/>
    <w:uiPriority w:val="59"/>
    <w:rsid w:val="002348C7"/>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376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10E"/>
    <w:rPr>
      <w:rFonts w:ascii="Tahoma" w:hAnsi="Tahoma" w:cs="Tahoma"/>
      <w:sz w:val="16"/>
      <w:szCs w:val="16"/>
    </w:rPr>
  </w:style>
  <w:style w:type="character" w:customStyle="1" w:styleId="y2iqfc">
    <w:name w:val="y2iqfc"/>
    <w:basedOn w:val="DefaultParagraphFont"/>
    <w:rsid w:val="00140A87"/>
  </w:style>
  <w:style w:type="paragraph" w:styleId="HTMLPreformatted">
    <w:name w:val="HTML Preformatted"/>
    <w:basedOn w:val="Normal"/>
    <w:link w:val="HTMLPreformattedChar"/>
    <w:uiPriority w:val="99"/>
    <w:semiHidden/>
    <w:unhideWhenUsed/>
    <w:rsid w:val="002953E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953EE"/>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A704FE"/>
    <w:rPr>
      <w:color w:val="605E5C"/>
      <w:shd w:val="clear" w:color="auto" w:fill="E1DFDD"/>
    </w:rPr>
  </w:style>
  <w:style w:type="paragraph" w:styleId="ListParagraph">
    <w:name w:val="List Paragraph"/>
    <w:aliases w:val="Body of text"/>
    <w:basedOn w:val="Normal"/>
    <w:link w:val="ListParagraphChar"/>
    <w:uiPriority w:val="34"/>
    <w:qFormat/>
    <w:rsid w:val="00A704FE"/>
    <w:pPr>
      <w:ind w:left="720"/>
      <w:contextualSpacing/>
    </w:pPr>
  </w:style>
  <w:style w:type="table" w:styleId="TableGrid">
    <w:name w:val="Table Grid"/>
    <w:basedOn w:val="TableNormal"/>
    <w:uiPriority w:val="59"/>
    <w:rsid w:val="002348C7"/>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376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10E"/>
    <w:rPr>
      <w:rFonts w:ascii="Tahoma" w:hAnsi="Tahoma" w:cs="Tahoma"/>
      <w:sz w:val="16"/>
      <w:szCs w:val="16"/>
    </w:rPr>
  </w:style>
  <w:style w:type="character" w:customStyle="1" w:styleId="y2iqfc">
    <w:name w:val="y2iqfc"/>
    <w:basedOn w:val="DefaultParagraphFont"/>
    <w:rsid w:val="00140A87"/>
  </w:style>
  <w:style w:type="paragraph" w:styleId="HTMLPreformatted">
    <w:name w:val="HTML Preformatted"/>
    <w:basedOn w:val="Normal"/>
    <w:link w:val="HTMLPreformattedChar"/>
    <w:uiPriority w:val="99"/>
    <w:semiHidden/>
    <w:unhideWhenUsed/>
    <w:rsid w:val="002953E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953E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9065">
      <w:bodyDiv w:val="1"/>
      <w:marLeft w:val="0"/>
      <w:marRight w:val="0"/>
      <w:marTop w:val="0"/>
      <w:marBottom w:val="0"/>
      <w:divBdr>
        <w:top w:val="none" w:sz="0" w:space="0" w:color="auto"/>
        <w:left w:val="none" w:sz="0" w:space="0" w:color="auto"/>
        <w:bottom w:val="none" w:sz="0" w:space="0" w:color="auto"/>
        <w:right w:val="none" w:sz="0" w:space="0" w:color="auto"/>
      </w:divBdr>
    </w:div>
    <w:div w:id="121271715">
      <w:bodyDiv w:val="1"/>
      <w:marLeft w:val="0"/>
      <w:marRight w:val="0"/>
      <w:marTop w:val="0"/>
      <w:marBottom w:val="0"/>
      <w:divBdr>
        <w:top w:val="none" w:sz="0" w:space="0" w:color="auto"/>
        <w:left w:val="none" w:sz="0" w:space="0" w:color="auto"/>
        <w:bottom w:val="none" w:sz="0" w:space="0" w:color="auto"/>
        <w:right w:val="none" w:sz="0" w:space="0" w:color="auto"/>
      </w:divBdr>
    </w:div>
    <w:div w:id="378406816">
      <w:bodyDiv w:val="1"/>
      <w:marLeft w:val="0"/>
      <w:marRight w:val="0"/>
      <w:marTop w:val="0"/>
      <w:marBottom w:val="0"/>
      <w:divBdr>
        <w:top w:val="none" w:sz="0" w:space="0" w:color="auto"/>
        <w:left w:val="none" w:sz="0" w:space="0" w:color="auto"/>
        <w:bottom w:val="none" w:sz="0" w:space="0" w:color="auto"/>
        <w:right w:val="none" w:sz="0" w:space="0" w:color="auto"/>
      </w:divBdr>
    </w:div>
    <w:div w:id="409080985">
      <w:bodyDiv w:val="1"/>
      <w:marLeft w:val="0"/>
      <w:marRight w:val="0"/>
      <w:marTop w:val="0"/>
      <w:marBottom w:val="0"/>
      <w:divBdr>
        <w:top w:val="none" w:sz="0" w:space="0" w:color="auto"/>
        <w:left w:val="none" w:sz="0" w:space="0" w:color="auto"/>
        <w:bottom w:val="none" w:sz="0" w:space="0" w:color="auto"/>
        <w:right w:val="none" w:sz="0" w:space="0" w:color="auto"/>
      </w:divBdr>
    </w:div>
    <w:div w:id="413090367">
      <w:bodyDiv w:val="1"/>
      <w:marLeft w:val="0"/>
      <w:marRight w:val="0"/>
      <w:marTop w:val="0"/>
      <w:marBottom w:val="0"/>
      <w:divBdr>
        <w:top w:val="none" w:sz="0" w:space="0" w:color="auto"/>
        <w:left w:val="none" w:sz="0" w:space="0" w:color="auto"/>
        <w:bottom w:val="none" w:sz="0" w:space="0" w:color="auto"/>
        <w:right w:val="none" w:sz="0" w:space="0" w:color="auto"/>
      </w:divBdr>
    </w:div>
    <w:div w:id="523179855">
      <w:bodyDiv w:val="1"/>
      <w:marLeft w:val="0"/>
      <w:marRight w:val="0"/>
      <w:marTop w:val="0"/>
      <w:marBottom w:val="0"/>
      <w:divBdr>
        <w:top w:val="none" w:sz="0" w:space="0" w:color="auto"/>
        <w:left w:val="none" w:sz="0" w:space="0" w:color="auto"/>
        <w:bottom w:val="none" w:sz="0" w:space="0" w:color="auto"/>
        <w:right w:val="none" w:sz="0" w:space="0" w:color="auto"/>
      </w:divBdr>
    </w:div>
    <w:div w:id="826091167">
      <w:bodyDiv w:val="1"/>
      <w:marLeft w:val="0"/>
      <w:marRight w:val="0"/>
      <w:marTop w:val="0"/>
      <w:marBottom w:val="0"/>
      <w:divBdr>
        <w:top w:val="none" w:sz="0" w:space="0" w:color="auto"/>
        <w:left w:val="none" w:sz="0" w:space="0" w:color="auto"/>
        <w:bottom w:val="none" w:sz="0" w:space="0" w:color="auto"/>
        <w:right w:val="none" w:sz="0" w:space="0" w:color="auto"/>
      </w:divBdr>
    </w:div>
    <w:div w:id="845829169">
      <w:bodyDiv w:val="1"/>
      <w:marLeft w:val="0"/>
      <w:marRight w:val="0"/>
      <w:marTop w:val="0"/>
      <w:marBottom w:val="0"/>
      <w:divBdr>
        <w:top w:val="none" w:sz="0" w:space="0" w:color="auto"/>
        <w:left w:val="none" w:sz="0" w:space="0" w:color="auto"/>
        <w:bottom w:val="none" w:sz="0" w:space="0" w:color="auto"/>
        <w:right w:val="none" w:sz="0" w:space="0" w:color="auto"/>
      </w:divBdr>
    </w:div>
    <w:div w:id="892041844">
      <w:bodyDiv w:val="1"/>
      <w:marLeft w:val="0"/>
      <w:marRight w:val="0"/>
      <w:marTop w:val="0"/>
      <w:marBottom w:val="0"/>
      <w:divBdr>
        <w:top w:val="none" w:sz="0" w:space="0" w:color="auto"/>
        <w:left w:val="none" w:sz="0" w:space="0" w:color="auto"/>
        <w:bottom w:val="none" w:sz="0" w:space="0" w:color="auto"/>
        <w:right w:val="none" w:sz="0" w:space="0" w:color="auto"/>
      </w:divBdr>
    </w:div>
    <w:div w:id="948708440">
      <w:bodyDiv w:val="1"/>
      <w:marLeft w:val="0"/>
      <w:marRight w:val="0"/>
      <w:marTop w:val="0"/>
      <w:marBottom w:val="0"/>
      <w:divBdr>
        <w:top w:val="none" w:sz="0" w:space="0" w:color="auto"/>
        <w:left w:val="none" w:sz="0" w:space="0" w:color="auto"/>
        <w:bottom w:val="none" w:sz="0" w:space="0" w:color="auto"/>
        <w:right w:val="none" w:sz="0" w:space="0" w:color="auto"/>
      </w:divBdr>
    </w:div>
    <w:div w:id="1243178791">
      <w:bodyDiv w:val="1"/>
      <w:marLeft w:val="0"/>
      <w:marRight w:val="0"/>
      <w:marTop w:val="0"/>
      <w:marBottom w:val="0"/>
      <w:divBdr>
        <w:top w:val="none" w:sz="0" w:space="0" w:color="auto"/>
        <w:left w:val="none" w:sz="0" w:space="0" w:color="auto"/>
        <w:bottom w:val="none" w:sz="0" w:space="0" w:color="auto"/>
        <w:right w:val="none" w:sz="0" w:space="0" w:color="auto"/>
      </w:divBdr>
    </w:div>
    <w:div w:id="1309940295">
      <w:bodyDiv w:val="1"/>
      <w:marLeft w:val="0"/>
      <w:marRight w:val="0"/>
      <w:marTop w:val="0"/>
      <w:marBottom w:val="0"/>
      <w:divBdr>
        <w:top w:val="none" w:sz="0" w:space="0" w:color="auto"/>
        <w:left w:val="none" w:sz="0" w:space="0" w:color="auto"/>
        <w:bottom w:val="none" w:sz="0" w:space="0" w:color="auto"/>
        <w:right w:val="none" w:sz="0" w:space="0" w:color="auto"/>
      </w:divBdr>
    </w:div>
    <w:div w:id="1410468951">
      <w:bodyDiv w:val="1"/>
      <w:marLeft w:val="0"/>
      <w:marRight w:val="0"/>
      <w:marTop w:val="0"/>
      <w:marBottom w:val="0"/>
      <w:divBdr>
        <w:top w:val="none" w:sz="0" w:space="0" w:color="auto"/>
        <w:left w:val="none" w:sz="0" w:space="0" w:color="auto"/>
        <w:bottom w:val="none" w:sz="0" w:space="0" w:color="auto"/>
        <w:right w:val="none" w:sz="0" w:space="0" w:color="auto"/>
      </w:divBdr>
    </w:div>
    <w:div w:id="1421179326">
      <w:bodyDiv w:val="1"/>
      <w:marLeft w:val="0"/>
      <w:marRight w:val="0"/>
      <w:marTop w:val="0"/>
      <w:marBottom w:val="0"/>
      <w:divBdr>
        <w:top w:val="none" w:sz="0" w:space="0" w:color="auto"/>
        <w:left w:val="none" w:sz="0" w:space="0" w:color="auto"/>
        <w:bottom w:val="none" w:sz="0" w:space="0" w:color="auto"/>
        <w:right w:val="none" w:sz="0" w:space="0" w:color="auto"/>
      </w:divBdr>
    </w:div>
    <w:div w:id="1442534371">
      <w:bodyDiv w:val="1"/>
      <w:marLeft w:val="0"/>
      <w:marRight w:val="0"/>
      <w:marTop w:val="0"/>
      <w:marBottom w:val="0"/>
      <w:divBdr>
        <w:top w:val="none" w:sz="0" w:space="0" w:color="auto"/>
        <w:left w:val="none" w:sz="0" w:space="0" w:color="auto"/>
        <w:bottom w:val="none" w:sz="0" w:space="0" w:color="auto"/>
        <w:right w:val="none" w:sz="0" w:space="0" w:color="auto"/>
      </w:divBdr>
    </w:div>
    <w:div w:id="1544518981">
      <w:bodyDiv w:val="1"/>
      <w:marLeft w:val="0"/>
      <w:marRight w:val="0"/>
      <w:marTop w:val="0"/>
      <w:marBottom w:val="0"/>
      <w:divBdr>
        <w:top w:val="none" w:sz="0" w:space="0" w:color="auto"/>
        <w:left w:val="none" w:sz="0" w:space="0" w:color="auto"/>
        <w:bottom w:val="none" w:sz="0" w:space="0" w:color="auto"/>
        <w:right w:val="none" w:sz="0" w:space="0" w:color="auto"/>
      </w:divBdr>
    </w:div>
    <w:div w:id="1562711794">
      <w:bodyDiv w:val="1"/>
      <w:marLeft w:val="0"/>
      <w:marRight w:val="0"/>
      <w:marTop w:val="0"/>
      <w:marBottom w:val="0"/>
      <w:divBdr>
        <w:top w:val="none" w:sz="0" w:space="0" w:color="auto"/>
        <w:left w:val="none" w:sz="0" w:space="0" w:color="auto"/>
        <w:bottom w:val="none" w:sz="0" w:space="0" w:color="auto"/>
        <w:right w:val="none" w:sz="0" w:space="0" w:color="auto"/>
      </w:divBdr>
    </w:div>
    <w:div w:id="1611622647">
      <w:bodyDiv w:val="1"/>
      <w:marLeft w:val="0"/>
      <w:marRight w:val="0"/>
      <w:marTop w:val="0"/>
      <w:marBottom w:val="0"/>
      <w:divBdr>
        <w:top w:val="none" w:sz="0" w:space="0" w:color="auto"/>
        <w:left w:val="none" w:sz="0" w:space="0" w:color="auto"/>
        <w:bottom w:val="none" w:sz="0" w:space="0" w:color="auto"/>
        <w:right w:val="none" w:sz="0" w:space="0" w:color="auto"/>
      </w:divBdr>
    </w:div>
    <w:div w:id="1649166055">
      <w:bodyDiv w:val="1"/>
      <w:marLeft w:val="0"/>
      <w:marRight w:val="0"/>
      <w:marTop w:val="0"/>
      <w:marBottom w:val="0"/>
      <w:divBdr>
        <w:top w:val="none" w:sz="0" w:space="0" w:color="auto"/>
        <w:left w:val="none" w:sz="0" w:space="0" w:color="auto"/>
        <w:bottom w:val="none" w:sz="0" w:space="0" w:color="auto"/>
        <w:right w:val="none" w:sz="0" w:space="0" w:color="auto"/>
      </w:divBdr>
    </w:div>
    <w:div w:id="1692147154">
      <w:bodyDiv w:val="1"/>
      <w:marLeft w:val="0"/>
      <w:marRight w:val="0"/>
      <w:marTop w:val="0"/>
      <w:marBottom w:val="0"/>
      <w:divBdr>
        <w:top w:val="none" w:sz="0" w:space="0" w:color="auto"/>
        <w:left w:val="none" w:sz="0" w:space="0" w:color="auto"/>
        <w:bottom w:val="none" w:sz="0" w:space="0" w:color="auto"/>
        <w:right w:val="none" w:sz="0" w:space="0" w:color="auto"/>
      </w:divBdr>
    </w:div>
    <w:div w:id="1867908870">
      <w:bodyDiv w:val="1"/>
      <w:marLeft w:val="0"/>
      <w:marRight w:val="0"/>
      <w:marTop w:val="0"/>
      <w:marBottom w:val="0"/>
      <w:divBdr>
        <w:top w:val="none" w:sz="0" w:space="0" w:color="auto"/>
        <w:left w:val="none" w:sz="0" w:space="0" w:color="auto"/>
        <w:bottom w:val="none" w:sz="0" w:space="0" w:color="auto"/>
        <w:right w:val="none" w:sz="0" w:space="0" w:color="auto"/>
      </w:divBdr>
    </w:div>
    <w:div w:id="1907106016">
      <w:bodyDiv w:val="1"/>
      <w:marLeft w:val="0"/>
      <w:marRight w:val="0"/>
      <w:marTop w:val="0"/>
      <w:marBottom w:val="0"/>
      <w:divBdr>
        <w:top w:val="none" w:sz="0" w:space="0" w:color="auto"/>
        <w:left w:val="none" w:sz="0" w:space="0" w:color="auto"/>
        <w:bottom w:val="none" w:sz="0" w:space="0" w:color="auto"/>
        <w:right w:val="none" w:sz="0" w:space="0" w:color="auto"/>
      </w:divBdr>
    </w:div>
    <w:div w:id="1982805163">
      <w:bodyDiv w:val="1"/>
      <w:marLeft w:val="0"/>
      <w:marRight w:val="0"/>
      <w:marTop w:val="0"/>
      <w:marBottom w:val="0"/>
      <w:divBdr>
        <w:top w:val="none" w:sz="0" w:space="0" w:color="auto"/>
        <w:left w:val="none" w:sz="0" w:space="0" w:color="auto"/>
        <w:bottom w:val="none" w:sz="0" w:space="0" w:color="auto"/>
        <w:right w:val="none" w:sz="0" w:space="0" w:color="auto"/>
      </w:divBdr>
    </w:div>
    <w:div w:id="1996568274">
      <w:bodyDiv w:val="1"/>
      <w:marLeft w:val="0"/>
      <w:marRight w:val="0"/>
      <w:marTop w:val="0"/>
      <w:marBottom w:val="0"/>
      <w:divBdr>
        <w:top w:val="none" w:sz="0" w:space="0" w:color="auto"/>
        <w:left w:val="none" w:sz="0" w:space="0" w:color="auto"/>
        <w:bottom w:val="none" w:sz="0" w:space="0" w:color="auto"/>
        <w:right w:val="none" w:sz="0" w:space="0" w:color="auto"/>
      </w:divBdr>
    </w:div>
    <w:div w:id="1998680013">
      <w:bodyDiv w:val="1"/>
      <w:marLeft w:val="0"/>
      <w:marRight w:val="0"/>
      <w:marTop w:val="0"/>
      <w:marBottom w:val="0"/>
      <w:divBdr>
        <w:top w:val="none" w:sz="0" w:space="0" w:color="auto"/>
        <w:left w:val="none" w:sz="0" w:space="0" w:color="auto"/>
        <w:bottom w:val="none" w:sz="0" w:space="0" w:color="auto"/>
        <w:right w:val="none" w:sz="0" w:space="0" w:color="auto"/>
      </w:divBdr>
    </w:div>
    <w:div w:id="1998919860">
      <w:bodyDiv w:val="1"/>
      <w:marLeft w:val="0"/>
      <w:marRight w:val="0"/>
      <w:marTop w:val="0"/>
      <w:marBottom w:val="0"/>
      <w:divBdr>
        <w:top w:val="none" w:sz="0" w:space="0" w:color="auto"/>
        <w:left w:val="none" w:sz="0" w:space="0" w:color="auto"/>
        <w:bottom w:val="none" w:sz="0" w:space="0" w:color="auto"/>
        <w:right w:val="none" w:sz="0" w:space="0" w:color="auto"/>
      </w:divBdr>
    </w:div>
    <w:div w:id="2021541744">
      <w:bodyDiv w:val="1"/>
      <w:marLeft w:val="0"/>
      <w:marRight w:val="0"/>
      <w:marTop w:val="0"/>
      <w:marBottom w:val="0"/>
      <w:divBdr>
        <w:top w:val="none" w:sz="0" w:space="0" w:color="auto"/>
        <w:left w:val="none" w:sz="0" w:space="0" w:color="auto"/>
        <w:bottom w:val="none" w:sz="0" w:space="0" w:color="auto"/>
        <w:right w:val="none" w:sz="0" w:space="0" w:color="auto"/>
      </w:divBdr>
    </w:div>
    <w:div w:id="2094013778">
      <w:bodyDiv w:val="1"/>
      <w:marLeft w:val="0"/>
      <w:marRight w:val="0"/>
      <w:marTop w:val="0"/>
      <w:marBottom w:val="0"/>
      <w:divBdr>
        <w:top w:val="none" w:sz="0" w:space="0" w:color="auto"/>
        <w:left w:val="none" w:sz="0" w:space="0" w:color="auto"/>
        <w:bottom w:val="none" w:sz="0" w:space="0" w:color="auto"/>
        <w:right w:val="none" w:sz="0" w:space="0" w:color="auto"/>
      </w:divBdr>
    </w:div>
    <w:div w:id="2114663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5NnMlSmwWfONbHsnOulawKjSGA==">AMUW2mUmmi1s5YTPL96gTftoaQaMWV/6Kc4kK0KCBC5SDY3ZTqBq2z/hl4GtCIFLjvCdiDJFpzowAL1NaV0jOfaId6U2TJHEYPFd2E8ONEfdc1L1vZGfJ5k=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74B64F-9FC9-4016-A2CB-CFF5D37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22533</Words>
  <Characters>128442</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Halim Putra</dc:creator>
  <cp:lastModifiedBy>Win10</cp:lastModifiedBy>
  <cp:revision>2</cp:revision>
  <dcterms:created xsi:type="dcterms:W3CDTF">2025-01-17T13:08:00Z</dcterms:created>
  <dcterms:modified xsi:type="dcterms:W3CDTF">2025-01-17T13:08:00Z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df0dfefe-264d-392b-af5f-d43a123723fc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http://www.zotero.org/styles/elsevier-vancouver</vt:lpwstr>
  </property>
  <property fmtid="{D5CDD505-2E9C-101B-9397-08002B2CF9AE}" pid="16" name="Mendeley Recent Style Name 5_1">
    <vt:lpwstr>Elsevier - Vancouver</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