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A2" w:rsidRPr="009830D7" w:rsidRDefault="006409A2" w:rsidP="006409A2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lang w:val="en-GB"/>
        </w:rPr>
      </w:pPr>
    </w:p>
    <w:p w:rsidR="006409A2" w:rsidRPr="009830D7" w:rsidRDefault="006409A2" w:rsidP="006409A2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lang w:val="en-GB"/>
        </w:rPr>
      </w:pPr>
    </w:p>
    <w:p w:rsidR="006409A2" w:rsidRPr="009830D7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  <w:r w:rsidRPr="009830D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 xml:space="preserve">Table 1. Least squares means and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 xml:space="preserve">their </w:t>
      </w:r>
      <w:r w:rsidRPr="009830D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>standard errors (LSM</w:t>
      </w:r>
      <w:r w:rsidRPr="009830D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±SE) </w:t>
      </w:r>
      <w:r w:rsidRPr="009830D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>longevity traits.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714"/>
        <w:gridCol w:w="1229"/>
        <w:gridCol w:w="1701"/>
        <w:gridCol w:w="1593"/>
        <w:gridCol w:w="1506"/>
        <w:gridCol w:w="1499"/>
      </w:tblGrid>
      <w:tr w:rsidR="006409A2" w:rsidRPr="009830D7" w:rsidTr="00B450D0">
        <w:tc>
          <w:tcPr>
            <w:tcW w:w="927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Classification</w:t>
            </w: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Number of records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Lifespan (LS, months)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Productive life (PL, months)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/>
              </w:rPr>
              <w:t>Cow efficiency index (CEI, %)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Number of </w:t>
            </w:r>
            <w:proofErr w:type="spellStart"/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calvings</w:t>
            </w:r>
            <w:proofErr w:type="spellEnd"/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(NC, calving)</w:t>
            </w:r>
          </w:p>
        </w:tc>
      </w:tr>
      <w:tr w:rsidR="006409A2" w:rsidRPr="009830D7" w:rsidTr="00B450D0">
        <w:tc>
          <w:tcPr>
            <w:tcW w:w="927" w:type="pct"/>
            <w:tcBorders>
              <w:top w:val="single" w:sz="4" w:space="0" w:color="auto"/>
            </w:tcBorders>
            <w:vAlign w:val="bottom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Shami</w:t>
            </w:r>
            <w:proofErr w:type="spellEnd"/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96.3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±1.80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66.1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±1.81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64.9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±0.008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±0.12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Holstein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±2.80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43.5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±2.81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56.4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±0.012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±0.19</w:t>
            </w:r>
          </w:p>
        </w:tc>
      </w:tr>
      <w:tr w:rsidR="006409A2" w:rsidRPr="009830D7" w:rsidTr="00B450D0">
        <w:tc>
          <w:tcPr>
            <w:tcW w:w="927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 at first calving</w:t>
            </w:r>
          </w:p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(AFC, months)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862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**</w:t>
            </w:r>
          </w:p>
        </w:tc>
        <w:tc>
          <w:tcPr>
            <w:tcW w:w="811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&lt;24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82.5±4.51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60.0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±4.53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69.1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e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±0.016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4.1±0.30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24-27.9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85.0±1.86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58.6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±1.87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64.1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d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±0.012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4.1±0.13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28-31.9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84.8±1.60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55.5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±1.61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61.0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c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±0.011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3.9±0.11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32-35.9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84.7±2.28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51.2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±2.29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56.4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±0.014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3.7±0.15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≥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86.9±2.70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48.7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a;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±2.71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52.6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±0.014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3.6±0.18</w:t>
            </w:r>
          </w:p>
        </w:tc>
      </w:tr>
      <w:tr w:rsidR="006409A2" w:rsidRPr="009830D7" w:rsidTr="00B450D0">
        <w:tc>
          <w:tcPr>
            <w:tcW w:w="927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First lactation milk yield (FLMY, kg)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:rsidR="006409A2" w:rsidRPr="009830D7" w:rsidRDefault="006409A2" w:rsidP="00B450D0">
            <w:pPr>
              <w:spacing w:line="36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862" w:type="pct"/>
          </w:tcPr>
          <w:p w:rsidR="006409A2" w:rsidRPr="009830D7" w:rsidRDefault="006409A2" w:rsidP="00B450D0">
            <w:pPr>
              <w:spacing w:line="36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NS</w:t>
            </w:r>
          </w:p>
        </w:tc>
        <w:tc>
          <w:tcPr>
            <w:tcW w:w="811" w:type="pct"/>
          </w:tcPr>
          <w:p w:rsidR="006409A2" w:rsidRPr="009830D7" w:rsidRDefault="006409A2" w:rsidP="00B450D0">
            <w:pPr>
              <w:spacing w:line="36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&lt;1200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90.1±3.85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60.3±3.86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62.2±0.016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±0.26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1200-1999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82.4±2.85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52.4±2.86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59.6±0.012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±0.19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2000-2799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82.2±2.33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52.2±2.33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59. 8±0.010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±0.16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&gt;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920" w:type="pct"/>
          </w:tcPr>
          <w:p w:rsidR="006409A2" w:rsidRPr="009830D7" w:rsidRDefault="006409A2" w:rsidP="00B450D0">
            <w:pPr>
              <w:jc w:val="center"/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84.2±2.41</w:t>
            </w:r>
          </w:p>
        </w:tc>
        <w:tc>
          <w:tcPr>
            <w:tcW w:w="862" w:type="pct"/>
          </w:tcPr>
          <w:p w:rsidR="006409A2" w:rsidRPr="009830D7" w:rsidRDefault="006409A2" w:rsidP="00B450D0">
            <w:pPr>
              <w:jc w:val="center"/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54.3±2.41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61. 0±0.010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±0.16</w:t>
            </w:r>
          </w:p>
        </w:tc>
      </w:tr>
      <w:tr w:rsidR="006409A2" w:rsidRPr="009830D7" w:rsidTr="00B450D0">
        <w:tc>
          <w:tcPr>
            <w:tcW w:w="927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 of first calving (groups)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**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1982-1992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90.1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±1.91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60.3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±1.92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62.4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±0.008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±0.13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1993-2002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86.4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±1.77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56.4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±1.78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61.5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±0.008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±0.12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2003-2014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77.9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±1.99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47.8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±2.00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58.0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±0.008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±0.13</w:t>
            </w:r>
          </w:p>
        </w:tc>
      </w:tr>
      <w:tr w:rsidR="006409A2" w:rsidRPr="009830D7" w:rsidTr="00B450D0">
        <w:tc>
          <w:tcPr>
            <w:tcW w:w="927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Season of first calving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NS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Winter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84.7±1.96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54.8±1.96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60.7±0.008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3.9±0.132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84.7±2.00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54.7±2.00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60.6±0.008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3.8±0.135</w:t>
            </w:r>
          </w:p>
        </w:tc>
      </w:tr>
      <w:tr w:rsidR="006409A2" w:rsidRPr="009830D7" w:rsidTr="00B450D0">
        <w:tc>
          <w:tcPr>
            <w:tcW w:w="92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66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20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84.8±1.95</w:t>
            </w:r>
          </w:p>
        </w:tc>
        <w:tc>
          <w:tcPr>
            <w:tcW w:w="862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54.8±1.96</w:t>
            </w:r>
          </w:p>
        </w:tc>
        <w:tc>
          <w:tcPr>
            <w:tcW w:w="81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60.6±0.008</w:t>
            </w:r>
          </w:p>
        </w:tc>
        <w:tc>
          <w:tcPr>
            <w:tcW w:w="811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3.8±0.131</w:t>
            </w:r>
          </w:p>
        </w:tc>
      </w:tr>
      <w:tr w:rsidR="006409A2" w:rsidRPr="009830D7" w:rsidTr="00885827"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84.9±1.99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54.9±2.00</w:t>
            </w: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60.6±0.008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3.9±0.134</w:t>
            </w:r>
          </w:p>
        </w:tc>
      </w:tr>
    </w:tbl>
    <w:p w:rsidR="006409A2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830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Pr="009830D7">
        <w:rPr>
          <w:rFonts w:ascii="Times New Roman" w:eastAsia="Times New Roman" w:hAnsi="Times New Roman" w:cs="Times New Roman"/>
          <w:sz w:val="18"/>
          <w:szCs w:val="18"/>
        </w:rPr>
        <w:t>Within each classification, means not followed by the same letter differ s</w:t>
      </w:r>
      <w:r>
        <w:rPr>
          <w:rFonts w:ascii="Times New Roman" w:eastAsia="Times New Roman" w:hAnsi="Times New Roman" w:cs="Times New Roman"/>
          <w:sz w:val="18"/>
          <w:szCs w:val="18"/>
        </w:rPr>
        <w:t>ignificantly at the 5 % level; Total n</w:t>
      </w:r>
      <w:r w:rsidRPr="009830D7">
        <w:rPr>
          <w:rFonts w:ascii="Times New Roman" w:eastAsia="Times New Roman" w:hAnsi="Times New Roman" w:cs="Times New Roman"/>
          <w:sz w:val="18"/>
          <w:szCs w:val="18"/>
        </w:rPr>
        <w:t>umber of records = 1624; ** (</w:t>
      </w:r>
      <w:r w:rsidRPr="009830D7">
        <w:rPr>
          <w:rFonts w:ascii="Times New Roman" w:eastAsia="Times New Roman" w:hAnsi="Times New Roman" w:cs="Times New Roman"/>
          <w:i/>
          <w:iCs/>
          <w:sz w:val="18"/>
          <w:szCs w:val="18"/>
        </w:rPr>
        <w:t>P</w:t>
      </w:r>
      <w:r w:rsidRPr="009830D7">
        <w:rPr>
          <w:rFonts w:ascii="Times New Roman" w:eastAsia="Times New Roman" w:hAnsi="Times New Roman" w:cs="Times New Roman"/>
          <w:sz w:val="18"/>
          <w:szCs w:val="18"/>
        </w:rPr>
        <w:t>&lt; 0.01); NS = not significant.</w:t>
      </w:r>
    </w:p>
    <w:p w:rsidR="006409A2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09A2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09A2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09A2" w:rsidRPr="009830D7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  <w:r w:rsidRPr="009830D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lastRenderedPageBreak/>
        <w:t xml:space="preserve">Table 2. Least squares means and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 xml:space="preserve">their </w:t>
      </w:r>
      <w:r w:rsidRPr="009830D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>standard errors (LSM±SE) of productive lifetime traits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>.</w:t>
      </w:r>
      <w:r w:rsidRPr="009830D7"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751"/>
        <w:gridCol w:w="1946"/>
        <w:gridCol w:w="1952"/>
        <w:gridCol w:w="1950"/>
        <w:gridCol w:w="1643"/>
      </w:tblGrid>
      <w:tr w:rsidR="006409A2" w:rsidRPr="009830D7" w:rsidTr="00B450D0">
        <w:trPr>
          <w:trHeight w:val="1452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Classification</w:t>
            </w: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Lifetime milk production (LMP, kg)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Total lactation period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s</w:t>
            </w: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(TLP, days)</w:t>
            </w: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Lifetime daily milk production</w:t>
            </w:r>
          </w:p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(LDMP, kg)</w:t>
            </w: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Total dry period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>s</w:t>
            </w:r>
          </w:p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/>
              </w:rPr>
              <w:t xml:space="preserve"> (TDP, days)</w:t>
            </w:r>
          </w:p>
        </w:tc>
      </w:tr>
      <w:tr w:rsidR="006409A2" w:rsidRPr="009830D7" w:rsidTr="00B450D0">
        <w:tc>
          <w:tcPr>
            <w:tcW w:w="947" w:type="pct"/>
            <w:tcBorders>
              <w:top w:val="single" w:sz="4" w:space="0" w:color="auto"/>
            </w:tcBorders>
            <w:vAlign w:val="bottom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1053" w:type="pct"/>
            <w:tcBorders>
              <w:top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56" w:type="pct"/>
            <w:tcBorders>
              <w:top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55" w:type="pct"/>
            <w:tcBorders>
              <w:top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Shami</w:t>
            </w:r>
            <w:proofErr w:type="spellEnd"/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7713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±563.38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787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±33.43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2.7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±0.13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890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±25.55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Holstein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14406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±875.77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1049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±51.96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5.9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±0.20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275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±39.72</w:t>
            </w:r>
          </w:p>
        </w:tc>
      </w:tr>
      <w:tr w:rsidR="006409A2" w:rsidRPr="009830D7" w:rsidTr="00B450D0">
        <w:tc>
          <w:tcPr>
            <w:tcW w:w="947" w:type="pct"/>
            <w:vAlign w:val="bottom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Age at first calving (AFC, months)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≤24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10969±1412.62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956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±83.82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4.6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±0.32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729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c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±64.07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24-27.9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11833±583.36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977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±34.61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4.6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±0.13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604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cb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±26.46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28-31.9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11256±501.64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942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±29.76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4.3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±0.11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567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±22.75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32-35.9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10470±715.46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875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±42.45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3.9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±0.16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514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±32.45</w:t>
            </w:r>
          </w:p>
        </w:tc>
      </w:tr>
      <w:tr w:rsidR="006409A2" w:rsidRPr="009830D7" w:rsidTr="00B450D0">
        <w:trPr>
          <w:trHeight w:val="550"/>
        </w:trPr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D7">
              <w:rPr>
                <w:rFonts w:ascii="Times New Roman" w:eastAsia="Times New Roman" w:hAnsi="Times New Roman" w:cs="Times New Roman"/>
                <w:sz w:val="19"/>
                <w:szCs w:val="19"/>
              </w:rPr>
              <w:t>≥</w:t>
            </w:r>
            <w:r w:rsidRPr="009830D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10771±844.79</w:t>
            </w:r>
          </w:p>
          <w:p w:rsidR="006409A2" w:rsidRPr="009830D7" w:rsidRDefault="006409A2" w:rsidP="00B450D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842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±50.13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3.9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±0.19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497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±38.31</w:t>
            </w:r>
          </w:p>
        </w:tc>
      </w:tr>
      <w:tr w:rsidR="006409A2" w:rsidRPr="009830D7" w:rsidTr="00B450D0">
        <w:tc>
          <w:tcPr>
            <w:tcW w:w="947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First lactation milk yield (FLMY, kg)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**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&lt;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1200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10980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±1204.46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913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±71.47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3.6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±0.27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714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c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±129.53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1200-1999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9219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±892.54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833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±52.96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3.8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±0.20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589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cb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±60.24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2000-2799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10149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±728.57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885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±43.23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4.1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±0.17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552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±43.66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&gt;  2800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13891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±753.33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1042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±44.70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5.6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±0.17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473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±43.66</w:t>
            </w:r>
          </w:p>
        </w:tc>
      </w:tr>
      <w:tr w:rsidR="006409A2" w:rsidRPr="009830D7" w:rsidTr="00B450D0">
        <w:tc>
          <w:tcPr>
            <w:tcW w:w="947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Year of first calving (group)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1982-1992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11410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±597.95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977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±35.48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4.1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±0.136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678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c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±27.12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1993-2002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11494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±554.20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993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±32.88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4.3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±0.126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574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±25.13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2003-2014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10275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±622.82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785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±36.96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4.5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±0.142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495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±28.25</w:t>
            </w:r>
          </w:p>
        </w:tc>
      </w:tr>
      <w:tr w:rsidR="006409A2" w:rsidRPr="009830D7" w:rsidTr="00B450D0">
        <w:tc>
          <w:tcPr>
            <w:tcW w:w="947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Season of first calving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NS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Winter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11585±612.66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932±36.35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4.4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±0.140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582±27.79</w:t>
            </w:r>
          </w:p>
        </w:tc>
      </w:tr>
      <w:tr w:rsidR="006409A2" w:rsidRPr="009830D7" w:rsidTr="00B450D0"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10859±625.32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915±37.10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4.2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±0.143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586±28.36</w:t>
            </w:r>
          </w:p>
        </w:tc>
      </w:tr>
      <w:tr w:rsidR="006409A2" w:rsidRPr="009830D7" w:rsidTr="00B450D0">
        <w:trPr>
          <w:trHeight w:val="88"/>
        </w:trPr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Summer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10603±610.11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908±36.20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4.1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a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±0.139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579±27.67</w:t>
            </w:r>
          </w:p>
        </w:tc>
      </w:tr>
      <w:tr w:rsidR="006409A2" w:rsidRPr="009830D7" w:rsidTr="00B450D0">
        <w:trPr>
          <w:trHeight w:val="161"/>
        </w:trPr>
        <w:tc>
          <w:tcPr>
            <w:tcW w:w="947" w:type="pct"/>
            <w:vAlign w:val="center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Autumn</w:t>
            </w:r>
          </w:p>
        </w:tc>
        <w:tc>
          <w:tcPr>
            <w:tcW w:w="1053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11192±623.60</w:t>
            </w:r>
          </w:p>
        </w:tc>
        <w:tc>
          <w:tcPr>
            <w:tcW w:w="1056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918±37.0</w:t>
            </w:r>
          </w:p>
        </w:tc>
        <w:tc>
          <w:tcPr>
            <w:tcW w:w="1055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4.4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b</w:t>
            </w: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±0.142</w:t>
            </w:r>
          </w:p>
        </w:tc>
        <w:tc>
          <w:tcPr>
            <w:tcW w:w="889" w:type="pct"/>
          </w:tcPr>
          <w:p w:rsidR="006409A2" w:rsidRPr="009830D7" w:rsidRDefault="006409A2" w:rsidP="00B450D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830D7">
              <w:rPr>
                <w:rFonts w:asciiTheme="majorBidi" w:eastAsia="Times New Roman" w:hAnsiTheme="majorBidi" w:cstheme="majorBidi"/>
                <w:sz w:val="20"/>
                <w:szCs w:val="20"/>
              </w:rPr>
              <w:t>581±28.28</w:t>
            </w:r>
          </w:p>
        </w:tc>
      </w:tr>
    </w:tbl>
    <w:p w:rsidR="006409A2" w:rsidRPr="009830D7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830D7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Pr="009830D7">
        <w:rPr>
          <w:rFonts w:ascii="Times New Roman" w:eastAsia="Times New Roman" w:hAnsi="Times New Roman" w:cs="Times New Roman"/>
          <w:sz w:val="18"/>
          <w:szCs w:val="18"/>
        </w:rPr>
        <w:t>Within each classification in the same column means followed by different letters differ significantly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; Total </w:t>
      </w:r>
      <w:proofErr w:type="spellStart"/>
      <w:r w:rsidRPr="009830D7">
        <w:rPr>
          <w:rFonts w:ascii="Times New Roman" w:eastAsia="Times New Roman" w:hAnsi="Times New Roman" w:cs="Times New Roman"/>
          <w:sz w:val="18"/>
          <w:szCs w:val="18"/>
        </w:rPr>
        <w:t>umber</w:t>
      </w:r>
      <w:proofErr w:type="spellEnd"/>
      <w:r w:rsidRPr="009830D7">
        <w:rPr>
          <w:rFonts w:ascii="Times New Roman" w:eastAsia="Times New Roman" w:hAnsi="Times New Roman" w:cs="Times New Roman"/>
          <w:sz w:val="18"/>
          <w:szCs w:val="18"/>
        </w:rPr>
        <w:t xml:space="preserve"> of records = 1624; ** (</w:t>
      </w:r>
      <w:r w:rsidRPr="009830D7">
        <w:rPr>
          <w:rFonts w:ascii="Times New Roman" w:eastAsia="Times New Roman" w:hAnsi="Times New Roman" w:cs="Times New Roman"/>
          <w:i/>
          <w:iCs/>
          <w:sz w:val="18"/>
          <w:szCs w:val="18"/>
        </w:rPr>
        <w:t>P</w:t>
      </w:r>
      <w:r w:rsidRPr="009830D7">
        <w:rPr>
          <w:rFonts w:ascii="Times New Roman" w:eastAsia="Times New Roman" w:hAnsi="Times New Roman" w:cs="Times New Roman"/>
          <w:sz w:val="18"/>
          <w:szCs w:val="18"/>
        </w:rPr>
        <w:t>&lt; 0.01); NS = not significant.</w:t>
      </w:r>
    </w:p>
    <w:p w:rsidR="006409A2" w:rsidRPr="009830D7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09A2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09A2" w:rsidRPr="00643023" w:rsidRDefault="006409A2" w:rsidP="006409A2">
      <w:pPr>
        <w:spacing w:line="360" w:lineRule="auto"/>
        <w:jc w:val="both"/>
        <w:outlineLvl w:val="0"/>
        <w:rPr>
          <w:rFonts w:asciiTheme="majorBidi" w:eastAsia="Times New Roman" w:hAnsiTheme="majorBidi" w:cstheme="majorBidi"/>
          <w:color w:val="FF0000"/>
          <w:lang w:val="en-GB"/>
        </w:rPr>
      </w:pPr>
      <w:r w:rsidRPr="007F3045">
        <w:rPr>
          <w:rFonts w:asciiTheme="majorBidi" w:eastAsia="Times New Roman" w:hAnsiTheme="majorBidi" w:cstheme="majorBidi"/>
          <w:noProof/>
          <w:color w:val="FF0000"/>
          <w:lang w:val="en-GB" w:eastAsia="en-GB"/>
        </w:rPr>
        <w:lastRenderedPageBreak/>
        <w:drawing>
          <wp:inline distT="0" distB="0" distL="0" distR="0">
            <wp:extent cx="5727257" cy="2950234"/>
            <wp:effectExtent l="19050" t="0" r="25843" b="2516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409A2" w:rsidRPr="009830D7" w:rsidRDefault="006409A2" w:rsidP="006409A2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</w:t>
      </w:r>
      <w:r w:rsidR="00885827">
        <w:rPr>
          <w:rFonts w:ascii="Times New Roman" w:hAnsi="Times New Roman" w:cs="Times New Roman"/>
          <w:b/>
          <w:bCs/>
        </w:rPr>
        <w:t>ure</w:t>
      </w:r>
      <w:r>
        <w:rPr>
          <w:rFonts w:ascii="Times New Roman" w:hAnsi="Times New Roman" w:cs="Times New Roman"/>
          <w:b/>
          <w:bCs/>
        </w:rPr>
        <w:t>. 1. The ef</w:t>
      </w:r>
      <w:r w:rsidRPr="009830D7">
        <w:rPr>
          <w:rFonts w:ascii="Times New Roman" w:hAnsi="Times New Roman" w:cs="Times New Roman"/>
          <w:b/>
          <w:bCs/>
        </w:rPr>
        <w:t>fect of the most important factors on longevity and productive lifetime traits according to PLS</w:t>
      </w:r>
      <w:r>
        <w:rPr>
          <w:rFonts w:ascii="Times New Roman" w:hAnsi="Times New Roman" w:cs="Times New Roman"/>
          <w:b/>
          <w:bCs/>
        </w:rPr>
        <w:t>.</w:t>
      </w:r>
    </w:p>
    <w:p w:rsidR="006409A2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09A2" w:rsidRDefault="006409A2" w:rsidP="006409A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64B5F" w:rsidRDefault="00564B5F"/>
    <w:sectPr w:rsidR="00564B5F" w:rsidSect="00321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409A2"/>
    <w:rsid w:val="001D5600"/>
    <w:rsid w:val="003210B8"/>
    <w:rsid w:val="00564B5F"/>
    <w:rsid w:val="006409A2"/>
    <w:rsid w:val="00885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A2"/>
    <w:pPr>
      <w:spacing w:after="0" w:line="240" w:lineRule="auto"/>
    </w:pPr>
    <w:rPr>
      <w:rFonts w:ascii="Cambria" w:eastAsia="MS Mincho" w:hAnsi="Cambria" w:cs="Cambr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A2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&#1576;&#1581;&#1579;%20&#1575;&#1604;&#1581;&#1610;&#1575;&#1577;%20&#1575;&#1604;&#1575;&#1606;&#1578;&#1575;&#1580;&#1610;&#1577;%20&#1604;&#1605;&#1606;&#1581;&#1577;%20&#1575;&#1604;&#1576;&#1606;&#1603;%20&#1575;&#1604;&#1575;&#1587;&#1604;&#1575;&#1605;&#1610;\RES_S&amp;H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 lang="ar-EG" sz="1000" b="1">
                <a:latin typeface="Times New Roman" pitchFamily="18" charset="0"/>
                <a:ea typeface="Arial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VIPs (1 Comp / 95% conf. interval)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VIP(1)</c:v>
          </c:tx>
          <c:spPr>
            <a:solidFill>
              <a:srgbClr val="2A7498"/>
            </a:solidFill>
            <a:ln>
              <a:solidFill>
                <a:srgbClr val="000000"/>
              </a:solidFill>
              <a:prstDash val="solid"/>
            </a:ln>
          </c:spPr>
          <c:cat>
            <c:strRef>
              <c:f>'PLS-R'!$B$158:$B$175</c:f>
              <c:strCache>
                <c:ptCount val="18"/>
                <c:pt idx="0">
                  <c:v>Holstein</c:v>
                </c:pt>
                <c:pt idx="1">
                  <c:v>Shami</c:v>
                </c:pt>
                <c:pt idx="2">
                  <c:v>2-4  FLMY G</c:v>
                </c:pt>
                <c:pt idx="3">
                  <c:v>2-1 FLMY G</c:v>
                </c:pt>
                <c:pt idx="4">
                  <c:v>2-2 FLMY G</c:v>
                </c:pt>
                <c:pt idx="5">
                  <c:v>2-2 AFC G</c:v>
                </c:pt>
                <c:pt idx="6">
                  <c:v>3 YC G</c:v>
                </c:pt>
                <c:pt idx="7">
                  <c:v>1 YC G</c:v>
                </c:pt>
                <c:pt idx="8">
                  <c:v>2-4 AFC G</c:v>
                </c:pt>
                <c:pt idx="9">
                  <c:v>2-3  FLMY G</c:v>
                </c:pt>
                <c:pt idx="10">
                  <c:v>2 Sc</c:v>
                </c:pt>
                <c:pt idx="11">
                  <c:v>2-3 AFC G</c:v>
                </c:pt>
                <c:pt idx="12">
                  <c:v>2-1 AFC G</c:v>
                </c:pt>
                <c:pt idx="13">
                  <c:v>1 Sc</c:v>
                </c:pt>
                <c:pt idx="14">
                  <c:v>2-5 AFC G</c:v>
                </c:pt>
                <c:pt idx="15">
                  <c:v>2 YC G</c:v>
                </c:pt>
                <c:pt idx="16">
                  <c:v>4 Sc</c:v>
                </c:pt>
                <c:pt idx="17">
                  <c:v>3 Sc</c:v>
                </c:pt>
              </c:strCache>
            </c:strRef>
          </c:cat>
          <c:val>
            <c:numRef>
              <c:f>'PLS-R'!$C$158:$C$175</c:f>
              <c:numCache>
                <c:formatCode>0.000</c:formatCode>
                <c:ptCount val="18"/>
                <c:pt idx="0">
                  <c:v>2.1044767234864055</c:v>
                </c:pt>
                <c:pt idx="1">
                  <c:v>2.1044767234864055</c:v>
                </c:pt>
                <c:pt idx="2">
                  <c:v>1.959796821374679</c:v>
                </c:pt>
                <c:pt idx="3">
                  <c:v>1.5121899994949946</c:v>
                </c:pt>
                <c:pt idx="4">
                  <c:v>0.87951450091686656</c:v>
                </c:pt>
                <c:pt idx="5">
                  <c:v>0.81110116699676149</c:v>
                </c:pt>
                <c:pt idx="6">
                  <c:v>0.62146937461223051</c:v>
                </c:pt>
                <c:pt idx="7">
                  <c:v>0.55451323149198339</c:v>
                </c:pt>
                <c:pt idx="8">
                  <c:v>0.54617477469536713</c:v>
                </c:pt>
                <c:pt idx="9">
                  <c:v>0.39935963747800307</c:v>
                </c:pt>
                <c:pt idx="10">
                  <c:v>0.32533493323636642</c:v>
                </c:pt>
                <c:pt idx="11">
                  <c:v>0.28749945786519376</c:v>
                </c:pt>
                <c:pt idx="12">
                  <c:v>0.2648480497083498</c:v>
                </c:pt>
                <c:pt idx="13">
                  <c:v>0.26379590348841203</c:v>
                </c:pt>
                <c:pt idx="14">
                  <c:v>0.25668023543083135</c:v>
                </c:pt>
                <c:pt idx="15">
                  <c:v>0.12761787735905517</c:v>
                </c:pt>
                <c:pt idx="16">
                  <c:v>0.12318350295133919</c:v>
                </c:pt>
                <c:pt idx="17">
                  <c:v>7.9508024925307522E-2</c:v>
                </c:pt>
              </c:numCache>
            </c:numRef>
          </c:val>
        </c:ser>
        <c:gapWidth val="60"/>
        <c:overlap val="-30"/>
        <c:axId val="113517696"/>
        <c:axId val="114512640"/>
      </c:barChart>
      <c:scatterChart>
        <c:scatterStyle val="lineMarker"/>
        <c:ser>
          <c:idx val="1"/>
          <c:order val="1"/>
          <c:tx>
            <c:v/>
          </c:tx>
          <c:spPr>
            <a:ln w="12700">
              <a:solidFill>
                <a:srgbClr val="000000"/>
              </a:solidFill>
              <a:prstDash val="sysDash"/>
            </a:ln>
            <a:effectLst/>
          </c:spPr>
          <c:marker>
            <c:symbol val="none"/>
          </c:marker>
          <c:xVal>
            <c:numLit>
              <c:formatCode>General</c:formatCode>
              <c:ptCount val="2"/>
              <c:pt idx="0">
                <c:v>0</c:v>
              </c:pt>
              <c:pt idx="1">
                <c:v>18</c:v>
              </c:pt>
            </c:numLit>
          </c:xVal>
          <c:yVal>
            <c:numLit>
              <c:formatCode>General</c:formatCode>
              <c:ptCount val="2"/>
              <c:pt idx="0">
                <c:v>0.8</c:v>
              </c:pt>
              <c:pt idx="1">
                <c:v>0.8</c:v>
              </c:pt>
            </c:numLit>
          </c:yVal>
        </c:ser>
        <c:ser>
          <c:idx val="2"/>
          <c:order val="2"/>
          <c:tx>
            <c:v/>
          </c:tx>
          <c:spPr>
            <a:ln w="12700">
              <a:solidFill>
                <a:srgbClr val="000000"/>
              </a:solidFill>
              <a:prstDash val="sysDash"/>
            </a:ln>
            <a:effectLst/>
          </c:spPr>
          <c:marker>
            <c:symbol val="none"/>
          </c:marker>
          <c:xVal>
            <c:numLit>
              <c:formatCode>General</c:formatCode>
              <c:ptCount val="2"/>
              <c:pt idx="0">
                <c:v>0</c:v>
              </c:pt>
              <c:pt idx="1">
                <c:v>18</c:v>
              </c:pt>
            </c:numLit>
          </c:xVal>
          <c:yVal>
            <c:numLit>
              <c:formatCode>General</c:formatCode>
              <c:ptCount val="2"/>
              <c:pt idx="0">
                <c:v>1</c:v>
              </c:pt>
              <c:pt idx="1">
                <c:v>1</c:v>
              </c:pt>
            </c:numLit>
          </c:yVal>
        </c:ser>
        <c:axId val="114547328"/>
        <c:axId val="114514560"/>
      </c:scatterChart>
      <c:catAx>
        <c:axId val="1135176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ar-EG" sz="800" b="0">
                    <a:latin typeface="Arial"/>
                    <a:ea typeface="Arial"/>
                    <a:cs typeface="Arial"/>
                  </a:defRPr>
                </a:pPr>
                <a:r>
                  <a:rPr lang="en-US" sz="1000" b="1">
                    <a:latin typeface="Times New Roman" pitchFamily="18" charset="0"/>
                    <a:cs typeface="Times New Roman" pitchFamily="18" charset="0"/>
                  </a:rPr>
                  <a:t>Variable</a:t>
                </a:r>
              </a:p>
            </c:rich>
          </c:tx>
        </c:title>
        <c:numFmt formatCode="General" sourceLinked="0"/>
        <c:majorTickMark val="cross"/>
        <c:tickLblPos val="nextTo"/>
        <c:txPr>
          <a:bodyPr rot="-60000000" vert="horz"/>
          <a:lstStyle/>
          <a:p>
            <a:pPr>
              <a:defRPr lang="ar-EG" sz="1000" b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14512640"/>
        <c:crosses val="autoZero"/>
        <c:auto val="1"/>
        <c:lblAlgn val="ctr"/>
        <c:lblOffset val="100"/>
      </c:catAx>
      <c:valAx>
        <c:axId val="11451264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ar-EG" sz="800" b="0">
                    <a:latin typeface="Arial"/>
                    <a:ea typeface="Arial"/>
                    <a:cs typeface="Arial"/>
                  </a:defRPr>
                </a:pPr>
                <a:r>
                  <a:rPr lang="en-US" sz="1000" b="1">
                    <a:latin typeface="Times New Roman" pitchFamily="18" charset="0"/>
                    <a:cs typeface="Times New Roman" pitchFamily="18" charset="0"/>
                  </a:rPr>
                  <a:t>Variable Importance in the Projection (VIP)</a:t>
                </a:r>
              </a:p>
            </c:rich>
          </c:tx>
          <c:layout>
            <c:manualLayout>
              <c:xMode val="edge"/>
              <c:yMode val="edge"/>
              <c:x val="2.2158209616663215E-2"/>
              <c:y val="0.10555949630621575"/>
            </c:manualLayout>
          </c:layout>
        </c:title>
        <c:numFmt formatCode="General" sourceLinked="0"/>
        <c:majorTickMark val="cross"/>
        <c:tickLblPos val="nextTo"/>
        <c:txPr>
          <a:bodyPr/>
          <a:lstStyle/>
          <a:p>
            <a:pPr>
              <a:defRPr lang="ar-EG" sz="10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13517696"/>
        <c:crosses val="autoZero"/>
        <c:crossBetween val="between"/>
      </c:valAx>
      <c:valAx>
        <c:axId val="114514560"/>
        <c:scaling>
          <c:orientation val="minMax"/>
          <c:max val="2.5"/>
          <c:min val="0"/>
        </c:scaling>
        <c:delete val="1"/>
        <c:axPos val="r"/>
        <c:numFmt formatCode="General" sourceLinked="1"/>
        <c:majorTickMark val="none"/>
        <c:tickLblPos val="none"/>
        <c:crossAx val="114547328"/>
        <c:crosses val="max"/>
        <c:crossBetween val="midCat"/>
      </c:valAx>
      <c:valAx>
        <c:axId val="114547328"/>
        <c:scaling>
          <c:orientation val="minMax"/>
          <c:max val="18"/>
          <c:min val="0"/>
        </c:scaling>
        <c:axPos val="t"/>
        <c:numFmt formatCode="General" sourceLinked="1"/>
        <c:majorTickMark val="none"/>
        <c:tickLblPos val="none"/>
        <c:spPr>
          <a:ln>
            <a:noFill/>
          </a:ln>
        </c:spPr>
        <c:txPr>
          <a:bodyPr/>
          <a:lstStyle/>
          <a:p>
            <a:pPr>
              <a:defRPr lang="ar-EG"/>
            </a:pPr>
            <a:endParaRPr lang="en-US"/>
          </a:p>
        </c:txPr>
        <c:crossAx val="114514560"/>
        <c:crosses val="max"/>
        <c:crossBetween val="midCat"/>
        <c:majorUnit val="5"/>
      </c:valAx>
      <c:spPr>
        <a:ln>
          <a:solidFill>
            <a:srgbClr val="C0C0C0"/>
          </a:solidFill>
          <a:prstDash val="solid"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2023-02-19T10:52:00Z</dcterms:created>
  <dcterms:modified xsi:type="dcterms:W3CDTF">2023-02-19T11:23:00Z</dcterms:modified>
</cp:coreProperties>
</file>