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6DCEC" w14:textId="27429DAF" w:rsidR="00F32718" w:rsidRPr="000D72AD" w:rsidRDefault="00F32718" w:rsidP="00F32718">
      <w:pPr>
        <w:spacing w:line="480" w:lineRule="auto"/>
        <w:rPr>
          <w:b/>
          <w:sz w:val="18"/>
          <w:szCs w:val="18"/>
        </w:rPr>
      </w:pPr>
      <w:r w:rsidRPr="000D72AD">
        <w:rPr>
          <w:b/>
          <w:sz w:val="18"/>
          <w:szCs w:val="18"/>
        </w:rPr>
        <w:t>Running title: E</w:t>
      </w:r>
      <w:r>
        <w:rPr>
          <w:b/>
          <w:sz w:val="18"/>
          <w:szCs w:val="18"/>
        </w:rPr>
        <w:t xml:space="preserve">ssential mineral, Volcanic soil and forages, Eruption-impacted areas, Beef cattle </w:t>
      </w:r>
      <w:r w:rsidR="00AA0CAE">
        <w:rPr>
          <w:b/>
          <w:sz w:val="18"/>
          <w:szCs w:val="18"/>
        </w:rPr>
        <w:t>nutrition</w:t>
      </w:r>
    </w:p>
    <w:p w14:paraId="554C2D68" w14:textId="77777777" w:rsidR="00F32718" w:rsidRDefault="00F32718" w:rsidP="00F32718">
      <w:pPr>
        <w:spacing w:line="360" w:lineRule="auto"/>
        <w:rPr>
          <w:b/>
          <w:bCs/>
          <w:sz w:val="28"/>
          <w:szCs w:val="28"/>
        </w:rPr>
      </w:pPr>
    </w:p>
    <w:p w14:paraId="4C4BF3E2" w14:textId="41C3F498" w:rsidR="0072151C" w:rsidRPr="00265DCB" w:rsidRDefault="00503622" w:rsidP="00DE2918">
      <w:pPr>
        <w:spacing w:line="360" w:lineRule="auto"/>
        <w:jc w:val="center"/>
        <w:rPr>
          <w:b/>
          <w:bCs/>
          <w:sz w:val="28"/>
          <w:szCs w:val="28"/>
        </w:rPr>
      </w:pPr>
      <w:r w:rsidRPr="00265DCB">
        <w:rPr>
          <w:b/>
          <w:bCs/>
          <w:sz w:val="28"/>
          <w:szCs w:val="28"/>
        </w:rPr>
        <w:t>Essential Mineral</w:t>
      </w:r>
      <w:r w:rsidR="00560707">
        <w:rPr>
          <w:b/>
          <w:bCs/>
          <w:sz w:val="28"/>
          <w:szCs w:val="28"/>
        </w:rPr>
        <w:t xml:space="preserve"> Profile</w:t>
      </w:r>
      <w:r w:rsidR="00CE5C67" w:rsidRPr="00265DCB">
        <w:rPr>
          <w:b/>
          <w:bCs/>
          <w:sz w:val="28"/>
          <w:szCs w:val="28"/>
        </w:rPr>
        <w:t>s in</w:t>
      </w:r>
      <w:r w:rsidRPr="00265DCB">
        <w:rPr>
          <w:b/>
          <w:bCs/>
          <w:sz w:val="28"/>
          <w:szCs w:val="28"/>
        </w:rPr>
        <w:t xml:space="preserve"> </w:t>
      </w:r>
      <w:r w:rsidR="003909E3" w:rsidRPr="00265DCB">
        <w:rPr>
          <w:b/>
          <w:bCs/>
          <w:sz w:val="28"/>
          <w:szCs w:val="28"/>
        </w:rPr>
        <w:t>Soils</w:t>
      </w:r>
      <w:r w:rsidR="008B4357" w:rsidRPr="00265DCB">
        <w:rPr>
          <w:b/>
          <w:bCs/>
          <w:sz w:val="28"/>
          <w:szCs w:val="28"/>
        </w:rPr>
        <w:t xml:space="preserve"> and Forages</w:t>
      </w:r>
      <w:r w:rsidR="004B48ED">
        <w:rPr>
          <w:b/>
          <w:bCs/>
          <w:sz w:val="28"/>
          <w:szCs w:val="28"/>
        </w:rPr>
        <w:t xml:space="preserve"> in </w:t>
      </w:r>
      <w:r w:rsidR="004B48ED" w:rsidRPr="000D72AD">
        <w:rPr>
          <w:b/>
          <w:sz w:val="28"/>
          <w:szCs w:val="28"/>
        </w:rPr>
        <w:t xml:space="preserve">Indonesia’s </w:t>
      </w:r>
      <w:r w:rsidR="004B48ED">
        <w:rPr>
          <w:b/>
          <w:sz w:val="28"/>
          <w:szCs w:val="28"/>
        </w:rPr>
        <w:t>Active Volcanoes</w:t>
      </w:r>
      <w:r w:rsidR="00CE5C67" w:rsidRPr="00265DCB">
        <w:rPr>
          <w:b/>
          <w:bCs/>
          <w:sz w:val="28"/>
          <w:szCs w:val="28"/>
        </w:rPr>
        <w:t xml:space="preserve">: </w:t>
      </w:r>
      <w:r w:rsidR="00560707">
        <w:rPr>
          <w:b/>
          <w:bCs/>
          <w:sz w:val="28"/>
          <w:szCs w:val="28"/>
        </w:rPr>
        <w:t xml:space="preserve">Implication for </w:t>
      </w:r>
      <w:r w:rsidR="002D60E3" w:rsidRPr="00265DCB">
        <w:rPr>
          <w:b/>
          <w:bCs/>
          <w:sz w:val="28"/>
          <w:szCs w:val="28"/>
        </w:rPr>
        <w:t>Beef</w:t>
      </w:r>
      <w:r w:rsidR="00B07D0C" w:rsidRPr="00265DCB">
        <w:rPr>
          <w:b/>
          <w:bCs/>
          <w:sz w:val="28"/>
          <w:szCs w:val="28"/>
        </w:rPr>
        <w:t xml:space="preserve"> Cattle</w:t>
      </w:r>
      <w:r w:rsidR="00560707">
        <w:rPr>
          <w:b/>
          <w:bCs/>
          <w:sz w:val="28"/>
          <w:szCs w:val="28"/>
        </w:rPr>
        <w:t xml:space="preserve"> Nutrition</w:t>
      </w:r>
      <w:r w:rsidR="00B07D0C" w:rsidRPr="00265DCB">
        <w:rPr>
          <w:b/>
          <w:bCs/>
          <w:sz w:val="28"/>
          <w:szCs w:val="28"/>
        </w:rPr>
        <w:t xml:space="preserve"> </w:t>
      </w:r>
      <w:r w:rsidR="00142FC9" w:rsidRPr="00265DCB">
        <w:rPr>
          <w:b/>
          <w:bCs/>
          <w:sz w:val="28"/>
          <w:szCs w:val="28"/>
        </w:rPr>
        <w:t>in the Eruption-Impacted Areas</w:t>
      </w:r>
    </w:p>
    <w:p w14:paraId="18D7FBA5" w14:textId="77777777" w:rsidR="0072151C" w:rsidRPr="00265DCB" w:rsidRDefault="0072151C" w:rsidP="0072151C">
      <w:pPr>
        <w:jc w:val="both"/>
      </w:pPr>
    </w:p>
    <w:p w14:paraId="30DDBAEA" w14:textId="3363FC5A" w:rsidR="0072151C" w:rsidRPr="00265DCB" w:rsidRDefault="00267322" w:rsidP="0072151C">
      <w:pPr>
        <w:jc w:val="center"/>
        <w:rPr>
          <w:b/>
          <w:bCs/>
        </w:rPr>
      </w:pPr>
      <w:r w:rsidRPr="00265DCB">
        <w:rPr>
          <w:b/>
          <w:bCs/>
        </w:rPr>
        <w:t>Khalil</w:t>
      </w:r>
      <w:r w:rsidRPr="00265DCB">
        <w:rPr>
          <w:b/>
          <w:bCs/>
          <w:vertAlign w:val="superscript"/>
        </w:rPr>
        <w:t>1</w:t>
      </w:r>
      <w:r w:rsidRPr="00265DCB">
        <w:rPr>
          <w:b/>
          <w:bCs/>
        </w:rPr>
        <w:t>, Dwi Ananta</w:t>
      </w:r>
      <w:r w:rsidR="00DE2918" w:rsidRPr="00265DCB">
        <w:rPr>
          <w:b/>
          <w:bCs/>
          <w:vertAlign w:val="superscript"/>
        </w:rPr>
        <w:t>2</w:t>
      </w:r>
      <w:r w:rsidRPr="00265DCB">
        <w:rPr>
          <w:b/>
          <w:bCs/>
        </w:rPr>
        <w:t>, Reni Novia</w:t>
      </w:r>
      <w:r w:rsidR="00DE2918" w:rsidRPr="00265DCB">
        <w:rPr>
          <w:b/>
          <w:bCs/>
          <w:vertAlign w:val="superscript"/>
        </w:rPr>
        <w:t>3</w:t>
      </w:r>
      <w:r w:rsidRPr="00265DCB">
        <w:rPr>
          <w:b/>
          <w:bCs/>
        </w:rPr>
        <w:t>, Suyitman</w:t>
      </w:r>
      <w:r w:rsidR="00DE2918" w:rsidRPr="00265DCB">
        <w:rPr>
          <w:b/>
          <w:bCs/>
          <w:vertAlign w:val="superscript"/>
        </w:rPr>
        <w:t>4</w:t>
      </w:r>
      <w:r w:rsidRPr="00265DCB">
        <w:rPr>
          <w:b/>
          <w:bCs/>
        </w:rPr>
        <w:t xml:space="preserve"> and Joelal Achmadi</w:t>
      </w:r>
      <w:r w:rsidR="00DE2918" w:rsidRPr="00265DCB">
        <w:rPr>
          <w:b/>
          <w:bCs/>
          <w:vertAlign w:val="superscript"/>
        </w:rPr>
        <w:t>5*</w:t>
      </w:r>
    </w:p>
    <w:p w14:paraId="455871E8" w14:textId="77777777" w:rsidR="0072151C" w:rsidRPr="00265DCB" w:rsidRDefault="0072151C" w:rsidP="0072151C">
      <w:pPr>
        <w:jc w:val="both"/>
      </w:pPr>
    </w:p>
    <w:p w14:paraId="6D16B562" w14:textId="77777777" w:rsidR="0072151C" w:rsidRPr="00265DCB" w:rsidRDefault="00267322" w:rsidP="00A1039E">
      <w:pPr>
        <w:jc w:val="center"/>
      </w:pPr>
      <w:r w:rsidRPr="00265DCB">
        <w:rPr>
          <w:vertAlign w:val="superscript"/>
        </w:rPr>
        <w:t>1</w:t>
      </w:r>
      <w:r w:rsidRPr="00265DCB">
        <w:t xml:space="preserve"> Department of Animal Nutrition and Feed Technology, Faculty of Animal Science, </w:t>
      </w:r>
      <w:proofErr w:type="spellStart"/>
      <w:r w:rsidRPr="00265DCB">
        <w:t>Andalas</w:t>
      </w:r>
      <w:proofErr w:type="spellEnd"/>
      <w:r w:rsidRPr="00265DCB">
        <w:t xml:space="preserve"> University, Campus II </w:t>
      </w:r>
      <w:proofErr w:type="spellStart"/>
      <w:r w:rsidRPr="00265DCB">
        <w:t>Payakumbuh</w:t>
      </w:r>
      <w:proofErr w:type="spellEnd"/>
      <w:r w:rsidRPr="00265DCB">
        <w:t>, West Sumatra, Indonesia</w:t>
      </w:r>
    </w:p>
    <w:p w14:paraId="0408048D" w14:textId="674A5DEB" w:rsidR="00DE2918" w:rsidRPr="00265DCB" w:rsidRDefault="00DE2918" w:rsidP="00A1039E">
      <w:pPr>
        <w:jc w:val="center"/>
      </w:pPr>
      <w:r w:rsidRPr="00265DCB">
        <w:rPr>
          <w:vertAlign w:val="superscript"/>
        </w:rPr>
        <w:t>2</w:t>
      </w:r>
      <w:r w:rsidRPr="00265DCB">
        <w:t xml:space="preserve">Department of Animal Production and Technology, State Agricultural Polytechnic of </w:t>
      </w:r>
      <w:proofErr w:type="spellStart"/>
      <w:r w:rsidRPr="00265DCB">
        <w:t>Payakumbuh</w:t>
      </w:r>
      <w:proofErr w:type="spellEnd"/>
      <w:r w:rsidRPr="00265DCB">
        <w:t xml:space="preserve">, </w:t>
      </w:r>
      <w:proofErr w:type="spellStart"/>
      <w:r w:rsidRPr="00265DCB">
        <w:t>Payakumbuh</w:t>
      </w:r>
      <w:proofErr w:type="spellEnd"/>
      <w:r w:rsidRPr="00265DCB">
        <w:t>, West Sumatra, Indonesia</w:t>
      </w:r>
    </w:p>
    <w:p w14:paraId="1B396438" w14:textId="0F8FF107" w:rsidR="0072151C" w:rsidRPr="00265DCB" w:rsidRDefault="00DE2918" w:rsidP="00A1039E">
      <w:pPr>
        <w:jc w:val="center"/>
      </w:pPr>
      <w:r w:rsidRPr="00265DCB">
        <w:rPr>
          <w:vertAlign w:val="superscript"/>
        </w:rPr>
        <w:t>3</w:t>
      </w:r>
      <w:r w:rsidRPr="00265DCB">
        <w:t xml:space="preserve"> Department of Veterinary Paramedic, State Agricultural Polytechnic of </w:t>
      </w:r>
      <w:proofErr w:type="spellStart"/>
      <w:r w:rsidRPr="00265DCB">
        <w:t>Payakumbuh</w:t>
      </w:r>
      <w:proofErr w:type="spellEnd"/>
      <w:r w:rsidRPr="00265DCB">
        <w:t xml:space="preserve">, </w:t>
      </w:r>
      <w:proofErr w:type="spellStart"/>
      <w:r w:rsidRPr="00265DCB">
        <w:t>Payakumbuh</w:t>
      </w:r>
      <w:proofErr w:type="spellEnd"/>
      <w:r w:rsidRPr="00265DCB">
        <w:t>, West Sumatra, Indonesia</w:t>
      </w:r>
    </w:p>
    <w:p w14:paraId="03C67650" w14:textId="457D8A7D" w:rsidR="0072151C" w:rsidRPr="00265DCB" w:rsidRDefault="00DE2918" w:rsidP="00A1039E">
      <w:pPr>
        <w:jc w:val="center"/>
      </w:pPr>
      <w:r w:rsidRPr="00265DCB">
        <w:rPr>
          <w:vertAlign w:val="superscript"/>
        </w:rPr>
        <w:t>4</w:t>
      </w:r>
      <w:r w:rsidRPr="00265DCB">
        <w:t xml:space="preserve"> Department of Animal Nutrition and Feed Technology, Faculty of Animal Science, </w:t>
      </w:r>
      <w:proofErr w:type="spellStart"/>
      <w:r w:rsidRPr="00265DCB">
        <w:t>Andalas</w:t>
      </w:r>
      <w:proofErr w:type="spellEnd"/>
      <w:r w:rsidRPr="00265DCB">
        <w:t xml:space="preserve"> University</w:t>
      </w:r>
    </w:p>
    <w:p w14:paraId="6FB596DA" w14:textId="149FD514" w:rsidR="0072151C" w:rsidRPr="00265DCB" w:rsidRDefault="00DE2918" w:rsidP="00A1039E">
      <w:pPr>
        <w:jc w:val="center"/>
      </w:pPr>
      <w:r w:rsidRPr="00265DCB">
        <w:rPr>
          <w:vertAlign w:val="superscript"/>
        </w:rPr>
        <w:t>5</w:t>
      </w:r>
      <w:r w:rsidRPr="00265DCB">
        <w:t xml:space="preserve"> Department of Animal Science, Faculty of Agriculture and Anima</w:t>
      </w:r>
      <w:r w:rsidR="00497728">
        <w:t xml:space="preserve">l Science, </w:t>
      </w:r>
      <w:r w:rsidR="00497728">
        <w:rPr>
          <w:lang w:val="id-ID"/>
        </w:rPr>
        <w:t xml:space="preserve">Universitas </w:t>
      </w:r>
      <w:proofErr w:type="spellStart"/>
      <w:r w:rsidR="00497728">
        <w:t>Diponegoro</w:t>
      </w:r>
      <w:proofErr w:type="spellEnd"/>
      <w:r w:rsidRPr="00265DCB">
        <w:t>, Semarang, Indonesia</w:t>
      </w:r>
    </w:p>
    <w:p w14:paraId="24692774" w14:textId="77777777" w:rsidR="0072151C" w:rsidRPr="00265DCB" w:rsidRDefault="0072151C" w:rsidP="0072151C">
      <w:pPr>
        <w:jc w:val="center"/>
      </w:pPr>
    </w:p>
    <w:p w14:paraId="711B4329" w14:textId="1A7DCF8E" w:rsidR="0072151C" w:rsidRPr="00265DCB" w:rsidRDefault="00267322" w:rsidP="0072151C">
      <w:pPr>
        <w:jc w:val="center"/>
      </w:pPr>
      <w:r w:rsidRPr="00265DCB">
        <w:t xml:space="preserve">*Corresponding Author Email: </w:t>
      </w:r>
      <w:hyperlink r:id="rId8" w:history="1">
        <w:r w:rsidR="00DE2918" w:rsidRPr="00265DCB">
          <w:rPr>
            <w:rStyle w:val="Hyperlink"/>
          </w:rPr>
          <w:t>achmadij59@gmail.com</w:t>
        </w:r>
      </w:hyperlink>
    </w:p>
    <w:p w14:paraId="3DEC7AAC" w14:textId="77777777" w:rsidR="0072151C" w:rsidRPr="00265DCB" w:rsidRDefault="0072151C" w:rsidP="0072151C">
      <w:pPr>
        <w:jc w:val="both"/>
      </w:pPr>
    </w:p>
    <w:p w14:paraId="342AFF36" w14:textId="77777777" w:rsidR="0072151C" w:rsidRPr="00265DCB" w:rsidRDefault="00267322" w:rsidP="0072151C">
      <w:pPr>
        <w:jc w:val="center"/>
      </w:pPr>
      <w:r w:rsidRPr="00265DCB">
        <w:t>ABSTRACT</w:t>
      </w:r>
    </w:p>
    <w:p w14:paraId="3159CA22" w14:textId="77777777" w:rsidR="0072151C" w:rsidRPr="00265DCB" w:rsidRDefault="0072151C" w:rsidP="0072151C">
      <w:pPr>
        <w:jc w:val="center"/>
      </w:pPr>
    </w:p>
    <w:p w14:paraId="5DCB497B" w14:textId="37BB183C" w:rsidR="00092333" w:rsidRPr="00265DCB" w:rsidRDefault="00764602" w:rsidP="00092333">
      <w:pPr>
        <w:jc w:val="both"/>
      </w:pPr>
      <w:bookmarkStart w:id="0" w:name="OLE_LINK3"/>
      <w:bookmarkStart w:id="1" w:name="OLE_LINK4"/>
      <w:r w:rsidRPr="00265DCB">
        <w:t>A study was c</w:t>
      </w:r>
      <w:r w:rsidR="00550F8E" w:rsidRPr="00265DCB">
        <w:t>onducted</w:t>
      </w:r>
      <w:r w:rsidR="002252F0" w:rsidRPr="00265DCB">
        <w:t xml:space="preserve"> to </w:t>
      </w:r>
      <w:r w:rsidRPr="00265DCB">
        <w:t>determine the</w:t>
      </w:r>
      <w:r w:rsidR="002252F0" w:rsidRPr="00265DCB">
        <w:t xml:space="preserve"> essential mineral concentrations </w:t>
      </w:r>
      <w:r w:rsidRPr="00265DCB">
        <w:t>of</w:t>
      </w:r>
      <w:r w:rsidR="002D60E3" w:rsidRPr="00265DCB">
        <w:t xml:space="preserve"> </w:t>
      </w:r>
      <w:r w:rsidR="002252F0" w:rsidRPr="00265DCB">
        <w:t>volcanic soils and forages</w:t>
      </w:r>
      <w:r w:rsidRPr="00265DCB">
        <w:t xml:space="preserve"> in </w:t>
      </w:r>
      <w:r w:rsidR="00680BA1" w:rsidRPr="00265DCB">
        <w:t xml:space="preserve">different </w:t>
      </w:r>
      <w:r w:rsidRPr="00265DCB">
        <w:t xml:space="preserve">eruption-impacted areas </w:t>
      </w:r>
      <w:r w:rsidR="00760CE0" w:rsidRPr="00265DCB">
        <w:t>and</w:t>
      </w:r>
      <w:r w:rsidR="002252F0" w:rsidRPr="00265DCB">
        <w:t xml:space="preserve"> discuss the possible effects </w:t>
      </w:r>
      <w:r w:rsidR="004143DB" w:rsidRPr="00265DCB">
        <w:t>on</w:t>
      </w:r>
      <w:r w:rsidR="002252F0" w:rsidRPr="00265DCB">
        <w:t xml:space="preserve"> </w:t>
      </w:r>
      <w:r w:rsidR="002D60E3" w:rsidRPr="00265DCB">
        <w:t>beef</w:t>
      </w:r>
      <w:r w:rsidR="002252F0" w:rsidRPr="00265DCB">
        <w:t xml:space="preserve"> cattle</w:t>
      </w:r>
      <w:r w:rsidR="00AA0CAE">
        <w:t xml:space="preserve"> nutrition</w:t>
      </w:r>
      <w:r w:rsidR="002252F0" w:rsidRPr="00265DCB">
        <w:t>. A total of 75 forage and topsoil samples were collected in the eruption-impacted areas of five active volcanoes located on different islands</w:t>
      </w:r>
      <w:r w:rsidR="001B3AF2" w:rsidRPr="00265DCB">
        <w:t xml:space="preserve"> in Indonesia</w:t>
      </w:r>
      <w:r w:rsidR="002252F0" w:rsidRPr="00265DCB">
        <w:t xml:space="preserve">: </w:t>
      </w:r>
      <w:proofErr w:type="spellStart"/>
      <w:r w:rsidR="002252F0" w:rsidRPr="00265DCB">
        <w:t>Agung</w:t>
      </w:r>
      <w:proofErr w:type="spellEnd"/>
      <w:r w:rsidR="002252F0" w:rsidRPr="00265DCB">
        <w:t xml:space="preserve"> Mount (Bali), </w:t>
      </w:r>
      <w:proofErr w:type="spellStart"/>
      <w:r w:rsidR="002252F0" w:rsidRPr="00265DCB">
        <w:t>Gamalama</w:t>
      </w:r>
      <w:proofErr w:type="spellEnd"/>
      <w:r w:rsidR="002252F0" w:rsidRPr="00265DCB">
        <w:t xml:space="preserve"> (North Maluku), </w:t>
      </w:r>
      <w:proofErr w:type="spellStart"/>
      <w:r w:rsidR="002252F0" w:rsidRPr="00265DCB">
        <w:t>Lokon</w:t>
      </w:r>
      <w:proofErr w:type="spellEnd"/>
      <w:r w:rsidR="002252F0" w:rsidRPr="00265DCB">
        <w:t xml:space="preserve"> (</w:t>
      </w:r>
      <w:proofErr w:type="spellStart"/>
      <w:r w:rsidR="002252F0" w:rsidRPr="00265DCB">
        <w:t>Noth</w:t>
      </w:r>
      <w:proofErr w:type="spellEnd"/>
      <w:r w:rsidR="002252F0" w:rsidRPr="00265DCB">
        <w:t xml:space="preserve"> Sulawesi), </w:t>
      </w:r>
      <w:proofErr w:type="spellStart"/>
      <w:r w:rsidR="002252F0" w:rsidRPr="00265DCB">
        <w:t>Merapi</w:t>
      </w:r>
      <w:proofErr w:type="spellEnd"/>
      <w:r w:rsidR="002252F0" w:rsidRPr="00265DCB">
        <w:t xml:space="preserve"> (Central Java), and Sinabung (North Sumatra). The samples were analyzed for the essential macro minerals (Ca, P, Mg, K, Na, S) and trace elements (Fe, Zn, Cu, Mn, Co, Se). Results found that Ca forage varied from 0.52 to 0.76 ppm, P: 0.09-0.36%, Mg: 0.26-0.39%, K:1.55-4.21%, Na: 0.09-0.12%, and S: 0.12-0.65%. The Fe concentration of 109-308 ppm was the most varied trace element in the forages, followed by Mn (30-186 ppm, and Zn (50-85 ppm). The </w:t>
      </w:r>
      <w:r w:rsidR="004143DB" w:rsidRPr="00265DCB">
        <w:t>soils</w:t>
      </w:r>
      <w:r w:rsidR="002252F0" w:rsidRPr="00265DCB">
        <w:t xml:space="preserve"> Ca, Mg, Na, and S varied from 0.38-0.87, 0.07-0</w:t>
      </w:r>
      <w:r w:rsidR="002D60E3" w:rsidRPr="00265DCB">
        <w:t>.</w:t>
      </w:r>
      <w:r w:rsidR="002252F0" w:rsidRPr="00265DCB">
        <w:t>71, 0</w:t>
      </w:r>
      <w:r w:rsidR="002D60E3" w:rsidRPr="00265DCB">
        <w:t>.</w:t>
      </w:r>
      <w:r w:rsidR="002252F0" w:rsidRPr="00265DCB">
        <w:t>09-0</w:t>
      </w:r>
      <w:r w:rsidR="002D60E3" w:rsidRPr="00265DCB">
        <w:t>.</w:t>
      </w:r>
      <w:r w:rsidR="002252F0" w:rsidRPr="00265DCB">
        <w:t xml:space="preserve">14, and 0.01-0.07%, respectively. The potential P and Mg ranged from 48.83-174.87 and 23.99-39.97 mg/100 g, respectively. The </w:t>
      </w:r>
      <w:r w:rsidR="004143DB" w:rsidRPr="00265DCB">
        <w:t>soil was</w:t>
      </w:r>
      <w:r w:rsidR="002252F0" w:rsidRPr="00265DCB">
        <w:t xml:space="preserve"> considerably rich in Fe (142,230-20,252 ppm), followed by Mn (66-180 ppm), Zn (37-56 ppm), and Cu (10-60 ppm). </w:t>
      </w:r>
      <w:r w:rsidR="00B23A4D" w:rsidRPr="00265DCB">
        <w:t>C</w:t>
      </w:r>
      <w:r w:rsidR="00092333" w:rsidRPr="00265DCB">
        <w:t xml:space="preserve">onsidering requirements for </w:t>
      </w:r>
      <w:r w:rsidR="002D60E3" w:rsidRPr="00265DCB">
        <w:t xml:space="preserve">growing </w:t>
      </w:r>
      <w:r w:rsidR="00092333" w:rsidRPr="00265DCB">
        <w:t xml:space="preserve">cattle, forage </w:t>
      </w:r>
      <w:r w:rsidR="00F47F75" w:rsidRPr="00265DCB">
        <w:t>K, S, and Cu</w:t>
      </w:r>
      <w:r w:rsidR="00092333" w:rsidRPr="00265DCB">
        <w:t xml:space="preserve"> </w:t>
      </w:r>
      <w:r w:rsidR="00B27A35" w:rsidRPr="00265DCB">
        <w:t xml:space="preserve">exceeded tolerable </w:t>
      </w:r>
      <w:r w:rsidR="004143DB" w:rsidRPr="00265DCB">
        <w:t>levels</w:t>
      </w:r>
      <w:r w:rsidR="00B23A4D" w:rsidRPr="00265DCB">
        <w:t>;</w:t>
      </w:r>
      <w:r w:rsidR="005A52A0" w:rsidRPr="00265DCB">
        <w:t> </w:t>
      </w:r>
      <w:r w:rsidR="004B3BAD" w:rsidRPr="00265DCB">
        <w:t xml:space="preserve">they </w:t>
      </w:r>
      <w:r w:rsidR="00B27A35" w:rsidRPr="00265DCB">
        <w:t xml:space="preserve">were </w:t>
      </w:r>
      <w:r w:rsidR="00092333" w:rsidRPr="00265DCB">
        <w:t xml:space="preserve">favorable </w:t>
      </w:r>
      <w:r w:rsidR="005A52A0" w:rsidRPr="00265DCB">
        <w:t>to </w:t>
      </w:r>
      <w:r w:rsidR="00092333" w:rsidRPr="00265DCB">
        <w:t>Ca, Mg, Zn, Co, and Se concentrations</w:t>
      </w:r>
      <w:r w:rsidR="00D43D55" w:rsidRPr="00265DCB">
        <w:t>, but P and Na were insufficient</w:t>
      </w:r>
      <w:r w:rsidR="00092333" w:rsidRPr="00265DCB">
        <w:t>.</w:t>
      </w:r>
      <w:r w:rsidR="00B23A4D" w:rsidRPr="00265DCB">
        <w:t xml:space="preserve"> In conclusion, the essential minerals most likely to limit </w:t>
      </w:r>
      <w:r w:rsidR="002D60E3" w:rsidRPr="00265DCB">
        <w:t>beef</w:t>
      </w:r>
      <w:r w:rsidR="00D43D55" w:rsidRPr="00265DCB">
        <w:t xml:space="preserve"> cattle's nutritional status and productivity </w:t>
      </w:r>
      <w:r w:rsidR="00B23A4D" w:rsidRPr="00265DCB">
        <w:t>in the eruption-impacted areas are K, S, Cu, P, and Na.</w:t>
      </w:r>
      <w:bookmarkEnd w:id="0"/>
      <w:bookmarkEnd w:id="1"/>
    </w:p>
    <w:p w14:paraId="16EE2B49" w14:textId="77777777" w:rsidR="00F85494" w:rsidRPr="00265DCB" w:rsidRDefault="00F85494" w:rsidP="0072151C">
      <w:pPr>
        <w:jc w:val="both"/>
      </w:pPr>
    </w:p>
    <w:p w14:paraId="41396330" w14:textId="1AFD7C8A" w:rsidR="00715CDC" w:rsidRPr="00265DCB" w:rsidRDefault="00267322" w:rsidP="0072151C">
      <w:pPr>
        <w:jc w:val="both"/>
      </w:pPr>
      <w:r w:rsidRPr="00265DCB">
        <w:t xml:space="preserve">Keywords: </w:t>
      </w:r>
      <w:r w:rsidR="00B0768A" w:rsidRPr="00265DCB">
        <w:rPr>
          <w:i/>
          <w:iCs/>
        </w:rPr>
        <w:t>eruption</w:t>
      </w:r>
      <w:r w:rsidR="00B0768A">
        <w:rPr>
          <w:i/>
          <w:iCs/>
        </w:rPr>
        <w:t xml:space="preserve">, </w:t>
      </w:r>
      <w:r w:rsidR="00B0768A" w:rsidRPr="00265DCB">
        <w:rPr>
          <w:i/>
          <w:iCs/>
        </w:rPr>
        <w:t>essential mineral</w:t>
      </w:r>
      <w:r w:rsidR="00B0768A">
        <w:rPr>
          <w:i/>
          <w:iCs/>
        </w:rPr>
        <w:t xml:space="preserve">, </w:t>
      </w:r>
      <w:r w:rsidR="00B0768A" w:rsidRPr="00265DCB">
        <w:rPr>
          <w:i/>
          <w:iCs/>
        </w:rPr>
        <w:t>forage</w:t>
      </w:r>
      <w:r w:rsidR="00B0768A">
        <w:rPr>
          <w:i/>
          <w:iCs/>
        </w:rPr>
        <w:t xml:space="preserve">, </w:t>
      </w:r>
      <w:r w:rsidR="009A718A" w:rsidRPr="00265DCB">
        <w:rPr>
          <w:i/>
          <w:iCs/>
        </w:rPr>
        <w:t xml:space="preserve">volcanic </w:t>
      </w:r>
      <w:r w:rsidR="00311A38" w:rsidRPr="00265DCB">
        <w:rPr>
          <w:i/>
          <w:iCs/>
        </w:rPr>
        <w:t>soil</w:t>
      </w:r>
      <w:proofErr w:type="gramStart"/>
      <w:r w:rsidR="009A718A" w:rsidRPr="00265DCB">
        <w:rPr>
          <w:i/>
          <w:iCs/>
        </w:rPr>
        <w:t>,</w:t>
      </w:r>
      <w:r w:rsidR="00311A38" w:rsidRPr="00265DCB">
        <w:rPr>
          <w:i/>
          <w:iCs/>
        </w:rPr>
        <w:t>.</w:t>
      </w:r>
      <w:proofErr w:type="gramEnd"/>
    </w:p>
    <w:p w14:paraId="297E6355" w14:textId="77777777" w:rsidR="00DE2918" w:rsidRPr="00265DCB" w:rsidRDefault="00DE2918" w:rsidP="0072151C">
      <w:pPr>
        <w:jc w:val="both"/>
      </w:pPr>
    </w:p>
    <w:p w14:paraId="7BDA6DC0" w14:textId="77777777" w:rsidR="00DE2918" w:rsidRPr="00265DCB" w:rsidRDefault="00DE2918" w:rsidP="0072151C">
      <w:pPr>
        <w:jc w:val="both"/>
      </w:pPr>
    </w:p>
    <w:p w14:paraId="00EAC483" w14:textId="77777777" w:rsidR="00DE2918" w:rsidRPr="00265DCB" w:rsidRDefault="00DE2918" w:rsidP="0072151C">
      <w:pPr>
        <w:jc w:val="both"/>
      </w:pPr>
    </w:p>
    <w:p w14:paraId="09268658" w14:textId="77777777" w:rsidR="00DE2918" w:rsidRPr="00265DCB" w:rsidRDefault="00DE2918" w:rsidP="0072151C">
      <w:pPr>
        <w:jc w:val="both"/>
      </w:pPr>
    </w:p>
    <w:p w14:paraId="1121A880" w14:textId="77777777" w:rsidR="00503622" w:rsidRPr="00265DCB" w:rsidRDefault="00503622" w:rsidP="0072151C">
      <w:pPr>
        <w:jc w:val="both"/>
      </w:pPr>
    </w:p>
    <w:p w14:paraId="5967C20A" w14:textId="6F2C49EC" w:rsidR="00503622" w:rsidRPr="00265DCB" w:rsidRDefault="00791984" w:rsidP="00DE2918">
      <w:pPr>
        <w:spacing w:line="480" w:lineRule="auto"/>
        <w:jc w:val="center"/>
        <w:rPr>
          <w:b/>
          <w:bCs/>
        </w:rPr>
      </w:pPr>
      <w:r w:rsidRPr="00265DCB">
        <w:rPr>
          <w:b/>
          <w:bCs/>
        </w:rPr>
        <w:lastRenderedPageBreak/>
        <w:t>IN</w:t>
      </w:r>
      <w:r w:rsidR="00DE4AA1" w:rsidRPr="00265DCB">
        <w:rPr>
          <w:b/>
          <w:bCs/>
        </w:rPr>
        <w:t>TRODUCTION</w:t>
      </w:r>
    </w:p>
    <w:p w14:paraId="7D2F5812" w14:textId="7FEB830B" w:rsidR="0009449F" w:rsidRPr="00265DCB" w:rsidRDefault="008210F2" w:rsidP="00DE2918">
      <w:pPr>
        <w:spacing w:line="480" w:lineRule="auto"/>
        <w:ind w:firstLine="720"/>
        <w:jc w:val="both"/>
      </w:pPr>
      <w:r w:rsidRPr="00265DCB">
        <w:t xml:space="preserve">Mineral concentration in </w:t>
      </w:r>
      <w:r w:rsidR="00DA0203" w:rsidRPr="00265DCB">
        <w:t>forages</w:t>
      </w:r>
      <w:r w:rsidRPr="00265DCB">
        <w:t xml:space="preserve"> is an </w:t>
      </w:r>
      <w:r w:rsidR="00550F8E" w:rsidRPr="00265DCB">
        <w:t>essential</w:t>
      </w:r>
      <w:r w:rsidRPr="00265DCB">
        <w:t xml:space="preserve"> factor in cattle </w:t>
      </w:r>
      <w:r w:rsidR="00DA0203">
        <w:t>nutrition</w:t>
      </w:r>
      <w:r w:rsidRPr="00265DCB">
        <w:t xml:space="preserve">. </w:t>
      </w:r>
      <w:r w:rsidR="006031FC" w:rsidRPr="00265DCB">
        <w:t xml:space="preserve">Livestock </w:t>
      </w:r>
      <w:r w:rsidR="00366E0A" w:rsidRPr="00265DCB">
        <w:t>require</w:t>
      </w:r>
      <w:r w:rsidR="006031FC" w:rsidRPr="00265DCB">
        <w:t>s</w:t>
      </w:r>
      <w:r w:rsidR="00DE4AA1" w:rsidRPr="00265DCB">
        <w:t xml:space="preserve"> minerals for </w:t>
      </w:r>
      <w:r w:rsidR="00550F8E" w:rsidRPr="00265DCB">
        <w:t>essential</w:t>
      </w:r>
      <w:r w:rsidR="00A25A65" w:rsidRPr="00265DCB">
        <w:t xml:space="preserve"> </w:t>
      </w:r>
      <w:r w:rsidR="005A473E" w:rsidRPr="00265DCB">
        <w:t>structural, physiological, and metabolic functions</w:t>
      </w:r>
      <w:r w:rsidR="00A25A65" w:rsidRPr="00265DCB">
        <w:t xml:space="preserve"> </w:t>
      </w:r>
      <w:r w:rsidR="005E7323" w:rsidRPr="00265DCB">
        <w:t>(Wu, 2018)</w:t>
      </w:r>
      <w:r w:rsidR="0035555F" w:rsidRPr="00265DCB">
        <w:t>.</w:t>
      </w:r>
      <w:r w:rsidR="00680BA1" w:rsidRPr="00265DCB">
        <w:t xml:space="preserve"> </w:t>
      </w:r>
      <w:r w:rsidR="00DE4AA1" w:rsidRPr="00265DCB">
        <w:t>The essential minerals</w:t>
      </w:r>
      <w:r w:rsidR="00680BA1" w:rsidRPr="00265DCB">
        <w:t xml:space="preserve"> are divided into</w:t>
      </w:r>
      <w:r w:rsidR="00DE4AA1" w:rsidRPr="00265DCB">
        <w:t xml:space="preserve"> macro</w:t>
      </w:r>
      <w:r w:rsidR="00680BA1" w:rsidRPr="00265DCB">
        <w:t xml:space="preserve"> and micro</w:t>
      </w:r>
      <w:r w:rsidR="00DE4AA1" w:rsidRPr="00265DCB">
        <w:t>minerals</w:t>
      </w:r>
      <w:r w:rsidR="00680BA1" w:rsidRPr="00265DCB">
        <w:t>. Macro minerals</w:t>
      </w:r>
      <w:r w:rsidR="00DE4AA1" w:rsidRPr="00265DCB">
        <w:t xml:space="preserve"> </w:t>
      </w:r>
      <w:r w:rsidR="00680BA1" w:rsidRPr="00265DCB">
        <w:t>include</w:t>
      </w:r>
      <w:r w:rsidR="00DE4AA1" w:rsidRPr="00265DCB">
        <w:t xml:space="preserve"> calcium (Ca), phosphorus (P), magnesium (Mg), sodium (Na), </w:t>
      </w:r>
      <w:r w:rsidR="0035555F" w:rsidRPr="00265DCB">
        <w:t xml:space="preserve">chloride (Cl), </w:t>
      </w:r>
      <w:r w:rsidR="00DE4AA1" w:rsidRPr="00265DCB">
        <w:t>potassium (K), and sulfur (S)</w:t>
      </w:r>
      <w:r w:rsidR="00680BA1" w:rsidRPr="00265DCB">
        <w:t>. Micromineral are</w:t>
      </w:r>
      <w:r w:rsidR="00DE4AA1" w:rsidRPr="00265DCB">
        <w:t xml:space="preserve"> iron (Fe), copper (Cu), zinc (Zn), manganese (Mn), iodine (I), selenium (Se), and cobalt (Co). </w:t>
      </w:r>
      <w:r w:rsidR="005E7323" w:rsidRPr="00265DCB">
        <w:t xml:space="preserve">Mineral </w:t>
      </w:r>
      <w:r w:rsidR="00F57B3C" w:rsidRPr="00265DCB">
        <w:t>Ca, P, and Mg are</w:t>
      </w:r>
      <w:r w:rsidR="00366E0A" w:rsidRPr="00265DCB">
        <w:t xml:space="preserve"> </w:t>
      </w:r>
      <w:r w:rsidR="00550F8E" w:rsidRPr="00265DCB">
        <w:t>significant</w:t>
      </w:r>
      <w:r w:rsidR="00AC7DCE" w:rsidRPr="00265DCB">
        <w:t xml:space="preserve"> </w:t>
      </w:r>
      <w:r w:rsidR="006632B2" w:rsidRPr="00265DCB">
        <w:t xml:space="preserve">components </w:t>
      </w:r>
      <w:r w:rsidR="0036637E" w:rsidRPr="00265DCB">
        <w:t xml:space="preserve">and mechanical stability </w:t>
      </w:r>
      <w:r w:rsidR="006632B2" w:rsidRPr="00265DCB">
        <w:t xml:space="preserve">of </w:t>
      </w:r>
      <w:r w:rsidR="00AC7DCE" w:rsidRPr="00265DCB">
        <w:t>the skeleton</w:t>
      </w:r>
      <w:r w:rsidR="006632B2" w:rsidRPr="00265DCB">
        <w:t xml:space="preserve"> and teeth</w:t>
      </w:r>
      <w:r w:rsidR="00F57B3C" w:rsidRPr="00265DCB">
        <w:t>. Na, K, and Cl regulate</w:t>
      </w:r>
      <w:r w:rsidR="0036637E" w:rsidRPr="00265DCB">
        <w:t xml:space="preserve"> </w:t>
      </w:r>
      <w:r w:rsidR="000C41DE" w:rsidRPr="00265DCB">
        <w:t xml:space="preserve">the cell's </w:t>
      </w:r>
      <w:r w:rsidR="0036637E" w:rsidRPr="00265DCB">
        <w:t>electrolytes</w:t>
      </w:r>
      <w:r w:rsidR="006031FC" w:rsidRPr="00265DCB">
        <w:t>, acid-base balance</w:t>
      </w:r>
      <w:r w:rsidR="000C41DE" w:rsidRPr="00265DCB">
        <w:t>,</w:t>
      </w:r>
      <w:r w:rsidR="006031FC" w:rsidRPr="00265DCB">
        <w:t xml:space="preserve"> and osmotic pressure</w:t>
      </w:r>
      <w:r w:rsidR="005E7323" w:rsidRPr="00265DCB">
        <w:t xml:space="preserve"> (Wu, 2018)</w:t>
      </w:r>
      <w:r w:rsidR="00F57B3C" w:rsidRPr="00265DCB">
        <w:t>. Na, P, and Zn regulate</w:t>
      </w:r>
      <w:r w:rsidR="0036637E" w:rsidRPr="00265DCB">
        <w:t xml:space="preserve"> f</w:t>
      </w:r>
      <w:r w:rsidR="00F57B3C" w:rsidRPr="00265DCB">
        <w:t>eed</w:t>
      </w:r>
      <w:r w:rsidR="0036637E" w:rsidRPr="00265DCB">
        <w:t xml:space="preserve"> intake</w:t>
      </w:r>
      <w:r w:rsidR="00F57B3C" w:rsidRPr="00265DCB">
        <w:t>. Ca, Mg, Se, Mn, Zn, and Cu are</w:t>
      </w:r>
      <w:r w:rsidR="0036637E" w:rsidRPr="00265DCB">
        <w:t xml:space="preserve"> cofactors of </w:t>
      </w:r>
      <w:r w:rsidR="00F57B3C" w:rsidRPr="00265DCB">
        <w:t xml:space="preserve">various </w:t>
      </w:r>
      <w:r w:rsidR="0036637E" w:rsidRPr="00265DCB">
        <w:t>enzymes</w:t>
      </w:r>
      <w:r w:rsidR="00F57B3C" w:rsidRPr="00265DCB">
        <w:t>. Fe, Co</w:t>
      </w:r>
      <w:r w:rsidR="000C41DE" w:rsidRPr="00265DCB">
        <w:t>,</w:t>
      </w:r>
      <w:r w:rsidR="00F57B3C" w:rsidRPr="00265DCB">
        <w:t xml:space="preserve"> and I are </w:t>
      </w:r>
      <w:r w:rsidR="00AD7932" w:rsidRPr="00265DCB">
        <w:t>components</w:t>
      </w:r>
      <w:r w:rsidR="00F57B3C" w:rsidRPr="00265DCB">
        <w:t xml:space="preserve"> of </w:t>
      </w:r>
      <w:r w:rsidR="0036637E" w:rsidRPr="00265DCB">
        <w:t>hemoglobin, vitamin B</w:t>
      </w:r>
      <w:r w:rsidR="006031FC" w:rsidRPr="00265DCB">
        <w:t>12</w:t>
      </w:r>
      <w:r w:rsidR="0036637E" w:rsidRPr="00265DCB">
        <w:t>, and thyroid hormones)</w:t>
      </w:r>
      <w:r w:rsidR="00D85C22" w:rsidRPr="00265DCB">
        <w:t xml:space="preserve"> (Wu, 2018)</w:t>
      </w:r>
      <w:r w:rsidR="0035555F" w:rsidRPr="00265DCB">
        <w:t xml:space="preserve">. </w:t>
      </w:r>
      <w:r w:rsidR="00CE43D1" w:rsidRPr="00265DCB">
        <w:t>A</w:t>
      </w:r>
      <w:r w:rsidR="0032134E" w:rsidRPr="00265DCB">
        <w:t xml:space="preserve">dequate </w:t>
      </w:r>
      <w:r w:rsidR="00CE43D1" w:rsidRPr="00265DCB">
        <w:t>intake</w:t>
      </w:r>
      <w:r w:rsidR="0032134E" w:rsidRPr="00265DCB">
        <w:t xml:space="preserve"> of minerals to meet animal requirements is </w:t>
      </w:r>
      <w:r w:rsidR="000C5B67" w:rsidRPr="00265DCB">
        <w:t>essential</w:t>
      </w:r>
      <w:r w:rsidR="002E3562" w:rsidRPr="00265DCB">
        <w:t xml:space="preserve"> </w:t>
      </w:r>
      <w:r w:rsidR="00B52297" w:rsidRPr="00265DCB">
        <w:t xml:space="preserve">to </w:t>
      </w:r>
      <w:r w:rsidR="002E3562" w:rsidRPr="00265DCB">
        <w:t>maintaining their growth, health</w:t>
      </w:r>
      <w:r w:rsidR="000C5B67" w:rsidRPr="00265DCB">
        <w:t>,</w:t>
      </w:r>
      <w:r w:rsidR="002E3562" w:rsidRPr="00265DCB">
        <w:t xml:space="preserve"> and reproduction</w:t>
      </w:r>
      <w:r w:rsidR="00503D63">
        <w:t xml:space="preserve"> (</w:t>
      </w:r>
      <w:r w:rsidR="00503D63" w:rsidRPr="00265DCB">
        <w:t>McDowell, 1985</w:t>
      </w:r>
      <w:r w:rsidR="00503D63">
        <w:t>)</w:t>
      </w:r>
      <w:r w:rsidR="000C5B67" w:rsidRPr="00265DCB">
        <w:t xml:space="preserve">. </w:t>
      </w:r>
      <w:r w:rsidR="0009449F" w:rsidRPr="00265DCB">
        <w:t xml:space="preserve">Mineral imbalances and/or deficiencies can result in decreased </w:t>
      </w:r>
      <w:r w:rsidR="00D01D18" w:rsidRPr="00265DCB">
        <w:t>growth,</w:t>
      </w:r>
      <w:r w:rsidR="0009449F" w:rsidRPr="00265DCB">
        <w:t xml:space="preserve"> </w:t>
      </w:r>
      <w:r w:rsidR="005E7323" w:rsidRPr="00265DCB">
        <w:t>immune suppression, a</w:t>
      </w:r>
      <w:r w:rsidR="00C854E6" w:rsidRPr="00265DCB">
        <w:t>nd reproductive failure,</w:t>
      </w:r>
      <w:r w:rsidR="0009449F" w:rsidRPr="00265DCB">
        <w:t xml:space="preserve"> which results in significant economic losses</w:t>
      </w:r>
      <w:r w:rsidR="00E94D9D" w:rsidRPr="00265DCB">
        <w:t xml:space="preserve"> for livestock </w:t>
      </w:r>
      <w:r w:rsidR="000C5B67" w:rsidRPr="00265DCB">
        <w:t>businesses</w:t>
      </w:r>
      <w:r w:rsidR="00C0722F" w:rsidRPr="00265DCB">
        <w:t xml:space="preserve"> (McDowell </w:t>
      </w:r>
      <w:r w:rsidR="00C0722F" w:rsidRPr="00265DCB">
        <w:rPr>
          <w:i/>
          <w:iCs/>
        </w:rPr>
        <w:t>et al</w:t>
      </w:r>
      <w:r w:rsidR="00C0722F" w:rsidRPr="00265DCB">
        <w:t>., 1993)</w:t>
      </w:r>
      <w:r w:rsidR="00D01D18" w:rsidRPr="00265DCB">
        <w:t>.</w:t>
      </w:r>
    </w:p>
    <w:p w14:paraId="77A62F64" w14:textId="21B8ADDB" w:rsidR="00132DD9" w:rsidRDefault="00D01D18" w:rsidP="00D227AB">
      <w:pPr>
        <w:spacing w:line="480" w:lineRule="auto"/>
        <w:ind w:firstLine="720"/>
        <w:jc w:val="both"/>
      </w:pPr>
      <w:r w:rsidRPr="00265DCB">
        <w:t>As part of the Pacific Ring of Fire, Indonesia had around 76 active volcanic mountains spread along the island (</w:t>
      </w:r>
      <w:proofErr w:type="spellStart"/>
      <w:r w:rsidRPr="00265DCB">
        <w:t>Hariyono</w:t>
      </w:r>
      <w:proofErr w:type="spellEnd"/>
      <w:r w:rsidRPr="00265DCB">
        <w:t xml:space="preserve"> and </w:t>
      </w:r>
      <w:proofErr w:type="spellStart"/>
      <w:r w:rsidRPr="00265DCB">
        <w:t>Liliasari</w:t>
      </w:r>
      <w:proofErr w:type="spellEnd"/>
      <w:r w:rsidRPr="00265DCB">
        <w:t xml:space="preserve">, 2017). </w:t>
      </w:r>
      <w:r w:rsidR="00B52297" w:rsidRPr="00265DCB">
        <w:t xml:space="preserve">The </w:t>
      </w:r>
      <w:r w:rsidR="00F0437B" w:rsidRPr="00265DCB">
        <w:t>volcanoes are</w:t>
      </w:r>
      <w:r w:rsidR="00B52297" w:rsidRPr="00265DCB">
        <w:t xml:space="preserve"> a center for agriculture</w:t>
      </w:r>
      <w:r w:rsidR="00F0437B" w:rsidRPr="00265DCB">
        <w:t xml:space="preserve"> and</w:t>
      </w:r>
      <w:r w:rsidR="00B52297" w:rsidRPr="00265DCB">
        <w:t xml:space="preserve"> livestock</w:t>
      </w:r>
      <w:r w:rsidR="00F0437B" w:rsidRPr="00265DCB">
        <w:t xml:space="preserve"> farming</w:t>
      </w:r>
      <w:r w:rsidR="00B52297" w:rsidRPr="00265DCB">
        <w:t xml:space="preserve"> due to </w:t>
      </w:r>
      <w:r w:rsidR="00F0437B" w:rsidRPr="00265DCB">
        <w:t>their</w:t>
      </w:r>
      <w:r w:rsidR="00B52297" w:rsidRPr="00265DCB">
        <w:t xml:space="preserve"> fertile soil</w:t>
      </w:r>
      <w:r w:rsidR="00F0437B" w:rsidRPr="00265DCB">
        <w:t xml:space="preserve"> and </w:t>
      </w:r>
      <w:r w:rsidR="00B52297" w:rsidRPr="00265DCB">
        <w:t>cool climate</w:t>
      </w:r>
      <w:r w:rsidR="00F0437B" w:rsidRPr="00265DCB">
        <w:t xml:space="preserve"> </w:t>
      </w:r>
      <w:r w:rsidR="005E7323" w:rsidRPr="00265DCB">
        <w:t>(</w:t>
      </w:r>
      <w:proofErr w:type="spellStart"/>
      <w:r w:rsidR="002F0502" w:rsidRPr="00265DCB">
        <w:t>Rozaki</w:t>
      </w:r>
      <w:proofErr w:type="spellEnd"/>
      <w:r w:rsidR="002F0502" w:rsidRPr="00265DCB">
        <w:t xml:space="preserve"> </w:t>
      </w:r>
      <w:r w:rsidR="002F0502" w:rsidRPr="00265DCB">
        <w:rPr>
          <w:i/>
          <w:iCs/>
        </w:rPr>
        <w:t>et al</w:t>
      </w:r>
      <w:r w:rsidR="002F0502" w:rsidRPr="00265DCB">
        <w:t>., 2023</w:t>
      </w:r>
      <w:r w:rsidR="002F0502">
        <w:t xml:space="preserve">; </w:t>
      </w:r>
      <w:proofErr w:type="spellStart"/>
      <w:r w:rsidR="002F0502" w:rsidRPr="00265DCB">
        <w:t>Razoaki</w:t>
      </w:r>
      <w:proofErr w:type="spellEnd"/>
      <w:r w:rsidR="002F0502" w:rsidRPr="00265DCB">
        <w:t xml:space="preserve"> </w:t>
      </w:r>
      <w:r w:rsidR="002F0502" w:rsidRPr="00265DCB">
        <w:rPr>
          <w:i/>
          <w:iCs/>
        </w:rPr>
        <w:t>et al</w:t>
      </w:r>
      <w:r w:rsidR="002F0502" w:rsidRPr="00265DCB">
        <w:t>., 2022</w:t>
      </w:r>
      <w:r w:rsidR="002F0502">
        <w:t xml:space="preserve">; </w:t>
      </w:r>
      <w:r w:rsidR="005E7323" w:rsidRPr="00265DCB">
        <w:t xml:space="preserve">Tampubolon </w:t>
      </w:r>
      <w:r w:rsidR="005E7323" w:rsidRPr="00265DCB">
        <w:rPr>
          <w:i/>
          <w:iCs/>
        </w:rPr>
        <w:t>et al</w:t>
      </w:r>
      <w:r w:rsidR="005E7323" w:rsidRPr="00265DCB">
        <w:t>., 2017;</w:t>
      </w:r>
      <w:r w:rsidR="000C5B67" w:rsidRPr="00265DCB">
        <w:t xml:space="preserve"> </w:t>
      </w:r>
      <w:proofErr w:type="spellStart"/>
      <w:r w:rsidR="000C5B67" w:rsidRPr="00265DCB">
        <w:t>Zai</w:t>
      </w:r>
      <w:r w:rsidR="00060DF3">
        <w:t>n</w:t>
      </w:r>
      <w:r w:rsidR="000C5B67" w:rsidRPr="00265DCB">
        <w:t>nudin</w:t>
      </w:r>
      <w:proofErr w:type="spellEnd"/>
      <w:r w:rsidR="000C5B67" w:rsidRPr="00265DCB">
        <w:t>, 2010</w:t>
      </w:r>
      <w:r w:rsidR="005E7323" w:rsidRPr="00265DCB">
        <w:t>).</w:t>
      </w:r>
      <w:r w:rsidR="00D94745" w:rsidRPr="00265DCB">
        <w:t xml:space="preserve"> </w:t>
      </w:r>
      <w:r w:rsidR="00DA0203" w:rsidRPr="00265DCB">
        <w:t>Beef cattle were the most popular farm animals</w:t>
      </w:r>
      <w:r w:rsidR="00132DD9">
        <w:t xml:space="preserve"> </w:t>
      </w:r>
      <w:r w:rsidR="00132DD9" w:rsidRPr="00265DCB">
        <w:t xml:space="preserve">as an integral part of agricultural farming for dough power and a source of organic fertilizer (Khalil </w:t>
      </w:r>
      <w:r w:rsidR="00132DD9" w:rsidRPr="00060DF3">
        <w:rPr>
          <w:i/>
          <w:iCs/>
        </w:rPr>
        <w:t>et al</w:t>
      </w:r>
      <w:r w:rsidR="00132DD9" w:rsidRPr="00265DCB">
        <w:t>., 2024).</w:t>
      </w:r>
      <w:r w:rsidR="00DA0203">
        <w:t xml:space="preserve"> They are</w:t>
      </w:r>
      <w:r w:rsidR="00132DD9">
        <w:t xml:space="preserve"> raised </w:t>
      </w:r>
      <w:r w:rsidR="00132DD9" w:rsidRPr="00265DCB">
        <w:t xml:space="preserve">in small flock </w:t>
      </w:r>
      <w:r w:rsidR="00132DD9">
        <w:t>sizes (2-6 heads/farm) in different breeds, rearing,</w:t>
      </w:r>
      <w:r w:rsidR="00132DD9" w:rsidRPr="00265DCB">
        <w:t xml:space="preserve"> and feeding</w:t>
      </w:r>
      <w:r w:rsidR="00132DD9">
        <w:t xml:space="preserve"> systems</w:t>
      </w:r>
      <w:r w:rsidR="00DA0203" w:rsidRPr="00265DCB">
        <w:t xml:space="preserve"> (Khalil </w:t>
      </w:r>
      <w:r w:rsidR="00DA0203" w:rsidRPr="00060DF3">
        <w:rPr>
          <w:i/>
          <w:iCs/>
        </w:rPr>
        <w:t>et al</w:t>
      </w:r>
      <w:r w:rsidR="00DA0203" w:rsidRPr="00265DCB">
        <w:t>., 2024</w:t>
      </w:r>
      <w:r w:rsidR="00132DD9">
        <w:t xml:space="preserve">). </w:t>
      </w:r>
      <w:r w:rsidR="005E7323" w:rsidRPr="00265DCB">
        <w:t>The</w:t>
      </w:r>
      <w:r w:rsidR="004709E4">
        <w:t xml:space="preserve"> ruminant animal</w:t>
      </w:r>
      <w:r w:rsidR="00F0437B" w:rsidRPr="00265DCB">
        <w:t xml:space="preserve"> </w:t>
      </w:r>
      <w:r w:rsidR="004709E4">
        <w:t xml:space="preserve">is </w:t>
      </w:r>
      <w:r w:rsidR="005E7323" w:rsidRPr="00265DCB">
        <w:t>fed on crop byproducts and forage</w:t>
      </w:r>
      <w:r w:rsidR="00F841EC" w:rsidRPr="00265DCB">
        <w:t xml:space="preserve"> plant</w:t>
      </w:r>
      <w:r w:rsidR="005E7323" w:rsidRPr="00265DCB">
        <w:t xml:space="preserve">s grown in various areas of crop plantation, </w:t>
      </w:r>
      <w:r w:rsidR="005A473E" w:rsidRPr="00265DCB">
        <w:t>forest edges</w:t>
      </w:r>
      <w:r w:rsidR="005E7323" w:rsidRPr="00265DCB">
        <w:t xml:space="preserve">, riverbanks, roadsides, and idle land (Khalil </w:t>
      </w:r>
      <w:r w:rsidR="005E7323" w:rsidRPr="00265DCB">
        <w:rPr>
          <w:i/>
          <w:iCs/>
        </w:rPr>
        <w:t>et al</w:t>
      </w:r>
      <w:r w:rsidR="005E7323" w:rsidRPr="00265DCB">
        <w:t>., 2024).</w:t>
      </w:r>
    </w:p>
    <w:p w14:paraId="3FA1B5E4" w14:textId="5E23F7D7" w:rsidR="00F841EC" w:rsidRPr="00265DCB" w:rsidRDefault="00C854E6" w:rsidP="00D227AB">
      <w:pPr>
        <w:spacing w:line="480" w:lineRule="auto"/>
        <w:ind w:firstLine="720"/>
        <w:jc w:val="both"/>
      </w:pPr>
      <w:r w:rsidRPr="00265DCB">
        <w:lastRenderedPageBreak/>
        <w:t>When a volcano erupts, it spews ashes and other volcanic materials</w:t>
      </w:r>
      <w:r w:rsidR="009174E3" w:rsidRPr="00265DCB">
        <w:t xml:space="preserve"> </w:t>
      </w:r>
      <w:r w:rsidR="00F0437B" w:rsidRPr="00265DCB">
        <w:t>composed of various rocks, sands, and silts (Newhall, 2000; Voight, 2000), causing</w:t>
      </w:r>
      <w:r w:rsidR="00F841EC" w:rsidRPr="00265DCB">
        <w:t xml:space="preserve"> animal loss and health problems due to exposure to volcanic materials, </w:t>
      </w:r>
      <w:r w:rsidR="007E1078">
        <w:t>crops</w:t>
      </w:r>
      <w:r w:rsidR="00132DD9">
        <w:t xml:space="preserve"> and </w:t>
      </w:r>
      <w:r w:rsidR="00F841EC" w:rsidRPr="00265DCB">
        <w:t>forage damages</w:t>
      </w:r>
      <w:r w:rsidR="00DA0203">
        <w:t>,</w:t>
      </w:r>
      <w:r w:rsidR="00F841EC" w:rsidRPr="00265DCB">
        <w:t xml:space="preserve"> and animal mitigation constraints, resulting in flock size decrease and economic loss</w:t>
      </w:r>
      <w:r w:rsidR="00ED33C5" w:rsidRPr="00265DCB">
        <w:t xml:space="preserve"> (Khalil </w:t>
      </w:r>
      <w:r w:rsidR="00ED33C5" w:rsidRPr="00F32718">
        <w:rPr>
          <w:i/>
          <w:iCs/>
        </w:rPr>
        <w:t>et al</w:t>
      </w:r>
      <w:r w:rsidR="00ED33C5" w:rsidRPr="00265DCB">
        <w:t>., 202</w:t>
      </w:r>
      <w:r w:rsidR="005E7323" w:rsidRPr="00265DCB">
        <w:t>4</w:t>
      </w:r>
      <w:r w:rsidR="00ED33C5" w:rsidRPr="00265DCB">
        <w:t>).</w:t>
      </w:r>
      <w:r w:rsidR="00F841EC" w:rsidRPr="00265DCB">
        <w:t xml:space="preserve"> Forage plants would be regrown </w:t>
      </w:r>
      <w:r w:rsidR="009174E3" w:rsidRPr="00265DCB">
        <w:t>or</w:t>
      </w:r>
      <w:r w:rsidR="00F841EC" w:rsidRPr="00265DCB">
        <w:t xml:space="preserve"> recovered about one to six months after the eruption</w:t>
      </w:r>
      <w:r w:rsidR="00504712" w:rsidRPr="00265DCB">
        <w:t>,</w:t>
      </w:r>
      <w:r w:rsidR="00F841EC" w:rsidRPr="00265DCB">
        <w:t xml:space="preserve"> depending on factors such as rainfall, the plant species, proximity to the eruption center, and the extent of damage (</w:t>
      </w:r>
      <w:r w:rsidR="002F0502" w:rsidRPr="00265DCB">
        <w:t xml:space="preserve">Khalil </w:t>
      </w:r>
      <w:r w:rsidR="002F0502" w:rsidRPr="00265DCB">
        <w:rPr>
          <w:i/>
          <w:iCs/>
        </w:rPr>
        <w:t>et al</w:t>
      </w:r>
      <w:r w:rsidR="002F0502" w:rsidRPr="00265DCB">
        <w:t>., 2024</w:t>
      </w:r>
      <w:r w:rsidR="002F0502">
        <w:t xml:space="preserve">; </w:t>
      </w:r>
      <w:r w:rsidR="00F841EC" w:rsidRPr="00265DCB">
        <w:t xml:space="preserve">Saputra </w:t>
      </w:r>
      <w:r w:rsidR="00F841EC" w:rsidRPr="00265DCB">
        <w:rPr>
          <w:i/>
          <w:iCs/>
        </w:rPr>
        <w:t>et al</w:t>
      </w:r>
      <w:r w:rsidR="00F841EC" w:rsidRPr="00265DCB">
        <w:t>., 2022</w:t>
      </w:r>
      <w:proofErr w:type="gramStart"/>
      <w:r w:rsidR="002F0502">
        <w:t>;</w:t>
      </w:r>
      <w:r w:rsidR="002F0502" w:rsidRPr="00265DCB">
        <w:t>Smather</w:t>
      </w:r>
      <w:proofErr w:type="gramEnd"/>
      <w:r w:rsidR="002F0502" w:rsidRPr="00265DCB">
        <w:t xml:space="preserve"> and </w:t>
      </w:r>
      <w:proofErr w:type="spellStart"/>
      <w:r w:rsidR="002F0502" w:rsidRPr="00265DCB">
        <w:t>Dombois</w:t>
      </w:r>
      <w:proofErr w:type="spellEnd"/>
      <w:r w:rsidR="002F0502" w:rsidRPr="00265DCB">
        <w:t>, 1974</w:t>
      </w:r>
      <w:r w:rsidR="00F841EC" w:rsidRPr="00265DCB">
        <w:t xml:space="preserve">). </w:t>
      </w:r>
      <w:r w:rsidR="00990A1F" w:rsidRPr="00265DCB">
        <w:t>Numer</w:t>
      </w:r>
      <w:r w:rsidR="007C764C" w:rsidRPr="00265DCB">
        <w:t>o</w:t>
      </w:r>
      <w:r w:rsidR="00990A1F" w:rsidRPr="00265DCB">
        <w:t>us studies reported tha</w:t>
      </w:r>
      <w:r w:rsidR="007C764C" w:rsidRPr="00265DCB">
        <w:t>t</w:t>
      </w:r>
      <w:r w:rsidR="00990A1F" w:rsidRPr="00265DCB">
        <w:t xml:space="preserve"> minerals of volcanic materials have </w:t>
      </w:r>
      <w:r w:rsidR="007C764C" w:rsidRPr="00265DCB">
        <w:t xml:space="preserve">a </w:t>
      </w:r>
      <w:r w:rsidR="00990A1F" w:rsidRPr="00265DCB">
        <w:t>beneficial effect o</w:t>
      </w:r>
      <w:r w:rsidR="007C764C" w:rsidRPr="00265DCB">
        <w:t>n</w:t>
      </w:r>
      <w:r w:rsidR="00990A1F" w:rsidRPr="00265DCB">
        <w:t xml:space="preserve"> </w:t>
      </w:r>
      <w:r w:rsidR="00690DAB" w:rsidRPr="00265DCB">
        <w:t xml:space="preserve">volcanic soil </w:t>
      </w:r>
      <w:r w:rsidR="00990A1F" w:rsidRPr="00265DCB">
        <w:t>and</w:t>
      </w:r>
      <w:r w:rsidR="00690DAB" w:rsidRPr="00265DCB">
        <w:t xml:space="preserve"> forage</w:t>
      </w:r>
      <w:r w:rsidR="00990A1F" w:rsidRPr="00265DCB">
        <w:t xml:space="preserve">s </w:t>
      </w:r>
      <w:r w:rsidR="00690DAB" w:rsidRPr="00265DCB">
        <w:t>post-eruption by increasing soil fertility</w:t>
      </w:r>
      <w:r w:rsidR="00FC06D2" w:rsidRPr="00265DCB">
        <w:t xml:space="preserve"> </w:t>
      </w:r>
      <w:r w:rsidR="004707B4" w:rsidRPr="00265DCB">
        <w:t xml:space="preserve">and </w:t>
      </w:r>
      <w:r w:rsidR="00FC06D2" w:rsidRPr="00265DCB">
        <w:t xml:space="preserve">forage </w:t>
      </w:r>
      <w:r w:rsidR="00AC2208" w:rsidRPr="00265DCB">
        <w:t xml:space="preserve">production (Hartati </w:t>
      </w:r>
      <w:r w:rsidR="00AC2208" w:rsidRPr="00265DCB">
        <w:rPr>
          <w:i/>
          <w:iCs/>
        </w:rPr>
        <w:t>et al</w:t>
      </w:r>
      <w:r w:rsidR="00AC2208" w:rsidRPr="00265DCB">
        <w:t>., 2023</w:t>
      </w:r>
      <w:r w:rsidR="00990A1F" w:rsidRPr="00265DCB">
        <w:t xml:space="preserve">; Tulp </w:t>
      </w:r>
      <w:r w:rsidR="00990A1F" w:rsidRPr="00265DCB">
        <w:rPr>
          <w:i/>
          <w:iCs/>
        </w:rPr>
        <w:t>et al</w:t>
      </w:r>
      <w:r w:rsidR="00990A1F" w:rsidRPr="00265DCB">
        <w:t>., 2023</w:t>
      </w:r>
      <w:r w:rsidR="007E5302" w:rsidRPr="00265DCB">
        <w:t xml:space="preserve">; Umami </w:t>
      </w:r>
      <w:r w:rsidR="007E5302" w:rsidRPr="00265DCB">
        <w:rPr>
          <w:i/>
          <w:iCs/>
        </w:rPr>
        <w:t>et al</w:t>
      </w:r>
      <w:r w:rsidR="007E5302" w:rsidRPr="00265DCB">
        <w:t>., 2015</w:t>
      </w:r>
      <w:r w:rsidR="00AC2208" w:rsidRPr="00265DCB">
        <w:t>)</w:t>
      </w:r>
      <w:r w:rsidR="00690DAB" w:rsidRPr="00265DCB">
        <w:t xml:space="preserve">, but at the same time, it has </w:t>
      </w:r>
      <w:r w:rsidR="00374E27" w:rsidRPr="00265DCB">
        <w:t>a poten</w:t>
      </w:r>
      <w:r w:rsidR="00D101C7" w:rsidRPr="00265DCB">
        <w:t>cy to alter</w:t>
      </w:r>
      <w:r w:rsidR="00374E27" w:rsidRPr="00265DCB">
        <w:t xml:space="preserve"> </w:t>
      </w:r>
      <w:r w:rsidR="00690DAB" w:rsidRPr="00265DCB">
        <w:t xml:space="preserve">mineral </w:t>
      </w:r>
      <w:r w:rsidR="00774093" w:rsidRPr="00265DCB">
        <w:t xml:space="preserve">composition </w:t>
      </w:r>
      <w:r w:rsidR="00374E27" w:rsidRPr="00265DCB">
        <w:t>in forages</w:t>
      </w:r>
      <w:r w:rsidR="000665BB" w:rsidRPr="00265DCB">
        <w:t>, leading to</w:t>
      </w:r>
      <w:r w:rsidR="003D3AC6" w:rsidRPr="00265DCB">
        <w:t xml:space="preserve"> </w:t>
      </w:r>
      <w:r w:rsidR="008072A8" w:rsidRPr="00265DCB">
        <w:t xml:space="preserve">inadequacy or </w:t>
      </w:r>
      <w:r w:rsidR="003D3AC6" w:rsidRPr="00265DCB">
        <w:t xml:space="preserve">imbalance </w:t>
      </w:r>
      <w:r w:rsidR="000665BB" w:rsidRPr="00265DCB">
        <w:t xml:space="preserve">in the </w:t>
      </w:r>
      <w:r w:rsidR="003D3AC6" w:rsidRPr="00265DCB">
        <w:t>mineral intake of grazing cattle</w:t>
      </w:r>
      <w:r w:rsidR="00964111" w:rsidRPr="00265DCB">
        <w:t xml:space="preserve"> (Linhares </w:t>
      </w:r>
      <w:r w:rsidR="00964111" w:rsidRPr="00265DCB">
        <w:rPr>
          <w:i/>
          <w:iCs/>
        </w:rPr>
        <w:t>et al</w:t>
      </w:r>
      <w:r w:rsidR="00964111" w:rsidRPr="00265DCB">
        <w:t>.</w:t>
      </w:r>
      <w:r w:rsidR="00AE175E" w:rsidRPr="00265DCB">
        <w:t>, 2021)</w:t>
      </w:r>
      <w:r w:rsidR="00BF42A2" w:rsidRPr="00265DCB">
        <w:t>.</w:t>
      </w:r>
      <w:r w:rsidR="003D3AC6" w:rsidRPr="00265DCB">
        <w:t xml:space="preserve"> </w:t>
      </w:r>
      <w:r w:rsidR="009174E3" w:rsidRPr="00265DCB">
        <w:t xml:space="preserve">Ashfall and other volcanic materials are composed of various chemicals and minerals. </w:t>
      </w:r>
      <w:r w:rsidR="00F72AFA" w:rsidRPr="00265DCB">
        <w:t xml:space="preserve">The minerals usually present in volcanic materials </w:t>
      </w:r>
      <w:r w:rsidR="00D101C7" w:rsidRPr="00265DCB">
        <w:t>depend on the magma's chemistry</w:t>
      </w:r>
      <w:r w:rsidR="00F72AFA" w:rsidRPr="00265DCB">
        <w:t xml:space="preserve"> from which it erupted (Tulp </w:t>
      </w:r>
      <w:r w:rsidR="00F72AFA" w:rsidRPr="00265DCB">
        <w:rPr>
          <w:i/>
          <w:iCs/>
        </w:rPr>
        <w:t>et al</w:t>
      </w:r>
      <w:r w:rsidR="00F72AFA" w:rsidRPr="00265DCB">
        <w:t>., 2023</w:t>
      </w:r>
      <w:r w:rsidR="00D101C7" w:rsidRPr="00265DCB">
        <w:t xml:space="preserve">; Mihai </w:t>
      </w:r>
      <w:r w:rsidR="00D101C7" w:rsidRPr="00265DCB">
        <w:rPr>
          <w:i/>
          <w:iCs/>
        </w:rPr>
        <w:t>et al</w:t>
      </w:r>
      <w:r w:rsidR="00D101C7" w:rsidRPr="00265DCB">
        <w:t>., 2023</w:t>
      </w:r>
      <w:r w:rsidR="00F72AFA" w:rsidRPr="00265DCB">
        <w:t xml:space="preserve">). </w:t>
      </w:r>
      <w:r w:rsidR="009174E3" w:rsidRPr="00265DCB">
        <w:t xml:space="preserve">Setiawati </w:t>
      </w:r>
      <w:r w:rsidR="009174E3" w:rsidRPr="00265DCB">
        <w:rPr>
          <w:i/>
          <w:iCs/>
        </w:rPr>
        <w:t>et al</w:t>
      </w:r>
      <w:r w:rsidR="009174E3" w:rsidRPr="00265DCB">
        <w:t xml:space="preserve">. (2024) </w:t>
      </w:r>
      <w:r w:rsidR="00D227AB" w:rsidRPr="00265DCB">
        <w:t xml:space="preserve">reported </w:t>
      </w:r>
      <w:r w:rsidR="009174E3" w:rsidRPr="00265DCB">
        <w:t xml:space="preserve">that the dominant essential minerals in volcanic ash and soil of Mount </w:t>
      </w:r>
      <w:proofErr w:type="spellStart"/>
      <w:r w:rsidR="009174E3" w:rsidRPr="00265DCB">
        <w:t>Semeru</w:t>
      </w:r>
      <w:proofErr w:type="spellEnd"/>
      <w:r w:rsidR="009174E3" w:rsidRPr="00265DCB">
        <w:t xml:space="preserve">, East Java, were calcium (Ca), iron (Fe), and potassium (K). After weathering, volcanic ash provides plants with essential macro- and micronutrients, including Ca, Na, K, Mg, Zn, Fe, Cu, and Mn (Khan </w:t>
      </w:r>
      <w:r w:rsidR="009174E3" w:rsidRPr="00265DCB">
        <w:rPr>
          <w:i/>
          <w:iCs/>
        </w:rPr>
        <w:t>et al</w:t>
      </w:r>
      <w:r w:rsidR="009174E3" w:rsidRPr="00265DCB">
        <w:t>., 2024).</w:t>
      </w:r>
    </w:p>
    <w:p w14:paraId="6E3B9B2E" w14:textId="3A39ED65" w:rsidR="00690DAB" w:rsidRPr="00265DCB" w:rsidRDefault="00AE175E" w:rsidP="00D227AB">
      <w:pPr>
        <w:spacing w:line="480" w:lineRule="auto"/>
        <w:ind w:firstLine="720"/>
        <w:jc w:val="both"/>
      </w:pPr>
      <w:r w:rsidRPr="00265DCB">
        <w:t>F</w:t>
      </w:r>
      <w:r w:rsidR="000665BB" w:rsidRPr="00265DCB">
        <w:t>orage plants</w:t>
      </w:r>
      <w:r w:rsidR="003D3AC6" w:rsidRPr="00265DCB">
        <w:t xml:space="preserve"> provided a major source of essential mineral</w:t>
      </w:r>
      <w:r w:rsidR="000665BB" w:rsidRPr="00265DCB">
        <w:t>s</w:t>
      </w:r>
      <w:r w:rsidR="003D3AC6" w:rsidRPr="00265DCB">
        <w:t xml:space="preserve"> for grazing cattle in</w:t>
      </w:r>
      <w:r w:rsidR="000665BB" w:rsidRPr="00265DCB">
        <w:t xml:space="preserve"> the </w:t>
      </w:r>
      <w:r w:rsidR="007E1078">
        <w:t>volcanic mountains</w:t>
      </w:r>
      <w:r w:rsidR="000665BB" w:rsidRPr="00265DCB">
        <w:t>.</w:t>
      </w:r>
      <w:r w:rsidR="003D3AC6" w:rsidRPr="00265DCB">
        <w:t xml:space="preserve"> </w:t>
      </w:r>
      <w:r w:rsidR="00690DAB" w:rsidRPr="00265DCB">
        <w:t xml:space="preserve">The </w:t>
      </w:r>
      <w:r w:rsidR="008072A8" w:rsidRPr="00265DCB">
        <w:t xml:space="preserve">inadequacy or </w:t>
      </w:r>
      <w:r w:rsidR="00690DAB" w:rsidRPr="00265DCB">
        <w:t xml:space="preserve">imbalance in mineral composition </w:t>
      </w:r>
      <w:r w:rsidR="00AD335C" w:rsidRPr="00265DCB">
        <w:t xml:space="preserve">might </w:t>
      </w:r>
      <w:r w:rsidR="00132DD9">
        <w:t>adversely affect</w:t>
      </w:r>
      <w:r w:rsidR="00690DAB" w:rsidRPr="00265DCB">
        <w:t xml:space="preserve"> </w:t>
      </w:r>
      <w:r w:rsidR="00E1518B" w:rsidRPr="00265DCB">
        <w:t>the growth, milk production, immune function, reproduction, and overall health of grazing cattle</w:t>
      </w:r>
      <w:r w:rsidRPr="00265DCB">
        <w:t xml:space="preserve"> </w:t>
      </w:r>
      <w:r w:rsidR="00CA0DB7" w:rsidRPr="00265DCB">
        <w:t>post-eruption</w:t>
      </w:r>
      <w:r w:rsidR="00D227AB" w:rsidRPr="00265DCB">
        <w:t xml:space="preserve"> </w:t>
      </w:r>
      <w:r w:rsidRPr="00265DCB">
        <w:t xml:space="preserve">(Linhares </w:t>
      </w:r>
      <w:r w:rsidRPr="00265DCB">
        <w:rPr>
          <w:i/>
          <w:iCs/>
        </w:rPr>
        <w:t>et al</w:t>
      </w:r>
      <w:r w:rsidRPr="00265DCB">
        <w:t>., 2021)</w:t>
      </w:r>
      <w:r w:rsidR="00E1518B" w:rsidRPr="00265DCB">
        <w:t>.</w:t>
      </w:r>
      <w:r w:rsidR="0093663D" w:rsidRPr="00265DCB">
        <w:t xml:space="preserve"> </w:t>
      </w:r>
      <w:r w:rsidR="009352C7" w:rsidRPr="00265DCB">
        <w:t xml:space="preserve">Linhares </w:t>
      </w:r>
      <w:r w:rsidR="009352C7" w:rsidRPr="00265DCB">
        <w:rPr>
          <w:i/>
          <w:iCs/>
        </w:rPr>
        <w:t>et al</w:t>
      </w:r>
      <w:r w:rsidR="00C638C2" w:rsidRPr="00265DCB">
        <w:t>.</w:t>
      </w:r>
      <w:r w:rsidR="009352C7" w:rsidRPr="00265DCB">
        <w:t xml:space="preserve"> (2021) reported </w:t>
      </w:r>
      <w:r w:rsidR="00C638C2" w:rsidRPr="00265DCB">
        <w:t xml:space="preserve">from Portugal </w:t>
      </w:r>
      <w:r w:rsidR="009352C7" w:rsidRPr="00265DCB">
        <w:t xml:space="preserve">that </w:t>
      </w:r>
      <w:r w:rsidR="00033536" w:rsidRPr="00265DCB">
        <w:t>the uneven distribution of essential nutrients in topsoil (Co and Se) and pasture grass (Co, Cu, Se, and Zn) and their deficiency can lead to several health problems in</w:t>
      </w:r>
      <w:r w:rsidR="009352C7" w:rsidRPr="00265DCB">
        <w:t xml:space="preserve"> grazing cattle in</w:t>
      </w:r>
      <w:r w:rsidR="00C638C2" w:rsidRPr="00265DCB">
        <w:t xml:space="preserve"> Sao Miguel Island (Azores). </w:t>
      </w:r>
      <w:r w:rsidR="0093663D" w:rsidRPr="00265DCB">
        <w:t xml:space="preserve">Therefore, mineral nutrition might be critical for beef </w:t>
      </w:r>
      <w:r w:rsidR="0093663D" w:rsidRPr="00265DCB">
        <w:lastRenderedPageBreak/>
        <w:t>cattle</w:t>
      </w:r>
      <w:r w:rsidR="007E1078">
        <w:t xml:space="preserve"> nutrition</w:t>
      </w:r>
      <w:r w:rsidR="0093663D" w:rsidRPr="00265DCB">
        <w:t xml:space="preserve"> in eruption-impacted areas due to mineral imbalance in volcanic soils and </w:t>
      </w:r>
      <w:r w:rsidR="001F1819" w:rsidRPr="00265DCB">
        <w:t>forage</w:t>
      </w:r>
      <w:r w:rsidR="0093663D" w:rsidRPr="00265DCB">
        <w:t xml:space="preserve"> post-eruption. </w:t>
      </w:r>
      <w:r w:rsidR="00374E27" w:rsidRPr="00265DCB">
        <w:t xml:space="preserve">Different volcanoes have different geological materials, resulting in different </w:t>
      </w:r>
      <w:r w:rsidR="009026D6" w:rsidRPr="00265DCB">
        <w:t xml:space="preserve">impacts on </w:t>
      </w:r>
      <w:r w:rsidR="00374E27" w:rsidRPr="00265DCB">
        <w:t>mineral compositions in the volcanic soils and forages.</w:t>
      </w:r>
    </w:p>
    <w:p w14:paraId="18B2EF5E" w14:textId="00D912B5" w:rsidR="003971C0" w:rsidRPr="00265DCB" w:rsidRDefault="003971C0" w:rsidP="00D227AB">
      <w:pPr>
        <w:spacing w:line="480" w:lineRule="auto"/>
        <w:ind w:firstLine="720"/>
        <w:jc w:val="both"/>
      </w:pPr>
      <w:r w:rsidRPr="00265DCB">
        <w:t xml:space="preserve">The present study was carried out to evaluate the forage mineral content and their relationship with soil mineral concentrations and to discuss the potential undesirable effects on grazing cattle in the eruption-impacted areas of active volcanic mountains in Indonesia. </w:t>
      </w:r>
      <w:r w:rsidR="00550F8E" w:rsidRPr="00265DCB">
        <w:t>Identifying</w:t>
      </w:r>
      <w:r w:rsidRPr="00265DCB">
        <w:t xml:space="preserve"> </w:t>
      </w:r>
      <w:r w:rsidR="00550F8E" w:rsidRPr="00265DCB">
        <w:t>imbalanced</w:t>
      </w:r>
      <w:r w:rsidR="001F1819">
        <w:t xml:space="preserve"> or deficient</w:t>
      </w:r>
      <w:r w:rsidR="00550F8E" w:rsidRPr="00265DCB">
        <w:t xml:space="preserve"> minerals might help</w:t>
      </w:r>
      <w:r w:rsidRPr="00265DCB">
        <w:t xml:space="preserve"> cattle farmers implement soil treatment or feed supplements to minimize undesirable health effects or nutritional disorders in grazing cattle. </w:t>
      </w:r>
    </w:p>
    <w:p w14:paraId="31ADD540" w14:textId="77777777" w:rsidR="00EA7AAC" w:rsidRPr="00265DCB" w:rsidRDefault="00EA7AAC" w:rsidP="00D227AB">
      <w:pPr>
        <w:spacing w:line="480" w:lineRule="auto"/>
        <w:jc w:val="both"/>
      </w:pPr>
    </w:p>
    <w:p w14:paraId="5FB25162" w14:textId="79A80BDE" w:rsidR="00503622" w:rsidRPr="00265DCB" w:rsidRDefault="00D227AB" w:rsidP="00D227AB">
      <w:pPr>
        <w:spacing w:line="480" w:lineRule="auto"/>
        <w:jc w:val="center"/>
        <w:rPr>
          <w:b/>
          <w:bCs/>
        </w:rPr>
      </w:pPr>
      <w:r w:rsidRPr="00265DCB">
        <w:rPr>
          <w:b/>
          <w:bCs/>
        </w:rPr>
        <w:t>MATERIALS AND METHODS</w:t>
      </w:r>
    </w:p>
    <w:p w14:paraId="0B40EF45" w14:textId="03C3D266" w:rsidR="00976ADE" w:rsidRPr="00265DCB" w:rsidRDefault="00A90885" w:rsidP="00D227AB">
      <w:pPr>
        <w:spacing w:line="480" w:lineRule="auto"/>
        <w:jc w:val="both"/>
        <w:rPr>
          <w:b/>
          <w:bCs/>
        </w:rPr>
      </w:pPr>
      <w:r w:rsidRPr="00265DCB">
        <w:rPr>
          <w:b/>
          <w:bCs/>
        </w:rPr>
        <w:t>General description of s</w:t>
      </w:r>
      <w:r w:rsidR="000C41DE" w:rsidRPr="00265DCB">
        <w:rPr>
          <w:b/>
          <w:bCs/>
        </w:rPr>
        <w:t>tudy sites</w:t>
      </w:r>
      <w:r w:rsidR="00976ADE" w:rsidRPr="00265DCB">
        <w:rPr>
          <w:b/>
          <w:bCs/>
        </w:rPr>
        <w:t xml:space="preserve"> </w:t>
      </w:r>
    </w:p>
    <w:p w14:paraId="407A9E82" w14:textId="1EAC86D1" w:rsidR="00ED0869" w:rsidRPr="00265DCB" w:rsidRDefault="008B1971" w:rsidP="00D227AB">
      <w:pPr>
        <w:spacing w:line="480" w:lineRule="auto"/>
        <w:ind w:firstLine="720"/>
        <w:jc w:val="both"/>
      </w:pPr>
      <w:r w:rsidRPr="00265DCB">
        <w:t xml:space="preserve">The study was conducted </w:t>
      </w:r>
      <w:r w:rsidR="00B25C6A" w:rsidRPr="00265DCB">
        <w:t>in</w:t>
      </w:r>
      <w:r w:rsidRPr="00265DCB">
        <w:t xml:space="preserve"> </w:t>
      </w:r>
      <w:r w:rsidR="00C0722F" w:rsidRPr="00265DCB">
        <w:t xml:space="preserve">five </w:t>
      </w:r>
      <w:r w:rsidRPr="00265DCB">
        <w:t xml:space="preserve">active volcanic mountains </w:t>
      </w:r>
      <w:r w:rsidR="008B4357" w:rsidRPr="00265DCB">
        <w:t xml:space="preserve">on five islands </w:t>
      </w:r>
      <w:r w:rsidR="00E300EB" w:rsidRPr="00265DCB">
        <w:t>in</w:t>
      </w:r>
      <w:r w:rsidR="00976ADE" w:rsidRPr="00265DCB">
        <w:t xml:space="preserve"> Indonesia. </w:t>
      </w:r>
      <w:r w:rsidRPr="00265DCB">
        <w:t xml:space="preserve">They were: Agung Mountain (Bali Island), </w:t>
      </w:r>
      <w:proofErr w:type="spellStart"/>
      <w:r w:rsidRPr="00265DCB">
        <w:t>Gamalama</w:t>
      </w:r>
      <w:proofErr w:type="spellEnd"/>
      <w:r w:rsidRPr="00265DCB">
        <w:t xml:space="preserve"> Mountain (North Maluku), </w:t>
      </w:r>
      <w:proofErr w:type="spellStart"/>
      <w:r w:rsidRPr="00265DCB">
        <w:t>Lokon</w:t>
      </w:r>
      <w:proofErr w:type="spellEnd"/>
      <w:r w:rsidRPr="00265DCB">
        <w:t xml:space="preserve"> Mountain (North Sulawesi, Merapi Mountain (</w:t>
      </w:r>
      <w:r w:rsidR="008D11CB" w:rsidRPr="00265DCB">
        <w:t>Central</w:t>
      </w:r>
      <w:r w:rsidRPr="00265DCB">
        <w:t xml:space="preserve"> Java), and Sinabung Mountain (North Sumatra)</w:t>
      </w:r>
      <w:r w:rsidR="00976ADE" w:rsidRPr="00265DCB">
        <w:t xml:space="preserve"> (Table 1)</w:t>
      </w:r>
      <w:r w:rsidRPr="00265DCB">
        <w:t xml:space="preserve">. </w:t>
      </w:r>
      <w:r w:rsidR="00ED0869" w:rsidRPr="00265DCB">
        <w:t xml:space="preserve">They had 2-3 eruptions in the last ten years. They spewed volcanic ash and other hazardous materials, resulting in natural disasters on crops, properties, public infrastructures, feed, and livestock in eruption-impacted areas. </w:t>
      </w:r>
      <w:r w:rsidRPr="00265DCB">
        <w:t>The selected</w:t>
      </w:r>
      <w:r w:rsidR="00976ADE" w:rsidRPr="00265DCB">
        <w:t xml:space="preserve"> volcanoes</w:t>
      </w:r>
      <w:r w:rsidRPr="00265DCB">
        <w:t xml:space="preserve"> </w:t>
      </w:r>
      <w:r w:rsidR="00976ADE" w:rsidRPr="00265DCB">
        <w:t>have</w:t>
      </w:r>
      <w:r w:rsidRPr="00265DCB">
        <w:t xml:space="preserve"> different characteristics in eruption, height and topography, vegetation, agroclimatic, and agricultural and livestock farming systems</w:t>
      </w:r>
      <w:r w:rsidR="00976ADE" w:rsidRPr="00265DCB">
        <w:t xml:space="preserve"> (Khalil </w:t>
      </w:r>
      <w:r w:rsidR="00976ADE" w:rsidRPr="00265DCB">
        <w:rPr>
          <w:i/>
          <w:iCs/>
        </w:rPr>
        <w:t>et al</w:t>
      </w:r>
      <w:r w:rsidR="00976ADE" w:rsidRPr="00265DCB">
        <w:t>., 2024)</w:t>
      </w:r>
      <w:r w:rsidRPr="00265DCB">
        <w:t>.</w:t>
      </w:r>
    </w:p>
    <w:p w14:paraId="0A042AFD" w14:textId="7810AEE3" w:rsidR="002F6116" w:rsidRPr="00265DCB" w:rsidRDefault="00EB24F3" w:rsidP="00D227AB">
      <w:pPr>
        <w:spacing w:line="480" w:lineRule="auto"/>
        <w:ind w:firstLine="720"/>
        <w:jc w:val="both"/>
      </w:pPr>
      <w:r w:rsidRPr="00265DCB">
        <w:t xml:space="preserve">Mount Agung is in Karang Asem Regency, Bali province. Geographically, Mt Agung </w:t>
      </w:r>
      <w:r w:rsidR="008210F2" w:rsidRPr="00265DCB">
        <w:t xml:space="preserve">is located </w:t>
      </w:r>
      <w:r w:rsidR="004070B6" w:rsidRPr="00265DCB">
        <w:t>at the coordinates</w:t>
      </w:r>
      <w:r w:rsidR="00B25C6A" w:rsidRPr="00265DCB">
        <w:t xml:space="preserve"> 8</w:t>
      </w:r>
      <w:r w:rsidR="00B25C6A" w:rsidRPr="00265DCB">
        <w:sym w:font="Symbol" w:char="F0B0"/>
      </w:r>
      <w:r w:rsidR="00B25C6A" w:rsidRPr="00265DCB">
        <w:t>20</w:t>
      </w:r>
      <w:r w:rsidR="00B25C6A" w:rsidRPr="00265DCB">
        <w:sym w:font="Symbol" w:char="F0A2"/>
      </w:r>
      <w:r w:rsidR="00B25C6A" w:rsidRPr="00265DCB">
        <w:t>27</w:t>
      </w:r>
      <w:r w:rsidR="00B25C6A" w:rsidRPr="00265DCB">
        <w:sym w:font="Symbol" w:char="F0A2"/>
      </w:r>
      <w:r w:rsidR="00B25C6A" w:rsidRPr="00265DCB">
        <w:sym w:font="Symbol" w:char="F0A2"/>
      </w:r>
      <w:r w:rsidR="00B25C6A" w:rsidRPr="00265DCB">
        <w:t xml:space="preserve">S </w:t>
      </w:r>
      <w:r w:rsidR="004070B6" w:rsidRPr="00265DCB">
        <w:t xml:space="preserve">and </w:t>
      </w:r>
      <w:r w:rsidR="00B25C6A" w:rsidRPr="00265DCB">
        <w:t>115</w:t>
      </w:r>
      <w:r w:rsidR="00B25C6A" w:rsidRPr="00265DCB">
        <w:sym w:font="Symbol" w:char="F0B0"/>
      </w:r>
      <w:r w:rsidR="00B25C6A" w:rsidRPr="00265DCB">
        <w:t>30</w:t>
      </w:r>
      <w:r w:rsidR="00B25C6A" w:rsidRPr="00265DCB">
        <w:sym w:font="Symbol" w:char="F0A2"/>
      </w:r>
      <w:r w:rsidR="00B25C6A" w:rsidRPr="00265DCB">
        <w:t>12</w:t>
      </w:r>
      <w:r w:rsidR="00B25C6A" w:rsidRPr="00265DCB">
        <w:sym w:font="Symbol" w:char="F0A2"/>
      </w:r>
      <w:r w:rsidR="00B25C6A" w:rsidRPr="00265DCB">
        <w:sym w:font="Symbol" w:char="F0A2"/>
      </w:r>
      <w:r w:rsidR="00B25C6A" w:rsidRPr="00265DCB">
        <w:t>E</w:t>
      </w:r>
      <w:r w:rsidR="004070B6" w:rsidRPr="00265DCB">
        <w:t xml:space="preserve">. The </w:t>
      </w:r>
      <w:r w:rsidRPr="00265DCB">
        <w:t xml:space="preserve">highest point </w:t>
      </w:r>
      <w:r w:rsidR="004070B6" w:rsidRPr="00265DCB">
        <w:t>is</w:t>
      </w:r>
      <w:r w:rsidRPr="00265DCB">
        <w:t xml:space="preserve"> 3031 m asl</w:t>
      </w:r>
      <w:r w:rsidR="00B25C6A" w:rsidRPr="00265DCB">
        <w:t xml:space="preserve"> (above sea level)</w:t>
      </w:r>
      <w:r w:rsidRPr="00265DCB">
        <w:t>. The stratovolcano was recorded as first erupted in 1843, re-erupted in 1963-1964</w:t>
      </w:r>
      <w:r w:rsidR="00550F8E" w:rsidRPr="00265DCB">
        <w:t>,</w:t>
      </w:r>
      <w:r w:rsidRPr="00265DCB">
        <w:t xml:space="preserve"> and 207-2019 (Devi </w:t>
      </w:r>
      <w:r w:rsidRPr="00265DCB">
        <w:rPr>
          <w:i/>
          <w:iCs/>
        </w:rPr>
        <w:t>et al</w:t>
      </w:r>
      <w:r w:rsidRPr="00265DCB">
        <w:t xml:space="preserve">., 2019). </w:t>
      </w:r>
      <w:r w:rsidR="002F6116" w:rsidRPr="00265DCB">
        <w:t xml:space="preserve">Mt. </w:t>
      </w:r>
      <w:proofErr w:type="spellStart"/>
      <w:r w:rsidR="002F6116" w:rsidRPr="00265DCB">
        <w:t>Lokon</w:t>
      </w:r>
      <w:proofErr w:type="spellEnd"/>
      <w:r w:rsidR="002F6116" w:rsidRPr="00265DCB">
        <w:t xml:space="preserve"> </w:t>
      </w:r>
      <w:r w:rsidR="00770C31" w:rsidRPr="00265DCB">
        <w:t>is in</w:t>
      </w:r>
      <w:r w:rsidR="002F6116" w:rsidRPr="00265DCB">
        <w:t xml:space="preserve"> </w:t>
      </w:r>
      <w:proofErr w:type="spellStart"/>
      <w:r w:rsidR="002F6116" w:rsidRPr="00265DCB">
        <w:t>Tomohon</w:t>
      </w:r>
      <w:proofErr w:type="spellEnd"/>
      <w:r w:rsidR="001F1819">
        <w:t xml:space="preserve"> city</w:t>
      </w:r>
      <w:r w:rsidR="002F6116" w:rsidRPr="00265DCB">
        <w:t xml:space="preserve">, </w:t>
      </w:r>
      <w:proofErr w:type="spellStart"/>
      <w:r w:rsidR="002F6116" w:rsidRPr="00265DCB">
        <w:t>Minahasa</w:t>
      </w:r>
      <w:proofErr w:type="spellEnd"/>
      <w:r w:rsidR="002F6116" w:rsidRPr="00265DCB">
        <w:t xml:space="preserve">, North Sulawesi, approximately 25 km South of Manado. </w:t>
      </w:r>
      <w:r w:rsidR="004070B6" w:rsidRPr="00265DCB">
        <w:t xml:space="preserve">The </w:t>
      </w:r>
      <w:r w:rsidR="00F32718" w:rsidRPr="00265DCB">
        <w:t>coordinated</w:t>
      </w:r>
      <w:r w:rsidR="004070B6" w:rsidRPr="00265DCB">
        <w:t xml:space="preserve"> p</w:t>
      </w:r>
      <w:r w:rsidR="002F6116" w:rsidRPr="00265DCB">
        <w:t>o</w:t>
      </w:r>
      <w:r w:rsidRPr="00265DCB">
        <w:t>s</w:t>
      </w:r>
      <w:r w:rsidR="002F6116" w:rsidRPr="00265DCB">
        <w:t xml:space="preserve">ition of </w:t>
      </w:r>
      <w:r w:rsidR="004070B6" w:rsidRPr="00265DCB">
        <w:t xml:space="preserve">Mt. </w:t>
      </w:r>
      <w:proofErr w:type="spellStart"/>
      <w:r w:rsidR="002F6116" w:rsidRPr="00265DCB">
        <w:t>Lokon</w:t>
      </w:r>
      <w:proofErr w:type="spellEnd"/>
      <w:r w:rsidR="002F6116" w:rsidRPr="00265DCB">
        <w:t xml:space="preserve"> </w:t>
      </w:r>
      <w:r w:rsidR="004070B6" w:rsidRPr="00265DCB">
        <w:t xml:space="preserve">is </w:t>
      </w:r>
      <w:r w:rsidR="004070B6" w:rsidRPr="00265DCB">
        <w:lastRenderedPageBreak/>
        <w:t xml:space="preserve">between </w:t>
      </w:r>
      <w:r w:rsidR="002F6116" w:rsidRPr="00265DCB">
        <w:t xml:space="preserve">1°21,5' N and 124º 47,5' E with </w:t>
      </w:r>
      <w:r w:rsidR="004070B6" w:rsidRPr="00265DCB">
        <w:t xml:space="preserve">an </w:t>
      </w:r>
      <w:r w:rsidR="00770C31" w:rsidRPr="00265DCB">
        <w:t>elevat</w:t>
      </w:r>
      <w:r w:rsidR="00550F8E" w:rsidRPr="00265DCB">
        <w:t>ion</w:t>
      </w:r>
      <w:r w:rsidR="002F6116" w:rsidRPr="00265DCB">
        <w:t xml:space="preserve"> </w:t>
      </w:r>
      <w:r w:rsidR="004070B6" w:rsidRPr="00265DCB">
        <w:t xml:space="preserve">of </w:t>
      </w:r>
      <w:r w:rsidR="002F6116" w:rsidRPr="00265DCB">
        <w:t>1597</w:t>
      </w:r>
      <w:r w:rsidR="00B25C6A" w:rsidRPr="00265DCB">
        <w:t>.</w:t>
      </w:r>
      <w:r w:rsidR="002F6116" w:rsidRPr="00265DCB">
        <w:t>5 m</w:t>
      </w:r>
      <w:r w:rsidR="00B25C6A" w:rsidRPr="00265DCB">
        <w:t xml:space="preserve"> a</w:t>
      </w:r>
      <w:r w:rsidR="002F6116" w:rsidRPr="00265DCB">
        <w:t xml:space="preserve">sl. </w:t>
      </w:r>
      <w:r w:rsidR="00550F8E" w:rsidRPr="00265DCB">
        <w:t xml:space="preserve">Mt. </w:t>
      </w:r>
      <w:proofErr w:type="spellStart"/>
      <w:r w:rsidR="00550F8E" w:rsidRPr="00265DCB">
        <w:t>Lokon's</w:t>
      </w:r>
      <w:proofErr w:type="spellEnd"/>
      <w:r w:rsidR="00550F8E" w:rsidRPr="00265DCB">
        <w:t xml:space="preserve"> activity is in the </w:t>
      </w:r>
      <w:proofErr w:type="spellStart"/>
      <w:r w:rsidR="00550F8E" w:rsidRPr="00265DCB">
        <w:t>Tompaluan</w:t>
      </w:r>
      <w:proofErr w:type="spellEnd"/>
      <w:r w:rsidR="00550F8E" w:rsidRPr="00265DCB">
        <w:t xml:space="preserve"> crater, </w:t>
      </w:r>
      <w:r w:rsidR="002F6116" w:rsidRPr="00265DCB">
        <w:t xml:space="preserve">located on the saddle between the peaks of </w:t>
      </w:r>
      <w:proofErr w:type="spellStart"/>
      <w:r w:rsidR="002F6116" w:rsidRPr="00265DCB">
        <w:t>Lokon</w:t>
      </w:r>
      <w:proofErr w:type="spellEnd"/>
      <w:r w:rsidR="002F6116" w:rsidRPr="00265DCB">
        <w:t xml:space="preserve"> and </w:t>
      </w:r>
      <w:proofErr w:type="spellStart"/>
      <w:r w:rsidR="002F6116" w:rsidRPr="00265DCB">
        <w:t>Empung</w:t>
      </w:r>
      <w:proofErr w:type="spellEnd"/>
      <w:r w:rsidR="002F6116" w:rsidRPr="00265DCB">
        <w:t xml:space="preserve">. Mt </w:t>
      </w:r>
      <w:proofErr w:type="spellStart"/>
      <w:r w:rsidR="002F6116" w:rsidRPr="00265DCB">
        <w:t>Lokon</w:t>
      </w:r>
      <w:proofErr w:type="spellEnd"/>
      <w:r w:rsidR="002F6116" w:rsidRPr="00265DCB">
        <w:t xml:space="preserve"> erupted in June 2011 and August 2015</w:t>
      </w:r>
      <w:r w:rsidR="00A137AF" w:rsidRPr="00265DCB">
        <w:t xml:space="preserve"> (</w:t>
      </w:r>
      <w:proofErr w:type="spellStart"/>
      <w:r w:rsidR="00A137AF" w:rsidRPr="00265DCB">
        <w:t>Senduk</w:t>
      </w:r>
      <w:proofErr w:type="spellEnd"/>
      <w:r w:rsidR="00A137AF" w:rsidRPr="00265DCB">
        <w:t xml:space="preserve"> and </w:t>
      </w:r>
      <w:proofErr w:type="spellStart"/>
      <w:r w:rsidR="00A137AF" w:rsidRPr="00265DCB">
        <w:t>Abdurrachman</w:t>
      </w:r>
      <w:proofErr w:type="spellEnd"/>
      <w:r w:rsidR="00A137AF" w:rsidRPr="00265DCB">
        <w:t>, 2023</w:t>
      </w:r>
      <w:r w:rsidR="002F0502">
        <w:t xml:space="preserve">; </w:t>
      </w:r>
      <w:proofErr w:type="spellStart"/>
      <w:r w:rsidR="002F0502" w:rsidRPr="00265DCB">
        <w:t>Kriswati</w:t>
      </w:r>
      <w:proofErr w:type="spellEnd"/>
      <w:r w:rsidR="002F0502" w:rsidRPr="00265DCB">
        <w:t xml:space="preserve"> </w:t>
      </w:r>
      <w:r w:rsidR="002F0502" w:rsidRPr="00265DCB">
        <w:rPr>
          <w:i/>
          <w:iCs/>
        </w:rPr>
        <w:t>et al</w:t>
      </w:r>
      <w:r w:rsidR="002F0502" w:rsidRPr="00265DCB">
        <w:t>., 2012</w:t>
      </w:r>
      <w:r w:rsidR="00A137AF" w:rsidRPr="00265DCB">
        <w:t>)</w:t>
      </w:r>
      <w:r w:rsidR="00B25C6A" w:rsidRPr="00265DCB">
        <w:t xml:space="preserve">. </w:t>
      </w:r>
      <w:proofErr w:type="spellStart"/>
      <w:r w:rsidR="00EC7346" w:rsidRPr="00265DCB">
        <w:t>Tomohon</w:t>
      </w:r>
      <w:proofErr w:type="spellEnd"/>
      <w:r w:rsidR="00EC7346" w:rsidRPr="00265DCB">
        <w:t xml:space="preserve"> is well-known as a center for various horticultural </w:t>
      </w:r>
      <w:r w:rsidR="00550F8E" w:rsidRPr="00265DCB">
        <w:t>and</w:t>
      </w:r>
      <w:r w:rsidR="00EC7346" w:rsidRPr="00265DCB">
        <w:t xml:space="preserve"> flower farming in North Sulawesi province</w:t>
      </w:r>
      <w:r w:rsidR="00A137AF" w:rsidRPr="00265DCB">
        <w:t xml:space="preserve"> (Khalil </w:t>
      </w:r>
      <w:r w:rsidR="00A137AF" w:rsidRPr="00123835">
        <w:rPr>
          <w:i/>
          <w:iCs/>
        </w:rPr>
        <w:t>et al</w:t>
      </w:r>
      <w:r w:rsidR="00A137AF" w:rsidRPr="00265DCB">
        <w:t>., 2024)</w:t>
      </w:r>
      <w:r w:rsidR="00EC7346" w:rsidRPr="00265DCB">
        <w:t>.</w:t>
      </w:r>
    </w:p>
    <w:p w14:paraId="4F018D33" w14:textId="06FD2372" w:rsidR="002F6116" w:rsidRPr="00265DCB" w:rsidRDefault="002F6116" w:rsidP="00D227AB">
      <w:pPr>
        <w:spacing w:line="480" w:lineRule="auto"/>
        <w:ind w:firstLine="720"/>
        <w:jc w:val="both"/>
      </w:pPr>
      <w:proofErr w:type="spellStart"/>
      <w:r w:rsidRPr="00265DCB">
        <w:t>Gamalama</w:t>
      </w:r>
      <w:proofErr w:type="spellEnd"/>
      <w:r w:rsidRPr="00265DCB">
        <w:t xml:space="preserve"> </w:t>
      </w:r>
      <w:r w:rsidR="00582E17" w:rsidRPr="00265DCB">
        <w:t>v</w:t>
      </w:r>
      <w:r w:rsidRPr="00265DCB">
        <w:t>olcano (1,715 m</w:t>
      </w:r>
      <w:r w:rsidR="005A473E" w:rsidRPr="00265DCB">
        <w:t xml:space="preserve"> </w:t>
      </w:r>
      <w:r w:rsidRPr="00265DCB">
        <w:t xml:space="preserve">asl) </w:t>
      </w:r>
      <w:r w:rsidR="00E50B5D" w:rsidRPr="00265DCB">
        <w:t>is in</w:t>
      </w:r>
      <w:r w:rsidRPr="00265DCB">
        <w:t xml:space="preserve"> Ternate </w:t>
      </w:r>
      <w:r w:rsidR="00F928A6" w:rsidRPr="00265DCB">
        <w:t>city</w:t>
      </w:r>
      <w:r w:rsidRPr="00265DCB">
        <w:t xml:space="preserve">, North Maluku. Mt. </w:t>
      </w:r>
      <w:proofErr w:type="spellStart"/>
      <w:r w:rsidRPr="00265DCB">
        <w:t>Gamalama</w:t>
      </w:r>
      <w:proofErr w:type="spellEnd"/>
      <w:r w:rsidRPr="00265DCB">
        <w:t xml:space="preserve"> recorded </w:t>
      </w:r>
      <w:r w:rsidR="005A473E" w:rsidRPr="00265DCB">
        <w:t xml:space="preserve">its first eruption in </w:t>
      </w:r>
      <w:r w:rsidRPr="00265DCB">
        <w:t xml:space="preserve">1538. </w:t>
      </w:r>
      <w:r w:rsidR="00F928A6" w:rsidRPr="00265DCB">
        <w:rPr>
          <w:color w:val="202122"/>
          <w:shd w:val="clear" w:color="auto" w:fill="FFFFFF"/>
        </w:rPr>
        <w:t xml:space="preserve">An eruption in 1775 caused the deaths of approximately 1300 people. </w:t>
      </w:r>
      <w:r w:rsidRPr="00265DCB">
        <w:t xml:space="preserve">The </w:t>
      </w:r>
      <w:r w:rsidR="005A473E" w:rsidRPr="00265DCB">
        <w:t>volcano erupted in 1990, 2012, 2014,</w:t>
      </w:r>
      <w:r w:rsidR="00F928A6" w:rsidRPr="00265DCB">
        <w:t xml:space="preserve"> and</w:t>
      </w:r>
      <w:r w:rsidRPr="00265DCB">
        <w:t xml:space="preserve"> 2018</w:t>
      </w:r>
      <w:r w:rsidR="00F928A6" w:rsidRPr="00265DCB">
        <w:t>.</w:t>
      </w:r>
      <w:r w:rsidR="00ED043F" w:rsidRPr="00265DCB">
        <w:t xml:space="preserve"> </w:t>
      </w:r>
      <w:r w:rsidR="00EB24F3" w:rsidRPr="00265DCB">
        <w:t>T</w:t>
      </w:r>
      <w:r w:rsidRPr="00265DCB">
        <w:t>he longest eruption occurred in 2011 (</w:t>
      </w:r>
      <w:proofErr w:type="spellStart"/>
      <w:r w:rsidRPr="00265DCB">
        <w:t>Marfai</w:t>
      </w:r>
      <w:proofErr w:type="spellEnd"/>
      <w:r w:rsidRPr="00265DCB">
        <w:t xml:space="preserve"> </w:t>
      </w:r>
      <w:r w:rsidRPr="00265DCB">
        <w:rPr>
          <w:i/>
          <w:iCs/>
        </w:rPr>
        <w:t>et al</w:t>
      </w:r>
      <w:r w:rsidRPr="00265DCB">
        <w:t>., 2021)</w:t>
      </w:r>
      <w:r w:rsidR="00F003CD" w:rsidRPr="00265DCB">
        <w:t>.</w:t>
      </w:r>
      <w:r w:rsidR="00582E17" w:rsidRPr="00265DCB">
        <w:t xml:space="preserve"> </w:t>
      </w:r>
      <w:r w:rsidR="004605F2" w:rsidRPr="00265DCB">
        <w:t xml:space="preserve">Mt. Merapi is the most active volcano in Indonesia. The stratovolcano </w:t>
      </w:r>
      <w:r w:rsidR="005A473E" w:rsidRPr="00265DCB">
        <w:t>is in Central Jawa and Yogyakarta</w:t>
      </w:r>
      <w:r w:rsidR="00EB24F3" w:rsidRPr="00265DCB">
        <w:t xml:space="preserve"> province</w:t>
      </w:r>
      <w:r w:rsidR="005A473E" w:rsidRPr="00265DCB">
        <w:t>,</w:t>
      </w:r>
      <w:r w:rsidR="004605F2" w:rsidRPr="00265DCB">
        <w:t xml:space="preserve"> with the highest elevation of about 1700 m. </w:t>
      </w:r>
      <w:r w:rsidR="000B4413" w:rsidRPr="00265DCB">
        <w:t xml:space="preserve">Mt. </w:t>
      </w:r>
      <w:r w:rsidR="004605F2" w:rsidRPr="00265DCB">
        <w:t xml:space="preserve">Merapi often erupts and causes natural disasters, especially in the prone areas of </w:t>
      </w:r>
      <w:proofErr w:type="spellStart"/>
      <w:r w:rsidR="004605F2" w:rsidRPr="00265DCB">
        <w:t>Magelang</w:t>
      </w:r>
      <w:proofErr w:type="spellEnd"/>
      <w:r w:rsidR="004605F2" w:rsidRPr="00265DCB">
        <w:t xml:space="preserve"> </w:t>
      </w:r>
      <w:r w:rsidR="00EB24F3" w:rsidRPr="00265DCB">
        <w:t xml:space="preserve">and </w:t>
      </w:r>
      <w:proofErr w:type="spellStart"/>
      <w:r w:rsidR="00CB01E1" w:rsidRPr="00265DCB">
        <w:t>Sleman</w:t>
      </w:r>
      <w:proofErr w:type="spellEnd"/>
      <w:r w:rsidR="00CB01E1" w:rsidRPr="00265DCB">
        <w:t xml:space="preserve"> </w:t>
      </w:r>
      <w:r w:rsidR="00EB24F3" w:rsidRPr="00265DCB">
        <w:t>Regency</w:t>
      </w:r>
      <w:r w:rsidR="005A473E" w:rsidRPr="00265DCB">
        <w:t xml:space="preserve"> and the </w:t>
      </w:r>
      <w:r w:rsidR="004605F2" w:rsidRPr="00265DCB">
        <w:t>Special Region of Yogyakarta.</w:t>
      </w:r>
      <w:r w:rsidR="000B4413" w:rsidRPr="00265DCB">
        <w:t xml:space="preserve"> </w:t>
      </w:r>
      <w:r w:rsidR="005A473E" w:rsidRPr="00265DCB">
        <w:t>Multiple</w:t>
      </w:r>
      <w:r w:rsidR="000B4413" w:rsidRPr="00265DCB">
        <w:t xml:space="preserve"> se</w:t>
      </w:r>
      <w:r w:rsidR="00550F8E" w:rsidRPr="00265DCB">
        <w:t>vere</w:t>
      </w:r>
      <w:r w:rsidR="000B4413" w:rsidRPr="00265DCB">
        <w:t xml:space="preserve"> </w:t>
      </w:r>
      <w:r w:rsidR="005A473E" w:rsidRPr="00265DCB">
        <w:t xml:space="preserve">eruptions occurred in </w:t>
      </w:r>
      <w:r w:rsidR="000B4413" w:rsidRPr="00265DCB">
        <w:t>2010, 2018, 2021, and 2023</w:t>
      </w:r>
      <w:r w:rsidR="00560F2C" w:rsidRPr="00265DCB">
        <w:t xml:space="preserve"> (</w:t>
      </w:r>
      <w:proofErr w:type="spellStart"/>
      <w:r w:rsidR="004B24AE" w:rsidRPr="00265DCB">
        <w:t>Widyantoro</w:t>
      </w:r>
      <w:proofErr w:type="spellEnd"/>
      <w:r w:rsidR="004B24AE" w:rsidRPr="00265DCB">
        <w:t xml:space="preserve"> </w:t>
      </w:r>
      <w:r w:rsidR="004B24AE" w:rsidRPr="00265DCB">
        <w:rPr>
          <w:i/>
          <w:iCs/>
        </w:rPr>
        <w:t>et al</w:t>
      </w:r>
      <w:r w:rsidR="000B4413" w:rsidRPr="00265DCB">
        <w:t>.</w:t>
      </w:r>
      <w:r w:rsidR="004B24AE" w:rsidRPr="00265DCB">
        <w:t>, 2018)</w:t>
      </w:r>
      <w:r w:rsidR="00EB24F3" w:rsidRPr="00265DCB">
        <w:t>. Mount Sinabung is the most active volcano in North Sumatra, Karo Regency, North Sumatera Province. Geographically, the summit lies at 03◦10 N</w:t>
      </w:r>
      <w:r w:rsidR="00E50B5D" w:rsidRPr="00265DCB">
        <w:t xml:space="preserve"> and</w:t>
      </w:r>
      <w:r w:rsidR="00EB24F3" w:rsidRPr="00265DCB">
        <w:t xml:space="preserve"> 98◦23.5 E</w:t>
      </w:r>
      <w:r w:rsidR="00E50B5D" w:rsidRPr="00265DCB">
        <w:t xml:space="preserve"> at an altitude (</w:t>
      </w:r>
      <w:r w:rsidR="00EB24F3" w:rsidRPr="00265DCB">
        <w:t>height</w:t>
      </w:r>
      <w:r w:rsidR="00E50B5D" w:rsidRPr="00265DCB">
        <w:t xml:space="preserve">) </w:t>
      </w:r>
      <w:r w:rsidR="00EB24F3" w:rsidRPr="00265DCB">
        <w:t>of 2460 m asl. Karo highland around the Sinabung cultivates various horticultural and fruit crops and supplies vegetables and fruit in North Sumatra. Sinabung Volcano first erupted in 2010 and re-erupted periodically by May 2016, June 2019, August 2020, and March 2021 (</w:t>
      </w:r>
      <w:proofErr w:type="spellStart"/>
      <w:r w:rsidR="002F0502" w:rsidRPr="00265DCB">
        <w:t>Nurwihastuti</w:t>
      </w:r>
      <w:proofErr w:type="spellEnd"/>
      <w:r w:rsidR="002F0502" w:rsidRPr="00265DCB">
        <w:t xml:space="preserve"> </w:t>
      </w:r>
      <w:r w:rsidR="002F0502" w:rsidRPr="00265DCB">
        <w:rPr>
          <w:i/>
          <w:iCs/>
        </w:rPr>
        <w:t>et al</w:t>
      </w:r>
      <w:r w:rsidR="002F0502" w:rsidRPr="00265DCB">
        <w:t>., 2019</w:t>
      </w:r>
      <w:r w:rsidR="002F0502">
        <w:t>;</w:t>
      </w:r>
      <w:r w:rsidR="00EB24F3" w:rsidRPr="00123835">
        <w:t xml:space="preserve"> </w:t>
      </w:r>
      <w:proofErr w:type="spellStart"/>
      <w:r w:rsidR="00EB24F3" w:rsidRPr="00123835">
        <w:t>Kadavi</w:t>
      </w:r>
      <w:proofErr w:type="spellEnd"/>
      <w:r w:rsidR="00EB24F3" w:rsidRPr="00123835">
        <w:t xml:space="preserve"> </w:t>
      </w:r>
      <w:r w:rsidR="00EB24F3" w:rsidRPr="00123835">
        <w:rPr>
          <w:i/>
          <w:iCs/>
        </w:rPr>
        <w:t>et al</w:t>
      </w:r>
      <w:r w:rsidR="00EB24F3" w:rsidRPr="00123835">
        <w:t>., 2017;</w:t>
      </w:r>
      <w:r w:rsidR="00EB24F3" w:rsidRPr="00265DCB">
        <w:t xml:space="preserve"> Said </w:t>
      </w:r>
      <w:proofErr w:type="spellStart"/>
      <w:r w:rsidR="00EB24F3" w:rsidRPr="00265DCB">
        <w:t>Muzambiq</w:t>
      </w:r>
      <w:proofErr w:type="spellEnd"/>
      <w:r w:rsidR="00EB24F3" w:rsidRPr="00265DCB">
        <w:t xml:space="preserve"> </w:t>
      </w:r>
      <w:r w:rsidR="00EB24F3" w:rsidRPr="00265DCB">
        <w:rPr>
          <w:i/>
          <w:iCs/>
        </w:rPr>
        <w:t>et al</w:t>
      </w:r>
      <w:r w:rsidR="00EB24F3" w:rsidRPr="00265DCB">
        <w:t>., 2017;</w:t>
      </w:r>
      <w:r w:rsidR="002F0502">
        <w:t xml:space="preserve"> </w:t>
      </w:r>
      <w:proofErr w:type="spellStart"/>
      <w:r w:rsidR="002F0502" w:rsidRPr="00265DCB">
        <w:t>Tarigan</w:t>
      </w:r>
      <w:proofErr w:type="spellEnd"/>
      <w:r w:rsidR="002F0502" w:rsidRPr="00265DCB">
        <w:t xml:space="preserve">, </w:t>
      </w:r>
      <w:proofErr w:type="gramStart"/>
      <w:r w:rsidR="002F0502" w:rsidRPr="00265DCB">
        <w:t>2015</w:t>
      </w:r>
      <w:r w:rsidR="00EB24F3" w:rsidRPr="00265DCB">
        <w:t xml:space="preserve"> )</w:t>
      </w:r>
      <w:proofErr w:type="gramEnd"/>
      <w:r w:rsidR="00EB24F3" w:rsidRPr="00265DCB">
        <w:t>.</w:t>
      </w:r>
    </w:p>
    <w:p w14:paraId="33574C35" w14:textId="77777777" w:rsidR="00582E17" w:rsidRPr="00265DCB" w:rsidRDefault="00582E17" w:rsidP="00D227AB">
      <w:pPr>
        <w:spacing w:line="480" w:lineRule="auto"/>
        <w:jc w:val="both"/>
        <w:rPr>
          <w:b/>
          <w:bCs/>
        </w:rPr>
      </w:pPr>
    </w:p>
    <w:p w14:paraId="2033A6B7" w14:textId="4F03F9B9" w:rsidR="00582E17" w:rsidRPr="00265DCB" w:rsidRDefault="0088649D" w:rsidP="00D227AB">
      <w:pPr>
        <w:spacing w:line="480" w:lineRule="auto"/>
        <w:jc w:val="both"/>
        <w:rPr>
          <w:b/>
          <w:bCs/>
        </w:rPr>
      </w:pPr>
      <w:r w:rsidRPr="00265DCB">
        <w:rPr>
          <w:b/>
          <w:bCs/>
        </w:rPr>
        <w:t>Sampling sites</w:t>
      </w:r>
      <w:r w:rsidR="00582E17" w:rsidRPr="00265DCB">
        <w:rPr>
          <w:b/>
          <w:bCs/>
        </w:rPr>
        <w:t xml:space="preserve"> </w:t>
      </w:r>
    </w:p>
    <w:p w14:paraId="58F8CA26" w14:textId="2EB47FC4" w:rsidR="00582E17" w:rsidRPr="00265DCB" w:rsidRDefault="00582E17" w:rsidP="00D227AB">
      <w:pPr>
        <w:spacing w:line="480" w:lineRule="auto"/>
        <w:jc w:val="both"/>
      </w:pPr>
      <w:r w:rsidRPr="00265DCB">
        <w:tab/>
      </w:r>
      <w:r w:rsidR="001F1819">
        <w:t xml:space="preserve">Forage plants and soil samples </w:t>
      </w:r>
      <w:r w:rsidRPr="00265DCB">
        <w:t xml:space="preserve">were taken in </w:t>
      </w:r>
      <w:r w:rsidR="00ED043F" w:rsidRPr="00265DCB">
        <w:t xml:space="preserve">the most </w:t>
      </w:r>
      <w:r w:rsidRPr="00265DCB">
        <w:t>erupt</w:t>
      </w:r>
      <w:r w:rsidR="00ED043F" w:rsidRPr="00265DCB">
        <w:t>ion</w:t>
      </w:r>
      <w:r w:rsidRPr="00265DCB">
        <w:t>-impacted areas (Table 1)</w:t>
      </w:r>
      <w:r w:rsidR="008C5A70" w:rsidRPr="00265DCB">
        <w:t xml:space="preserve">. </w:t>
      </w:r>
      <w:r w:rsidRPr="00265DCB">
        <w:t xml:space="preserve">  </w:t>
      </w:r>
      <w:r w:rsidR="008C5A70" w:rsidRPr="00265DCB">
        <w:t xml:space="preserve">There are </w:t>
      </w:r>
      <w:proofErr w:type="spellStart"/>
      <w:r w:rsidR="00D60DCA" w:rsidRPr="00265DCB">
        <w:t>Besakih</w:t>
      </w:r>
      <w:proofErr w:type="spellEnd"/>
      <w:r w:rsidR="00D60DCA" w:rsidRPr="00265DCB">
        <w:t xml:space="preserve"> </w:t>
      </w:r>
      <w:r w:rsidR="008C5A70" w:rsidRPr="00265DCB">
        <w:t xml:space="preserve">village (Mt. </w:t>
      </w:r>
      <w:proofErr w:type="spellStart"/>
      <w:r w:rsidR="008C5A70" w:rsidRPr="00265DCB">
        <w:t>Agung</w:t>
      </w:r>
      <w:proofErr w:type="spellEnd"/>
      <w:r w:rsidR="008C5A70" w:rsidRPr="00265DCB">
        <w:t xml:space="preserve">), </w:t>
      </w:r>
      <w:proofErr w:type="spellStart"/>
      <w:r w:rsidR="000B4211" w:rsidRPr="00265DCB">
        <w:t>Takome</w:t>
      </w:r>
      <w:proofErr w:type="spellEnd"/>
      <w:r w:rsidR="000B4211" w:rsidRPr="00265DCB">
        <w:t xml:space="preserve"> </w:t>
      </w:r>
      <w:r w:rsidR="005A473E" w:rsidRPr="00265DCB">
        <w:t xml:space="preserve">sub-district </w:t>
      </w:r>
      <w:r w:rsidR="000B4211" w:rsidRPr="00265DCB">
        <w:t xml:space="preserve">(Mt. </w:t>
      </w:r>
      <w:proofErr w:type="spellStart"/>
      <w:r w:rsidR="000B4211" w:rsidRPr="00265DCB">
        <w:t>Gamalama</w:t>
      </w:r>
      <w:proofErr w:type="spellEnd"/>
      <w:r w:rsidR="000B4211" w:rsidRPr="00265DCB">
        <w:t xml:space="preserve">), </w:t>
      </w:r>
      <w:proofErr w:type="spellStart"/>
      <w:r w:rsidR="000B4211" w:rsidRPr="00265DCB">
        <w:t>Wailan</w:t>
      </w:r>
      <w:proofErr w:type="spellEnd"/>
      <w:r w:rsidR="005A473E" w:rsidRPr="00265DCB">
        <w:t xml:space="preserve"> sub-district</w:t>
      </w:r>
      <w:r w:rsidR="000B4211" w:rsidRPr="00265DCB">
        <w:t xml:space="preserve"> (Mt. </w:t>
      </w:r>
      <w:proofErr w:type="spellStart"/>
      <w:r w:rsidR="000B4211" w:rsidRPr="00265DCB">
        <w:t>Lokon</w:t>
      </w:r>
      <w:proofErr w:type="spellEnd"/>
      <w:r w:rsidR="000B4211" w:rsidRPr="00265DCB">
        <w:t xml:space="preserve">), </w:t>
      </w:r>
      <w:proofErr w:type="spellStart"/>
      <w:r w:rsidR="000B4211" w:rsidRPr="00265DCB">
        <w:t>Krincing</w:t>
      </w:r>
      <w:proofErr w:type="spellEnd"/>
      <w:r w:rsidR="005A473E" w:rsidRPr="00265DCB">
        <w:t xml:space="preserve"> </w:t>
      </w:r>
      <w:r w:rsidR="000B4211" w:rsidRPr="00265DCB">
        <w:t xml:space="preserve">(Mt. </w:t>
      </w:r>
      <w:proofErr w:type="spellStart"/>
      <w:r w:rsidR="000B4211" w:rsidRPr="00265DCB">
        <w:t>Merapi</w:t>
      </w:r>
      <w:proofErr w:type="spellEnd"/>
      <w:r w:rsidR="000B4211" w:rsidRPr="00265DCB">
        <w:t xml:space="preserve">), and </w:t>
      </w:r>
      <w:proofErr w:type="spellStart"/>
      <w:r w:rsidR="000B4211" w:rsidRPr="00265DCB">
        <w:t>Sigarang</w:t>
      </w:r>
      <w:proofErr w:type="spellEnd"/>
      <w:r w:rsidR="000B4211" w:rsidRPr="00265DCB">
        <w:t xml:space="preserve"> </w:t>
      </w:r>
      <w:proofErr w:type="spellStart"/>
      <w:r w:rsidR="000B4211" w:rsidRPr="00265DCB">
        <w:t>garang</w:t>
      </w:r>
      <w:proofErr w:type="spellEnd"/>
      <w:r w:rsidR="000B4211" w:rsidRPr="00265DCB">
        <w:t xml:space="preserve"> (Mt. Sinabung). </w:t>
      </w:r>
      <w:r w:rsidR="00227FA7" w:rsidRPr="00265DCB">
        <w:t xml:space="preserve">Forage plants in the selected locations were </w:t>
      </w:r>
      <w:r w:rsidR="00AE175E" w:rsidRPr="00265DCB">
        <w:t>severe</w:t>
      </w:r>
      <w:r w:rsidR="0062766E" w:rsidRPr="00265DCB">
        <w:t>ly</w:t>
      </w:r>
      <w:r w:rsidR="00227FA7" w:rsidRPr="00265DCB">
        <w:t xml:space="preserve"> damaged by volcanic materials composed of </w:t>
      </w:r>
      <w:r w:rsidR="00227FA7" w:rsidRPr="00265DCB">
        <w:lastRenderedPageBreak/>
        <w:t xml:space="preserve">gravel, sand, and ash, leading to primary succession (Khalil </w:t>
      </w:r>
      <w:r w:rsidR="00227FA7" w:rsidRPr="00265DCB">
        <w:rPr>
          <w:i/>
          <w:iCs/>
        </w:rPr>
        <w:t>et al</w:t>
      </w:r>
      <w:r w:rsidR="00227FA7" w:rsidRPr="00265DCB">
        <w:t>.</w:t>
      </w:r>
      <w:r w:rsidR="00D227AB" w:rsidRPr="00265DCB">
        <w:t xml:space="preserve">, </w:t>
      </w:r>
      <w:r w:rsidR="00227FA7" w:rsidRPr="00265DCB">
        <w:t xml:space="preserve">2024). </w:t>
      </w:r>
      <w:proofErr w:type="spellStart"/>
      <w:r w:rsidR="000B4211" w:rsidRPr="00265DCB">
        <w:t>Besakih</w:t>
      </w:r>
      <w:proofErr w:type="spellEnd"/>
      <w:r w:rsidR="000B4211" w:rsidRPr="00265DCB">
        <w:t xml:space="preserve"> </w:t>
      </w:r>
      <w:r w:rsidR="00D60DCA" w:rsidRPr="00265DCB">
        <w:t xml:space="preserve">is a village in </w:t>
      </w:r>
      <w:r w:rsidR="005A473E" w:rsidRPr="00265DCB">
        <w:t xml:space="preserve">the </w:t>
      </w:r>
      <w:r w:rsidR="00D60DCA" w:rsidRPr="00265DCB">
        <w:t xml:space="preserve">Rendang sub-district, Karangasem Regency, Bali Province. </w:t>
      </w:r>
      <w:proofErr w:type="spellStart"/>
      <w:r w:rsidR="00D60DCA" w:rsidRPr="00265DCB">
        <w:t>Besakih</w:t>
      </w:r>
      <w:proofErr w:type="spellEnd"/>
      <w:r w:rsidR="00D60DCA" w:rsidRPr="00265DCB">
        <w:t xml:space="preserve"> </w:t>
      </w:r>
      <w:r w:rsidR="000B4211" w:rsidRPr="00265DCB">
        <w:t xml:space="preserve">village </w:t>
      </w:r>
      <w:r w:rsidR="00D60DCA" w:rsidRPr="00265DCB">
        <w:t xml:space="preserve">of ​​approximately 21.23 km² is located about 6 km from the </w:t>
      </w:r>
      <w:r w:rsidR="005A473E" w:rsidRPr="00265DCB">
        <w:t>crater</w:t>
      </w:r>
      <w:r w:rsidR="00D60DCA" w:rsidRPr="00265DCB">
        <w:t xml:space="preserve"> center of Mount Agung.</w:t>
      </w:r>
      <w:r w:rsidRPr="00265DCB">
        <w:t xml:space="preserve"> </w:t>
      </w:r>
      <w:r w:rsidR="00BD000B" w:rsidRPr="00265DCB">
        <w:t xml:space="preserve">Three villages </w:t>
      </w:r>
      <w:r w:rsidR="00ED043F" w:rsidRPr="00265DCB">
        <w:t>close to Mount Agung's center</w:t>
      </w:r>
      <w:r w:rsidR="00BD000B" w:rsidRPr="00265DCB">
        <w:t xml:space="preserve"> </w:t>
      </w:r>
      <w:r w:rsidR="000B4211" w:rsidRPr="00265DCB">
        <w:t>are</w:t>
      </w:r>
      <w:r w:rsidR="00BD000B" w:rsidRPr="00265DCB">
        <w:t xml:space="preserve"> often severely </w:t>
      </w:r>
      <w:r w:rsidR="000B4211" w:rsidRPr="00265DCB">
        <w:t>impacted</w:t>
      </w:r>
      <w:r w:rsidR="00BD000B" w:rsidRPr="00265DCB">
        <w:t xml:space="preserve"> by the eruption of Mount </w:t>
      </w:r>
      <w:proofErr w:type="spellStart"/>
      <w:r w:rsidR="00BD000B" w:rsidRPr="00265DCB">
        <w:t>Agung</w:t>
      </w:r>
      <w:proofErr w:type="spellEnd"/>
      <w:r w:rsidR="00BD000B" w:rsidRPr="00265DCB">
        <w:t xml:space="preserve">, namely </w:t>
      </w:r>
      <w:proofErr w:type="spellStart"/>
      <w:r w:rsidR="00BD000B" w:rsidRPr="00265DCB">
        <w:t>Besakih</w:t>
      </w:r>
      <w:proofErr w:type="spellEnd"/>
      <w:r w:rsidR="00BD000B" w:rsidRPr="00265DCB">
        <w:t xml:space="preserve">, </w:t>
      </w:r>
      <w:proofErr w:type="spellStart"/>
      <w:r w:rsidR="00BD000B" w:rsidRPr="00265DCB">
        <w:t>Temukus</w:t>
      </w:r>
      <w:proofErr w:type="spellEnd"/>
      <w:r w:rsidR="00BD000B" w:rsidRPr="00265DCB">
        <w:t xml:space="preserve">, and </w:t>
      </w:r>
      <w:proofErr w:type="spellStart"/>
      <w:r w:rsidR="00BD000B" w:rsidRPr="00265DCB">
        <w:t>Kedundung</w:t>
      </w:r>
      <w:proofErr w:type="spellEnd"/>
      <w:r w:rsidR="002A198B" w:rsidRPr="00265DCB">
        <w:t xml:space="preserve"> (Devi </w:t>
      </w:r>
      <w:r w:rsidR="002A198B" w:rsidRPr="00265DCB">
        <w:rPr>
          <w:i/>
          <w:iCs/>
        </w:rPr>
        <w:t>et al</w:t>
      </w:r>
      <w:r w:rsidR="002A198B" w:rsidRPr="00265DCB">
        <w:t>., 2019)</w:t>
      </w:r>
      <w:r w:rsidR="00BD000B" w:rsidRPr="00265DCB">
        <w:t xml:space="preserve">. </w:t>
      </w:r>
    </w:p>
    <w:p w14:paraId="7360BD8E" w14:textId="77777777" w:rsidR="00582E17" w:rsidRPr="00265DCB" w:rsidRDefault="00582E17" w:rsidP="00D227AB">
      <w:pPr>
        <w:spacing w:line="480" w:lineRule="auto"/>
        <w:jc w:val="both"/>
      </w:pPr>
    </w:p>
    <w:p w14:paraId="7757382A" w14:textId="586D0070" w:rsidR="008B1971" w:rsidRPr="00265DCB" w:rsidRDefault="008B1971" w:rsidP="00582E17">
      <w:pPr>
        <w:ind w:left="990" w:hanging="990"/>
        <w:jc w:val="both"/>
      </w:pPr>
      <w:r w:rsidRPr="00265DCB">
        <w:t>Table 1.</w:t>
      </w:r>
      <w:r w:rsidRPr="00265DCB">
        <w:rPr>
          <w:b/>
          <w:bCs/>
        </w:rPr>
        <w:t xml:space="preserve"> </w:t>
      </w:r>
      <w:r w:rsidRPr="00265DCB">
        <w:t>S</w:t>
      </w:r>
      <w:r w:rsidR="00582E17" w:rsidRPr="00265DCB">
        <w:t xml:space="preserve">ampling </w:t>
      </w:r>
      <w:r w:rsidRPr="00265DCB">
        <w:t>sites</w:t>
      </w:r>
      <w:r w:rsidR="000339F9" w:rsidRPr="00265DCB">
        <w:t xml:space="preserve"> of </w:t>
      </w:r>
      <w:r w:rsidR="00582E17" w:rsidRPr="00265DCB">
        <w:t xml:space="preserve">forage plants and soils in the </w:t>
      </w:r>
      <w:r w:rsidR="000339F9" w:rsidRPr="00265DCB">
        <w:t>eruption-impacted areas in five volcanoes in Indonesia</w:t>
      </w:r>
    </w:p>
    <w:tbl>
      <w:tblPr>
        <w:tblStyle w:val="TableGrid"/>
        <w:tblW w:w="90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1360"/>
        <w:gridCol w:w="1523"/>
        <w:gridCol w:w="1510"/>
        <w:gridCol w:w="1270"/>
        <w:gridCol w:w="1432"/>
      </w:tblGrid>
      <w:tr w:rsidR="008B1971" w:rsidRPr="00265DCB" w14:paraId="283894EE" w14:textId="77777777" w:rsidTr="00226CDE">
        <w:tc>
          <w:tcPr>
            <w:tcW w:w="1377" w:type="dxa"/>
            <w:vMerge w:val="restart"/>
          </w:tcPr>
          <w:p w14:paraId="6812954C" w14:textId="77777777" w:rsidR="008B1971" w:rsidRPr="00265DCB" w:rsidRDefault="008B1971" w:rsidP="00CF7B9C">
            <w:pPr>
              <w:jc w:val="center"/>
            </w:pPr>
            <w:r w:rsidRPr="00265DCB">
              <w:t>Sampling sites</w:t>
            </w:r>
          </w:p>
        </w:tc>
        <w:tc>
          <w:tcPr>
            <w:tcW w:w="7708" w:type="dxa"/>
            <w:gridSpan w:val="5"/>
            <w:tcBorders>
              <w:bottom w:val="single" w:sz="4" w:space="0" w:color="auto"/>
            </w:tcBorders>
          </w:tcPr>
          <w:p w14:paraId="2BF67022" w14:textId="77777777" w:rsidR="008B1971" w:rsidRPr="00265DCB" w:rsidRDefault="008B1971" w:rsidP="00CF7B9C">
            <w:pPr>
              <w:jc w:val="center"/>
            </w:pPr>
            <w:r w:rsidRPr="00265DCB">
              <w:t>Name of volcanic mountains:</w:t>
            </w:r>
          </w:p>
        </w:tc>
      </w:tr>
      <w:tr w:rsidR="008B1971" w:rsidRPr="00265DCB" w14:paraId="2F985B3D" w14:textId="77777777" w:rsidTr="00226CDE">
        <w:tc>
          <w:tcPr>
            <w:tcW w:w="1377" w:type="dxa"/>
            <w:vMerge/>
            <w:tcBorders>
              <w:bottom w:val="single" w:sz="4" w:space="0" w:color="auto"/>
            </w:tcBorders>
          </w:tcPr>
          <w:p w14:paraId="1DB63A5E" w14:textId="77777777" w:rsidR="008B1971" w:rsidRPr="00265DCB" w:rsidRDefault="008B1971" w:rsidP="00CF7B9C">
            <w:pPr>
              <w:jc w:val="both"/>
            </w:pPr>
          </w:p>
        </w:tc>
        <w:tc>
          <w:tcPr>
            <w:tcW w:w="1498" w:type="dxa"/>
            <w:tcBorders>
              <w:top w:val="single" w:sz="4" w:space="0" w:color="auto"/>
              <w:bottom w:val="single" w:sz="4" w:space="0" w:color="auto"/>
            </w:tcBorders>
          </w:tcPr>
          <w:p w14:paraId="72E9DBB2" w14:textId="77777777" w:rsidR="008B1971" w:rsidRPr="00265DCB" w:rsidRDefault="008B1971" w:rsidP="00CF7B9C">
            <w:pPr>
              <w:jc w:val="center"/>
            </w:pPr>
            <w:r w:rsidRPr="00265DCB">
              <w:rPr>
                <w:bCs/>
              </w:rPr>
              <w:t>Agung</w:t>
            </w:r>
          </w:p>
        </w:tc>
        <w:tc>
          <w:tcPr>
            <w:tcW w:w="1650" w:type="dxa"/>
            <w:tcBorders>
              <w:top w:val="single" w:sz="4" w:space="0" w:color="auto"/>
              <w:bottom w:val="single" w:sz="4" w:space="0" w:color="auto"/>
            </w:tcBorders>
          </w:tcPr>
          <w:p w14:paraId="109E3AAC" w14:textId="77777777" w:rsidR="008B1971" w:rsidRPr="00265DCB" w:rsidRDefault="008B1971" w:rsidP="00CF7B9C">
            <w:pPr>
              <w:jc w:val="center"/>
            </w:pPr>
            <w:proofErr w:type="spellStart"/>
            <w:r w:rsidRPr="00265DCB">
              <w:rPr>
                <w:bCs/>
              </w:rPr>
              <w:t>Gamalama</w:t>
            </w:r>
            <w:proofErr w:type="spellEnd"/>
          </w:p>
        </w:tc>
        <w:tc>
          <w:tcPr>
            <w:tcW w:w="1680" w:type="dxa"/>
            <w:tcBorders>
              <w:top w:val="single" w:sz="4" w:space="0" w:color="auto"/>
              <w:bottom w:val="single" w:sz="4" w:space="0" w:color="auto"/>
            </w:tcBorders>
          </w:tcPr>
          <w:p w14:paraId="213D8777" w14:textId="77777777" w:rsidR="008B1971" w:rsidRPr="00265DCB" w:rsidRDefault="008B1971" w:rsidP="00CF7B9C">
            <w:pPr>
              <w:jc w:val="center"/>
            </w:pPr>
            <w:proofErr w:type="spellStart"/>
            <w:r w:rsidRPr="00265DCB">
              <w:rPr>
                <w:bCs/>
              </w:rPr>
              <w:t>Lokon</w:t>
            </w:r>
            <w:proofErr w:type="spellEnd"/>
          </w:p>
        </w:tc>
        <w:tc>
          <w:tcPr>
            <w:tcW w:w="1314" w:type="dxa"/>
            <w:tcBorders>
              <w:top w:val="single" w:sz="4" w:space="0" w:color="auto"/>
              <w:bottom w:val="single" w:sz="4" w:space="0" w:color="auto"/>
            </w:tcBorders>
          </w:tcPr>
          <w:p w14:paraId="5082B5CC" w14:textId="77777777" w:rsidR="008B1971" w:rsidRPr="00265DCB" w:rsidRDefault="008B1971" w:rsidP="00CF7B9C">
            <w:pPr>
              <w:jc w:val="center"/>
            </w:pPr>
            <w:r w:rsidRPr="00265DCB">
              <w:rPr>
                <w:bCs/>
              </w:rPr>
              <w:t>Merapi</w:t>
            </w:r>
          </w:p>
        </w:tc>
        <w:tc>
          <w:tcPr>
            <w:tcW w:w="1566" w:type="dxa"/>
            <w:tcBorders>
              <w:top w:val="single" w:sz="4" w:space="0" w:color="auto"/>
              <w:bottom w:val="single" w:sz="4" w:space="0" w:color="auto"/>
            </w:tcBorders>
          </w:tcPr>
          <w:p w14:paraId="41853D95" w14:textId="77777777" w:rsidR="008B1971" w:rsidRPr="00265DCB" w:rsidRDefault="008B1971" w:rsidP="00CF7B9C">
            <w:pPr>
              <w:jc w:val="center"/>
            </w:pPr>
            <w:r w:rsidRPr="00265DCB">
              <w:rPr>
                <w:bCs/>
              </w:rPr>
              <w:t>Sinabung</w:t>
            </w:r>
          </w:p>
        </w:tc>
      </w:tr>
      <w:tr w:rsidR="008B1971" w:rsidRPr="00265DCB" w14:paraId="2347869E" w14:textId="77777777" w:rsidTr="00770C31">
        <w:tc>
          <w:tcPr>
            <w:tcW w:w="1377" w:type="dxa"/>
            <w:tcBorders>
              <w:top w:val="single" w:sz="4" w:space="0" w:color="auto"/>
              <w:bottom w:val="nil"/>
            </w:tcBorders>
            <w:vAlign w:val="center"/>
          </w:tcPr>
          <w:p w14:paraId="02F11266" w14:textId="77777777" w:rsidR="008B1971" w:rsidRPr="00265DCB" w:rsidRDefault="008B1971" w:rsidP="00CF7B9C">
            <w:pPr>
              <w:jc w:val="both"/>
            </w:pPr>
            <w:r w:rsidRPr="00265DCB">
              <w:t>Province</w:t>
            </w:r>
          </w:p>
        </w:tc>
        <w:tc>
          <w:tcPr>
            <w:tcW w:w="1498" w:type="dxa"/>
            <w:tcBorders>
              <w:top w:val="single" w:sz="4" w:space="0" w:color="auto"/>
              <w:bottom w:val="nil"/>
            </w:tcBorders>
            <w:vAlign w:val="center"/>
          </w:tcPr>
          <w:p w14:paraId="755B815C" w14:textId="77777777" w:rsidR="008B1971" w:rsidRPr="00265DCB" w:rsidRDefault="008B1971" w:rsidP="00CF7B9C">
            <w:pPr>
              <w:jc w:val="center"/>
            </w:pPr>
            <w:r w:rsidRPr="00265DCB">
              <w:t>Bali</w:t>
            </w:r>
          </w:p>
        </w:tc>
        <w:tc>
          <w:tcPr>
            <w:tcW w:w="1650" w:type="dxa"/>
            <w:tcBorders>
              <w:top w:val="single" w:sz="4" w:space="0" w:color="auto"/>
              <w:bottom w:val="nil"/>
            </w:tcBorders>
            <w:vAlign w:val="center"/>
          </w:tcPr>
          <w:p w14:paraId="527E8A01" w14:textId="77777777" w:rsidR="008B1971" w:rsidRPr="00265DCB" w:rsidRDefault="008B1971" w:rsidP="00CF7B9C">
            <w:pPr>
              <w:jc w:val="center"/>
            </w:pPr>
            <w:r w:rsidRPr="00265DCB">
              <w:t>North Maluku</w:t>
            </w:r>
          </w:p>
        </w:tc>
        <w:tc>
          <w:tcPr>
            <w:tcW w:w="1680" w:type="dxa"/>
            <w:tcBorders>
              <w:top w:val="single" w:sz="4" w:space="0" w:color="auto"/>
              <w:bottom w:val="nil"/>
            </w:tcBorders>
            <w:vAlign w:val="center"/>
          </w:tcPr>
          <w:p w14:paraId="5B812233" w14:textId="77777777" w:rsidR="008B1971" w:rsidRPr="00265DCB" w:rsidRDefault="008B1971" w:rsidP="00CF7B9C">
            <w:pPr>
              <w:jc w:val="center"/>
            </w:pPr>
            <w:r w:rsidRPr="00265DCB">
              <w:t>North Sulawesi</w:t>
            </w:r>
          </w:p>
        </w:tc>
        <w:tc>
          <w:tcPr>
            <w:tcW w:w="1314" w:type="dxa"/>
            <w:tcBorders>
              <w:top w:val="single" w:sz="4" w:space="0" w:color="auto"/>
              <w:bottom w:val="nil"/>
            </w:tcBorders>
            <w:vAlign w:val="center"/>
          </w:tcPr>
          <w:p w14:paraId="0409F691" w14:textId="77777777" w:rsidR="008B1971" w:rsidRPr="00265DCB" w:rsidRDefault="008B1971" w:rsidP="00CF7B9C">
            <w:pPr>
              <w:jc w:val="center"/>
            </w:pPr>
            <w:r w:rsidRPr="00265DCB">
              <w:t>Central Java</w:t>
            </w:r>
          </w:p>
        </w:tc>
        <w:tc>
          <w:tcPr>
            <w:tcW w:w="1566" w:type="dxa"/>
            <w:tcBorders>
              <w:top w:val="single" w:sz="4" w:space="0" w:color="auto"/>
              <w:bottom w:val="nil"/>
            </w:tcBorders>
            <w:vAlign w:val="center"/>
          </w:tcPr>
          <w:p w14:paraId="0D44CBB5" w14:textId="77777777" w:rsidR="008B1971" w:rsidRPr="00265DCB" w:rsidRDefault="008B1971" w:rsidP="00CF7B9C">
            <w:pPr>
              <w:jc w:val="center"/>
            </w:pPr>
            <w:r w:rsidRPr="00265DCB">
              <w:t>North Sumatra</w:t>
            </w:r>
          </w:p>
        </w:tc>
      </w:tr>
      <w:tr w:rsidR="008B1971" w:rsidRPr="00265DCB" w14:paraId="72F1AE29" w14:textId="77777777" w:rsidTr="00770C31">
        <w:tc>
          <w:tcPr>
            <w:tcW w:w="1377" w:type="dxa"/>
            <w:tcBorders>
              <w:top w:val="nil"/>
            </w:tcBorders>
            <w:vAlign w:val="center"/>
          </w:tcPr>
          <w:p w14:paraId="0A042728" w14:textId="77777777" w:rsidR="008B1971" w:rsidRPr="00265DCB" w:rsidRDefault="008B1971" w:rsidP="00CF7B9C">
            <w:pPr>
              <w:jc w:val="both"/>
            </w:pPr>
            <w:r w:rsidRPr="00265DCB">
              <w:t>Regency/city</w:t>
            </w:r>
          </w:p>
        </w:tc>
        <w:tc>
          <w:tcPr>
            <w:tcW w:w="1498" w:type="dxa"/>
            <w:tcBorders>
              <w:top w:val="nil"/>
            </w:tcBorders>
            <w:vAlign w:val="center"/>
          </w:tcPr>
          <w:p w14:paraId="5C5ECF25" w14:textId="77777777" w:rsidR="008B1971" w:rsidRPr="00265DCB" w:rsidRDefault="008B1971" w:rsidP="00CF7B9C">
            <w:pPr>
              <w:jc w:val="center"/>
            </w:pPr>
            <w:r w:rsidRPr="00265DCB">
              <w:t>Karang Asem</w:t>
            </w:r>
          </w:p>
        </w:tc>
        <w:tc>
          <w:tcPr>
            <w:tcW w:w="1650" w:type="dxa"/>
            <w:tcBorders>
              <w:top w:val="nil"/>
            </w:tcBorders>
            <w:vAlign w:val="center"/>
          </w:tcPr>
          <w:p w14:paraId="3C3D9F53" w14:textId="77777777" w:rsidR="008B1971" w:rsidRPr="00265DCB" w:rsidRDefault="008B1971" w:rsidP="00CF7B9C">
            <w:pPr>
              <w:jc w:val="center"/>
            </w:pPr>
            <w:r w:rsidRPr="00265DCB">
              <w:t>Ternate</w:t>
            </w:r>
          </w:p>
        </w:tc>
        <w:tc>
          <w:tcPr>
            <w:tcW w:w="1680" w:type="dxa"/>
            <w:tcBorders>
              <w:top w:val="nil"/>
            </w:tcBorders>
            <w:vAlign w:val="center"/>
          </w:tcPr>
          <w:p w14:paraId="231607AC" w14:textId="77777777" w:rsidR="008B1971" w:rsidRPr="00265DCB" w:rsidRDefault="008B1971" w:rsidP="00CF7B9C">
            <w:pPr>
              <w:jc w:val="center"/>
            </w:pPr>
            <w:proofErr w:type="spellStart"/>
            <w:r w:rsidRPr="00265DCB">
              <w:t>Tomohon</w:t>
            </w:r>
            <w:proofErr w:type="spellEnd"/>
          </w:p>
        </w:tc>
        <w:tc>
          <w:tcPr>
            <w:tcW w:w="1314" w:type="dxa"/>
            <w:tcBorders>
              <w:top w:val="nil"/>
            </w:tcBorders>
            <w:vAlign w:val="center"/>
          </w:tcPr>
          <w:p w14:paraId="1F312721" w14:textId="77777777" w:rsidR="008B1971" w:rsidRPr="00265DCB" w:rsidRDefault="008B1971" w:rsidP="00CF7B9C">
            <w:pPr>
              <w:jc w:val="center"/>
            </w:pPr>
            <w:proofErr w:type="spellStart"/>
            <w:r w:rsidRPr="00265DCB">
              <w:t>Magelang</w:t>
            </w:r>
            <w:proofErr w:type="spellEnd"/>
          </w:p>
        </w:tc>
        <w:tc>
          <w:tcPr>
            <w:tcW w:w="1566" w:type="dxa"/>
            <w:tcBorders>
              <w:top w:val="nil"/>
            </w:tcBorders>
            <w:vAlign w:val="center"/>
          </w:tcPr>
          <w:p w14:paraId="3BB6E811" w14:textId="77777777" w:rsidR="008B1971" w:rsidRPr="00265DCB" w:rsidRDefault="008B1971" w:rsidP="00CF7B9C">
            <w:pPr>
              <w:jc w:val="center"/>
            </w:pPr>
            <w:r w:rsidRPr="00265DCB">
              <w:t>Karo</w:t>
            </w:r>
          </w:p>
        </w:tc>
      </w:tr>
      <w:tr w:rsidR="008B1971" w:rsidRPr="00265DCB" w14:paraId="18960995" w14:textId="77777777" w:rsidTr="00770C31">
        <w:tc>
          <w:tcPr>
            <w:tcW w:w="1377" w:type="dxa"/>
            <w:vAlign w:val="center"/>
          </w:tcPr>
          <w:p w14:paraId="3CB360DE" w14:textId="2F240A8A" w:rsidR="008B1971" w:rsidRPr="00265DCB" w:rsidRDefault="0040516B" w:rsidP="00CF7B9C">
            <w:pPr>
              <w:jc w:val="both"/>
            </w:pPr>
            <w:r w:rsidRPr="00265DCB">
              <w:t>D</w:t>
            </w:r>
            <w:r w:rsidR="008B1971" w:rsidRPr="00265DCB">
              <w:t>istrict</w:t>
            </w:r>
          </w:p>
        </w:tc>
        <w:tc>
          <w:tcPr>
            <w:tcW w:w="1498" w:type="dxa"/>
            <w:vAlign w:val="center"/>
          </w:tcPr>
          <w:p w14:paraId="4897F5CC" w14:textId="77777777" w:rsidR="008B1971" w:rsidRPr="00265DCB" w:rsidRDefault="008B1971" w:rsidP="00CF7B9C">
            <w:pPr>
              <w:jc w:val="center"/>
            </w:pPr>
            <w:r w:rsidRPr="00265DCB">
              <w:t>Rendang</w:t>
            </w:r>
          </w:p>
        </w:tc>
        <w:tc>
          <w:tcPr>
            <w:tcW w:w="1650" w:type="dxa"/>
            <w:vAlign w:val="center"/>
          </w:tcPr>
          <w:p w14:paraId="08BD6216" w14:textId="77777777" w:rsidR="008B1971" w:rsidRPr="00265DCB" w:rsidRDefault="008B1971" w:rsidP="00CF7B9C">
            <w:pPr>
              <w:jc w:val="center"/>
            </w:pPr>
            <w:r w:rsidRPr="00265DCB">
              <w:t>West Ternate</w:t>
            </w:r>
          </w:p>
        </w:tc>
        <w:tc>
          <w:tcPr>
            <w:tcW w:w="1680" w:type="dxa"/>
            <w:vAlign w:val="center"/>
          </w:tcPr>
          <w:p w14:paraId="6468AAB3" w14:textId="77777777" w:rsidR="008B1971" w:rsidRPr="00265DCB" w:rsidRDefault="008B1971" w:rsidP="00CF7B9C">
            <w:pPr>
              <w:jc w:val="center"/>
            </w:pPr>
            <w:r w:rsidRPr="00265DCB">
              <w:t xml:space="preserve">North </w:t>
            </w:r>
            <w:proofErr w:type="spellStart"/>
            <w:r w:rsidRPr="00265DCB">
              <w:t>Tomohon</w:t>
            </w:r>
            <w:proofErr w:type="spellEnd"/>
          </w:p>
        </w:tc>
        <w:tc>
          <w:tcPr>
            <w:tcW w:w="1314" w:type="dxa"/>
            <w:vAlign w:val="center"/>
          </w:tcPr>
          <w:p w14:paraId="1E698486" w14:textId="77777777" w:rsidR="008B1971" w:rsidRPr="00265DCB" w:rsidRDefault="008B1971" w:rsidP="00CF7B9C">
            <w:pPr>
              <w:jc w:val="center"/>
            </w:pPr>
            <w:r w:rsidRPr="00265DCB">
              <w:t>Dukun</w:t>
            </w:r>
          </w:p>
        </w:tc>
        <w:tc>
          <w:tcPr>
            <w:tcW w:w="1566" w:type="dxa"/>
            <w:vAlign w:val="center"/>
          </w:tcPr>
          <w:p w14:paraId="510DC6F2" w14:textId="77777777" w:rsidR="008B1971" w:rsidRPr="00265DCB" w:rsidRDefault="008B1971" w:rsidP="00CF7B9C">
            <w:pPr>
              <w:jc w:val="center"/>
            </w:pPr>
            <w:r w:rsidRPr="00265DCB">
              <w:t>Naman Teran</w:t>
            </w:r>
          </w:p>
        </w:tc>
      </w:tr>
      <w:tr w:rsidR="008B1971" w:rsidRPr="00265DCB" w14:paraId="77E56CAB" w14:textId="77777777" w:rsidTr="00770C31">
        <w:tc>
          <w:tcPr>
            <w:tcW w:w="1377" w:type="dxa"/>
            <w:vAlign w:val="center"/>
          </w:tcPr>
          <w:p w14:paraId="4EFA6089" w14:textId="36EE5BA5" w:rsidR="008B1971" w:rsidRPr="00265DCB" w:rsidRDefault="008B1971" w:rsidP="00CF7B9C">
            <w:pPr>
              <w:jc w:val="both"/>
            </w:pPr>
            <w:r w:rsidRPr="00265DCB">
              <w:t>Village</w:t>
            </w:r>
            <w:r w:rsidR="0040516B" w:rsidRPr="00265DCB">
              <w:t>/subdistrict</w:t>
            </w:r>
          </w:p>
        </w:tc>
        <w:tc>
          <w:tcPr>
            <w:tcW w:w="1498" w:type="dxa"/>
            <w:vAlign w:val="center"/>
          </w:tcPr>
          <w:p w14:paraId="76564594" w14:textId="77777777" w:rsidR="008B1971" w:rsidRPr="00265DCB" w:rsidRDefault="008B1971" w:rsidP="00CF7B9C">
            <w:pPr>
              <w:jc w:val="center"/>
            </w:pPr>
            <w:proofErr w:type="spellStart"/>
            <w:r w:rsidRPr="00265DCB">
              <w:t>Besakih</w:t>
            </w:r>
            <w:proofErr w:type="spellEnd"/>
          </w:p>
        </w:tc>
        <w:tc>
          <w:tcPr>
            <w:tcW w:w="1650" w:type="dxa"/>
            <w:vAlign w:val="center"/>
          </w:tcPr>
          <w:p w14:paraId="66B8287D" w14:textId="77777777" w:rsidR="008B1971" w:rsidRPr="00265DCB" w:rsidRDefault="008B1971" w:rsidP="00CF7B9C">
            <w:pPr>
              <w:jc w:val="center"/>
            </w:pPr>
            <w:proofErr w:type="spellStart"/>
            <w:r w:rsidRPr="00265DCB">
              <w:t>Takome</w:t>
            </w:r>
            <w:proofErr w:type="spellEnd"/>
          </w:p>
        </w:tc>
        <w:tc>
          <w:tcPr>
            <w:tcW w:w="1680" w:type="dxa"/>
            <w:vAlign w:val="center"/>
          </w:tcPr>
          <w:p w14:paraId="41F628A3" w14:textId="41605761" w:rsidR="008B1971" w:rsidRPr="00265DCB" w:rsidRDefault="008B1971" w:rsidP="00CF7B9C">
            <w:pPr>
              <w:jc w:val="center"/>
            </w:pPr>
            <w:r w:rsidRPr="00265DCB">
              <w:t>Wailan</w:t>
            </w:r>
          </w:p>
        </w:tc>
        <w:tc>
          <w:tcPr>
            <w:tcW w:w="1314" w:type="dxa"/>
            <w:vAlign w:val="center"/>
          </w:tcPr>
          <w:p w14:paraId="1B81DE44" w14:textId="77777777" w:rsidR="008B1971" w:rsidRPr="00265DCB" w:rsidRDefault="008B1971" w:rsidP="00CF7B9C">
            <w:pPr>
              <w:jc w:val="center"/>
            </w:pPr>
            <w:proofErr w:type="spellStart"/>
            <w:r w:rsidRPr="00265DCB">
              <w:t>Krincing</w:t>
            </w:r>
            <w:proofErr w:type="spellEnd"/>
          </w:p>
        </w:tc>
        <w:tc>
          <w:tcPr>
            <w:tcW w:w="1566" w:type="dxa"/>
            <w:vAlign w:val="center"/>
          </w:tcPr>
          <w:p w14:paraId="6038A381" w14:textId="77777777" w:rsidR="008B1971" w:rsidRPr="00265DCB" w:rsidRDefault="008B1971" w:rsidP="00CF7B9C">
            <w:pPr>
              <w:jc w:val="center"/>
            </w:pPr>
            <w:proofErr w:type="spellStart"/>
            <w:r w:rsidRPr="00265DCB">
              <w:t>Sigarang-garang</w:t>
            </w:r>
            <w:proofErr w:type="spellEnd"/>
          </w:p>
        </w:tc>
      </w:tr>
    </w:tbl>
    <w:p w14:paraId="2D05F11D" w14:textId="77777777" w:rsidR="009115B5" w:rsidRPr="00265DCB" w:rsidRDefault="009115B5" w:rsidP="009B5FF0">
      <w:pPr>
        <w:spacing w:line="360" w:lineRule="auto"/>
        <w:ind w:firstLine="720"/>
        <w:jc w:val="both"/>
      </w:pPr>
    </w:p>
    <w:p w14:paraId="57B87EBF" w14:textId="6E24D2B8" w:rsidR="00DE5286" w:rsidRPr="00265DCB" w:rsidRDefault="00EC7346" w:rsidP="00770C31">
      <w:pPr>
        <w:spacing w:line="480" w:lineRule="auto"/>
        <w:ind w:firstLine="720"/>
        <w:jc w:val="both"/>
      </w:pPr>
      <w:proofErr w:type="spellStart"/>
      <w:r w:rsidRPr="00265DCB">
        <w:t>Takome</w:t>
      </w:r>
      <w:proofErr w:type="spellEnd"/>
      <w:r w:rsidRPr="00265DCB">
        <w:t xml:space="preserve"> is </w:t>
      </w:r>
      <w:r w:rsidR="00550F8E" w:rsidRPr="00265DCB">
        <w:t>a sub-district</w:t>
      </w:r>
      <w:r w:rsidRPr="00265DCB">
        <w:t xml:space="preserve"> in West Ternate District, Ternate City, North Maluku Province. </w:t>
      </w:r>
      <w:r w:rsidR="00EB24F3" w:rsidRPr="00265DCB">
        <w:t>F</w:t>
      </w:r>
      <w:r w:rsidRPr="00265DCB">
        <w:t xml:space="preserve">our sub-districts in West Ternate </w:t>
      </w:r>
      <w:r w:rsidR="00EB24F3" w:rsidRPr="00265DCB">
        <w:t xml:space="preserve">are </w:t>
      </w:r>
      <w:r w:rsidRPr="00265DCB">
        <w:t xml:space="preserve">exposed to volcanic material due to </w:t>
      </w:r>
      <w:r w:rsidR="005A473E" w:rsidRPr="00265DCB">
        <w:t xml:space="preserve">the eruption of Mt. </w:t>
      </w:r>
      <w:proofErr w:type="spellStart"/>
      <w:r w:rsidR="005A473E" w:rsidRPr="00265DCB">
        <w:t>Gamalana</w:t>
      </w:r>
      <w:proofErr w:type="spellEnd"/>
      <w:r w:rsidR="005A473E" w:rsidRPr="00265DCB">
        <w:t xml:space="preserve">, namely </w:t>
      </w:r>
      <w:proofErr w:type="spellStart"/>
      <w:r w:rsidR="005A473E" w:rsidRPr="00265DCB">
        <w:t>Takome</w:t>
      </w:r>
      <w:proofErr w:type="spellEnd"/>
      <w:r w:rsidR="005A473E" w:rsidRPr="00265DCB">
        <w:t xml:space="preserve">, </w:t>
      </w:r>
      <w:proofErr w:type="spellStart"/>
      <w:r w:rsidR="005A473E" w:rsidRPr="00265DCB">
        <w:t>Togafo</w:t>
      </w:r>
      <w:proofErr w:type="spellEnd"/>
      <w:r w:rsidR="005A473E" w:rsidRPr="00265DCB">
        <w:t xml:space="preserve">, </w:t>
      </w:r>
      <w:proofErr w:type="spellStart"/>
      <w:r w:rsidR="005A473E" w:rsidRPr="00265DCB">
        <w:t>Loto</w:t>
      </w:r>
      <w:proofErr w:type="spellEnd"/>
      <w:r w:rsidR="005A473E" w:rsidRPr="00265DCB">
        <w:t>,</w:t>
      </w:r>
      <w:r w:rsidRPr="00265DCB">
        <w:t xml:space="preserve"> and </w:t>
      </w:r>
      <w:proofErr w:type="spellStart"/>
      <w:r w:rsidRPr="00265DCB">
        <w:t>Afetaduma</w:t>
      </w:r>
      <w:proofErr w:type="spellEnd"/>
      <w:r w:rsidRPr="00265DCB">
        <w:t xml:space="preserve"> sub-districts. </w:t>
      </w:r>
      <w:proofErr w:type="spellStart"/>
      <w:r w:rsidRPr="00265DCB">
        <w:t>Takome</w:t>
      </w:r>
      <w:proofErr w:type="spellEnd"/>
      <w:r w:rsidRPr="00265DCB">
        <w:t xml:space="preserve"> </w:t>
      </w:r>
      <w:r w:rsidR="005A473E" w:rsidRPr="00265DCB">
        <w:t xml:space="preserve">sub-district was reported as </w:t>
      </w:r>
      <w:r w:rsidRPr="00265DCB">
        <w:t>the most vulnerable site (</w:t>
      </w:r>
      <w:r w:rsidR="00832272" w:rsidRPr="00265DCB">
        <w:t xml:space="preserve">Hidayat </w:t>
      </w:r>
      <w:r w:rsidR="00832272" w:rsidRPr="00265DCB">
        <w:rPr>
          <w:i/>
          <w:iCs/>
        </w:rPr>
        <w:t>et al</w:t>
      </w:r>
      <w:r w:rsidR="00550F8E" w:rsidRPr="00265DCB">
        <w:t>.</w:t>
      </w:r>
      <w:r w:rsidR="00832272" w:rsidRPr="00265DCB">
        <w:t>, 2023</w:t>
      </w:r>
      <w:r w:rsidRPr="00265DCB">
        <w:t xml:space="preserve">). Wailan is a sub-district in North </w:t>
      </w:r>
      <w:proofErr w:type="spellStart"/>
      <w:r w:rsidRPr="00265DCB">
        <w:t>Tomohon</w:t>
      </w:r>
      <w:proofErr w:type="spellEnd"/>
      <w:r w:rsidRPr="00265DCB">
        <w:t xml:space="preserve"> district, </w:t>
      </w:r>
      <w:proofErr w:type="spellStart"/>
      <w:r w:rsidRPr="00265DCB">
        <w:t>Tomohon</w:t>
      </w:r>
      <w:proofErr w:type="spellEnd"/>
      <w:r w:rsidRPr="00265DCB">
        <w:t xml:space="preserve"> City, North Sulawesi province. </w:t>
      </w:r>
      <w:r w:rsidR="005A473E" w:rsidRPr="00265DCB">
        <w:t xml:space="preserve">When it erupts, Mount </w:t>
      </w:r>
      <w:proofErr w:type="spellStart"/>
      <w:r w:rsidR="005A473E" w:rsidRPr="00265DCB">
        <w:t>Lokon's</w:t>
      </w:r>
      <w:proofErr w:type="spellEnd"/>
      <w:r w:rsidR="005A473E" w:rsidRPr="00265DCB">
        <w:t xml:space="preserve"> volcanic material is usually spread evenly across three southern </w:t>
      </w:r>
      <w:proofErr w:type="spellStart"/>
      <w:r w:rsidR="005A473E" w:rsidRPr="00265DCB">
        <w:t>Tomohon</w:t>
      </w:r>
      <w:proofErr w:type="spellEnd"/>
      <w:r w:rsidR="005A473E" w:rsidRPr="00265DCB">
        <w:t xml:space="preserve"> sub-districts, namely </w:t>
      </w:r>
      <w:proofErr w:type="spellStart"/>
      <w:r w:rsidR="005A473E" w:rsidRPr="00265DCB">
        <w:t>Matani</w:t>
      </w:r>
      <w:proofErr w:type="spellEnd"/>
      <w:r w:rsidR="005A473E" w:rsidRPr="00265DCB">
        <w:t xml:space="preserve">, </w:t>
      </w:r>
      <w:proofErr w:type="spellStart"/>
      <w:r w:rsidR="005A473E" w:rsidRPr="00265DCB">
        <w:t>Wailan</w:t>
      </w:r>
      <w:proofErr w:type="spellEnd"/>
      <w:r w:rsidR="005A473E" w:rsidRPr="00265DCB">
        <w:t>,</w:t>
      </w:r>
      <w:r w:rsidRPr="00265DCB">
        <w:t xml:space="preserve"> and </w:t>
      </w:r>
      <w:proofErr w:type="spellStart"/>
      <w:r w:rsidRPr="00265DCB">
        <w:t>Saroinsong</w:t>
      </w:r>
      <w:proofErr w:type="spellEnd"/>
      <w:r w:rsidRPr="00265DCB">
        <w:t xml:space="preserve"> sub-districts (</w:t>
      </w:r>
      <w:proofErr w:type="spellStart"/>
      <w:r w:rsidR="00560F2C" w:rsidRPr="00265DCB">
        <w:t>Karisoh</w:t>
      </w:r>
      <w:proofErr w:type="spellEnd"/>
      <w:r w:rsidR="00560F2C" w:rsidRPr="00265DCB">
        <w:t xml:space="preserve"> </w:t>
      </w:r>
      <w:r w:rsidR="00560F2C" w:rsidRPr="00265DCB">
        <w:rPr>
          <w:i/>
          <w:iCs/>
        </w:rPr>
        <w:t>et al</w:t>
      </w:r>
      <w:r w:rsidR="00560F2C" w:rsidRPr="00265DCB">
        <w:t>., 2024</w:t>
      </w:r>
      <w:r w:rsidRPr="00265DCB">
        <w:t>).</w:t>
      </w:r>
    </w:p>
    <w:p w14:paraId="49CE2840" w14:textId="3A3A2E7E" w:rsidR="002758C3" w:rsidRPr="00265DCB" w:rsidRDefault="00BD013E" w:rsidP="00ED043F">
      <w:pPr>
        <w:spacing w:line="480" w:lineRule="auto"/>
        <w:ind w:firstLine="720"/>
        <w:jc w:val="both"/>
      </w:pPr>
      <w:proofErr w:type="spellStart"/>
      <w:r w:rsidRPr="00265DCB">
        <w:t>Krinjing</w:t>
      </w:r>
      <w:proofErr w:type="spellEnd"/>
      <w:r w:rsidRPr="00265DCB">
        <w:t xml:space="preserve"> is a village in </w:t>
      </w:r>
      <w:r w:rsidR="005A473E" w:rsidRPr="00265DCB">
        <w:t xml:space="preserve">the </w:t>
      </w:r>
      <w:proofErr w:type="spellStart"/>
      <w:r w:rsidRPr="00265DCB">
        <w:t>Dukun</w:t>
      </w:r>
      <w:proofErr w:type="spellEnd"/>
      <w:r w:rsidRPr="00265DCB">
        <w:t xml:space="preserve"> sub-district, </w:t>
      </w:r>
      <w:proofErr w:type="spellStart"/>
      <w:r w:rsidRPr="00265DCB">
        <w:t>Magelang</w:t>
      </w:r>
      <w:proofErr w:type="spellEnd"/>
      <w:r w:rsidRPr="00265DCB">
        <w:t xml:space="preserve">, Central Java, Indonesia. </w:t>
      </w:r>
      <w:proofErr w:type="spellStart"/>
      <w:r w:rsidR="00ED043F" w:rsidRPr="00265DCB">
        <w:t>Krinjing</w:t>
      </w:r>
      <w:proofErr w:type="spellEnd"/>
      <w:r w:rsidR="00ED043F" w:rsidRPr="00265DCB">
        <w:t xml:space="preserve"> village is often the worst affected since </w:t>
      </w:r>
      <w:r w:rsidR="00550F8E" w:rsidRPr="00265DCB">
        <w:t>it is located closest to the crater center and only about 4.5 km from it</w:t>
      </w:r>
      <w:r w:rsidR="00ED043F" w:rsidRPr="00265DCB">
        <w:t>. The r</w:t>
      </w:r>
      <w:r w:rsidR="00550F8E" w:rsidRPr="00265DCB">
        <w:t>oofs of the residents' house</w:t>
      </w:r>
      <w:r w:rsidR="00ED043F" w:rsidRPr="00265DCB">
        <w:t>s were covered in ash, including fields and crops (</w:t>
      </w:r>
      <w:r w:rsidR="00AD665F">
        <w:t xml:space="preserve">Sari </w:t>
      </w:r>
      <w:r w:rsidR="00AD665F" w:rsidRPr="00AD665F">
        <w:rPr>
          <w:i/>
          <w:iCs/>
        </w:rPr>
        <w:t>et al</w:t>
      </w:r>
      <w:r w:rsidR="00AD665F">
        <w:t>., 2022</w:t>
      </w:r>
      <w:r w:rsidR="002F0502">
        <w:t xml:space="preserve">; </w:t>
      </w:r>
      <w:proofErr w:type="spellStart"/>
      <w:r w:rsidR="002F0502" w:rsidRPr="00265DCB">
        <w:t>Christia</w:t>
      </w:r>
      <w:proofErr w:type="spellEnd"/>
      <w:r w:rsidR="002F0502" w:rsidRPr="00265DCB">
        <w:t>, 2012</w:t>
      </w:r>
      <w:r w:rsidR="00ED043F" w:rsidRPr="00265DCB">
        <w:t>)</w:t>
      </w:r>
      <w:r w:rsidRPr="00265DCB">
        <w:t>.</w:t>
      </w:r>
      <w:r w:rsidR="00A32775" w:rsidRPr="00265DCB">
        <w:t xml:space="preserve"> </w:t>
      </w:r>
      <w:r w:rsidR="002758C3" w:rsidRPr="00265DCB">
        <w:t>The eruption of Mount Sinabung severely affected four districts</w:t>
      </w:r>
      <w:r w:rsidR="008B1980" w:rsidRPr="00265DCB">
        <w:t>, namely</w:t>
      </w:r>
      <w:r w:rsidR="002758C3" w:rsidRPr="00265DCB">
        <w:t xml:space="preserve"> </w:t>
      </w:r>
      <w:proofErr w:type="spellStart"/>
      <w:r w:rsidR="002758C3" w:rsidRPr="00265DCB">
        <w:t>Naman</w:t>
      </w:r>
      <w:proofErr w:type="spellEnd"/>
      <w:r w:rsidR="002758C3" w:rsidRPr="00265DCB">
        <w:t xml:space="preserve"> </w:t>
      </w:r>
      <w:proofErr w:type="spellStart"/>
      <w:r w:rsidR="002758C3" w:rsidRPr="00265DCB">
        <w:t>Teran</w:t>
      </w:r>
      <w:proofErr w:type="spellEnd"/>
      <w:r w:rsidR="002758C3" w:rsidRPr="00265DCB">
        <w:t xml:space="preserve">, </w:t>
      </w:r>
      <w:proofErr w:type="spellStart"/>
      <w:r w:rsidR="002758C3" w:rsidRPr="00265DCB">
        <w:t>Berastagi</w:t>
      </w:r>
      <w:proofErr w:type="spellEnd"/>
      <w:r w:rsidR="002758C3" w:rsidRPr="00265DCB">
        <w:t xml:space="preserve">, </w:t>
      </w:r>
      <w:proofErr w:type="spellStart"/>
      <w:r w:rsidR="002758C3" w:rsidRPr="00265DCB">
        <w:t>Dolat</w:t>
      </w:r>
      <w:proofErr w:type="spellEnd"/>
      <w:r w:rsidR="002758C3" w:rsidRPr="00265DCB">
        <w:t xml:space="preserve"> </w:t>
      </w:r>
      <w:proofErr w:type="spellStart"/>
      <w:r w:rsidR="002758C3" w:rsidRPr="00265DCB">
        <w:t>Rayat</w:t>
      </w:r>
      <w:proofErr w:type="spellEnd"/>
      <w:r w:rsidR="002758C3" w:rsidRPr="00265DCB">
        <w:t xml:space="preserve">, and Merdeka. </w:t>
      </w:r>
      <w:proofErr w:type="spellStart"/>
      <w:r w:rsidR="002758C3" w:rsidRPr="00265DCB">
        <w:t>Sigarang-</w:t>
      </w:r>
      <w:r w:rsidR="002758C3" w:rsidRPr="00265DCB">
        <w:lastRenderedPageBreak/>
        <w:t>Garang</w:t>
      </w:r>
      <w:proofErr w:type="spellEnd"/>
      <w:r w:rsidR="002758C3" w:rsidRPr="00265DCB">
        <w:t xml:space="preserve"> </w:t>
      </w:r>
      <w:r w:rsidR="008B1980" w:rsidRPr="00265DCB">
        <w:t>v</w:t>
      </w:r>
      <w:r w:rsidR="002758C3" w:rsidRPr="00265DCB">
        <w:t xml:space="preserve">illage in </w:t>
      </w:r>
      <w:proofErr w:type="spellStart"/>
      <w:r w:rsidR="002758C3" w:rsidRPr="00265DCB">
        <w:t>Naman</w:t>
      </w:r>
      <w:proofErr w:type="spellEnd"/>
      <w:r w:rsidR="002758C3" w:rsidRPr="00265DCB">
        <w:t xml:space="preserve"> Teran District, Karo Regency, was one of the hardest-hit areas. Located on the northern slopes of Mount Sinabung, the village was devastated by torrents of volcanic ash, hot lava, and subsequent cold lava floods, leaving it in ruins. The disaster began in 2010 and continues to impact the region as of 2022 (</w:t>
      </w:r>
      <w:proofErr w:type="spellStart"/>
      <w:r w:rsidR="002758C3" w:rsidRPr="00265DCB">
        <w:t>Martualina</w:t>
      </w:r>
      <w:proofErr w:type="spellEnd"/>
      <w:r w:rsidR="002758C3" w:rsidRPr="00265DCB">
        <w:t xml:space="preserve"> </w:t>
      </w:r>
      <w:r w:rsidR="007E3B95" w:rsidRPr="00265DCB">
        <w:rPr>
          <w:i/>
          <w:iCs/>
        </w:rPr>
        <w:t>e</w:t>
      </w:r>
      <w:r w:rsidR="002758C3" w:rsidRPr="00265DCB">
        <w:rPr>
          <w:i/>
          <w:iCs/>
        </w:rPr>
        <w:t>t al</w:t>
      </w:r>
      <w:r w:rsidR="002758C3" w:rsidRPr="00265DCB">
        <w:t xml:space="preserve">., 2024; </w:t>
      </w:r>
      <w:proofErr w:type="spellStart"/>
      <w:r w:rsidR="002758C3" w:rsidRPr="00265DCB">
        <w:t>Nurwihastuti</w:t>
      </w:r>
      <w:proofErr w:type="spellEnd"/>
      <w:r w:rsidR="002758C3" w:rsidRPr="00265DCB">
        <w:t xml:space="preserve"> </w:t>
      </w:r>
      <w:r w:rsidR="002758C3" w:rsidRPr="00265DCB">
        <w:rPr>
          <w:i/>
          <w:iCs/>
        </w:rPr>
        <w:t>et al</w:t>
      </w:r>
      <w:r w:rsidR="002758C3" w:rsidRPr="00265DCB">
        <w:t>., 2019).</w:t>
      </w:r>
    </w:p>
    <w:p w14:paraId="2DD8D6A1" w14:textId="77777777" w:rsidR="0088649D" w:rsidRPr="00265DCB" w:rsidRDefault="0088649D" w:rsidP="0088649D">
      <w:pPr>
        <w:spacing w:line="480" w:lineRule="auto"/>
        <w:jc w:val="both"/>
        <w:rPr>
          <w:b/>
          <w:bCs/>
        </w:rPr>
      </w:pPr>
    </w:p>
    <w:p w14:paraId="3FF8ECDE" w14:textId="77986EA0" w:rsidR="0088649D" w:rsidRPr="00265DCB" w:rsidRDefault="0088649D" w:rsidP="0088649D">
      <w:pPr>
        <w:spacing w:line="480" w:lineRule="auto"/>
        <w:jc w:val="both"/>
      </w:pPr>
      <w:r w:rsidRPr="00265DCB">
        <w:rPr>
          <w:b/>
          <w:bCs/>
        </w:rPr>
        <w:t>Collection of forage and soil samples</w:t>
      </w:r>
    </w:p>
    <w:p w14:paraId="08EB019C" w14:textId="06018FD6" w:rsidR="002758C3" w:rsidRPr="00265DCB" w:rsidRDefault="00503622" w:rsidP="00503622">
      <w:pPr>
        <w:spacing w:line="480" w:lineRule="auto"/>
        <w:ind w:firstLine="720"/>
        <w:jc w:val="both"/>
      </w:pPr>
      <w:r w:rsidRPr="00265DCB">
        <w:t xml:space="preserve">Samples of </w:t>
      </w:r>
      <w:r w:rsidR="005D54A6" w:rsidRPr="00265DCB">
        <w:t>forages</w:t>
      </w:r>
      <w:r w:rsidRPr="00265DCB">
        <w:t xml:space="preserve"> were collected in</w:t>
      </w:r>
      <w:r w:rsidR="009B5FF0" w:rsidRPr="00265DCB">
        <w:t xml:space="preserve"> the selected </w:t>
      </w:r>
      <w:r w:rsidRPr="00265DCB">
        <w:t xml:space="preserve">areas where </w:t>
      </w:r>
      <w:r w:rsidR="008B1971" w:rsidRPr="00265DCB">
        <w:t xml:space="preserve">cattle </w:t>
      </w:r>
      <w:r w:rsidRPr="00265DCB">
        <w:t xml:space="preserve">farmers usually collected forage </w:t>
      </w:r>
      <w:r w:rsidR="00793B95" w:rsidRPr="00265DCB">
        <w:t>to feed their animals, or their farm animals we</w:t>
      </w:r>
      <w:r w:rsidRPr="00265DCB">
        <w:t xml:space="preserve">re frequently grazed and tethered. </w:t>
      </w:r>
      <w:r w:rsidR="009B5FF0" w:rsidRPr="00265DCB">
        <w:t>The map</w:t>
      </w:r>
      <w:r w:rsidR="005A6938" w:rsidRPr="00265DCB">
        <w:t>,</w:t>
      </w:r>
      <w:r w:rsidR="009B5FF0" w:rsidRPr="00265DCB">
        <w:t xml:space="preserve"> </w:t>
      </w:r>
      <w:r w:rsidR="005A473E" w:rsidRPr="00265DCB">
        <w:t>imagery</w:t>
      </w:r>
      <w:r w:rsidR="009B5FF0" w:rsidRPr="00265DCB">
        <w:t xml:space="preserve"> interpretation</w:t>
      </w:r>
      <w:r w:rsidR="005A6938" w:rsidRPr="00265DCB">
        <w:t>, and guidance from officers of Volcano Observation Posts (</w:t>
      </w:r>
      <w:proofErr w:type="spellStart"/>
      <w:r w:rsidR="005A6938" w:rsidRPr="00265DCB">
        <w:t>Pos</w:t>
      </w:r>
      <w:proofErr w:type="spellEnd"/>
      <w:r w:rsidR="005A6938" w:rsidRPr="00265DCB">
        <w:t xml:space="preserve"> </w:t>
      </w:r>
      <w:proofErr w:type="spellStart"/>
      <w:r w:rsidR="005A6938" w:rsidRPr="00265DCB">
        <w:t>Pengamatan</w:t>
      </w:r>
      <w:proofErr w:type="spellEnd"/>
      <w:r w:rsidR="005A6938" w:rsidRPr="00265DCB">
        <w:t xml:space="preserve"> </w:t>
      </w:r>
      <w:proofErr w:type="spellStart"/>
      <w:r w:rsidR="005A6938" w:rsidRPr="00265DCB">
        <w:t>Gunung</w:t>
      </w:r>
      <w:proofErr w:type="spellEnd"/>
      <w:r w:rsidR="005A6938" w:rsidRPr="00265DCB">
        <w:t xml:space="preserve"> </w:t>
      </w:r>
      <w:proofErr w:type="spellStart"/>
      <w:r w:rsidR="005A6938" w:rsidRPr="00265DCB">
        <w:t>Api</w:t>
      </w:r>
      <w:proofErr w:type="spellEnd"/>
      <w:r w:rsidR="005A6938" w:rsidRPr="00265DCB">
        <w:t xml:space="preserve">) </w:t>
      </w:r>
      <w:r w:rsidR="009B5FF0" w:rsidRPr="00265DCB">
        <w:t>were used to determine s</w:t>
      </w:r>
      <w:r w:rsidRPr="00265DCB">
        <w:t xml:space="preserve">ampling locations </w:t>
      </w:r>
      <w:r w:rsidR="009B5FF0" w:rsidRPr="00265DCB">
        <w:t xml:space="preserve">by following the purposive sampling methods described by Aini </w:t>
      </w:r>
      <w:r w:rsidR="009B5FF0" w:rsidRPr="00265DCB">
        <w:rPr>
          <w:i/>
          <w:iCs/>
        </w:rPr>
        <w:t>et al</w:t>
      </w:r>
      <w:r w:rsidR="009B5FF0" w:rsidRPr="00265DCB">
        <w:t xml:space="preserve">. (2019). </w:t>
      </w:r>
      <w:r w:rsidR="005A473E" w:rsidRPr="00265DCB">
        <w:t xml:space="preserve">A map of volcanic ash distribution was obtained from the Volcano Observation Posts </w:t>
      </w:r>
      <w:r w:rsidR="005A6938" w:rsidRPr="00265DCB">
        <w:t xml:space="preserve">at each active volcano. </w:t>
      </w:r>
      <w:r w:rsidR="009B5FF0" w:rsidRPr="00265DCB">
        <w:t xml:space="preserve">Sampling locations </w:t>
      </w:r>
      <w:r w:rsidRPr="00265DCB">
        <w:t xml:space="preserve">were divided into three distances from the </w:t>
      </w:r>
      <w:r w:rsidR="001A0D03" w:rsidRPr="00265DCB">
        <w:t xml:space="preserve">eruptive </w:t>
      </w:r>
      <w:r w:rsidRPr="00265DCB">
        <w:t>crater (eruption center): near, moderate, and far</w:t>
      </w:r>
      <w:r w:rsidR="001F1819">
        <w:t xml:space="preserve"> by considering the distribution pattern of volcanic materials </w:t>
      </w:r>
      <w:r w:rsidR="006F29EE">
        <w:t>(Neall, 2006)</w:t>
      </w:r>
      <w:r w:rsidRPr="00265DCB">
        <w:t>.</w:t>
      </w:r>
      <w:r w:rsidR="001D2608" w:rsidRPr="00265DCB">
        <w:t xml:space="preserve"> On the surrounding </w:t>
      </w:r>
      <w:r w:rsidR="00550F8E" w:rsidRPr="00265DCB">
        <w:t>craters, the volcanic materials may have accumulated to great thickness, producing</w:t>
      </w:r>
      <w:r w:rsidR="001D2608" w:rsidRPr="00265DCB">
        <w:t xml:space="preserve"> fertile volcanic soils, while the finer particles (ash) </w:t>
      </w:r>
      <w:r w:rsidR="00550F8E" w:rsidRPr="00265DCB">
        <w:t xml:space="preserve">are </w:t>
      </w:r>
      <w:r w:rsidR="001D2608" w:rsidRPr="00265DCB">
        <w:t xml:space="preserve">distributed in </w:t>
      </w:r>
      <w:r w:rsidR="00550F8E" w:rsidRPr="00265DCB">
        <w:t>more considerable</w:t>
      </w:r>
      <w:r w:rsidR="001D2608" w:rsidRPr="00265DCB">
        <w:t xml:space="preserve"> distance</w:t>
      </w:r>
      <w:r w:rsidR="00550F8E" w:rsidRPr="00265DCB">
        <w:t>s</w:t>
      </w:r>
      <w:r w:rsidR="001D2608" w:rsidRPr="00265DCB">
        <w:t xml:space="preserve"> downwind (Neall, 2006).</w:t>
      </w:r>
    </w:p>
    <w:p w14:paraId="1E021F1B" w14:textId="52F13BC9" w:rsidR="00976ADE" w:rsidRPr="00265DCB" w:rsidRDefault="00503622" w:rsidP="00503622">
      <w:pPr>
        <w:spacing w:line="480" w:lineRule="auto"/>
        <w:ind w:firstLine="720"/>
        <w:jc w:val="both"/>
      </w:pPr>
      <w:r w:rsidRPr="00265DCB">
        <w:t>Samples were taken at five sampling points at each distance location using a quadrant plate meter of 0.5 x 0.5 m</w:t>
      </w:r>
      <w:r w:rsidRPr="006F29EE">
        <w:rPr>
          <w:vertAlign w:val="superscript"/>
        </w:rPr>
        <w:t>2</w:t>
      </w:r>
      <w:r w:rsidRPr="00265DCB">
        <w:t>. All plant materials inside the plate meter were cut 5-10 cm above ground level and placed in labeled plastic bags.</w:t>
      </w:r>
      <w:r w:rsidR="00976ADE" w:rsidRPr="00265DCB">
        <w:t xml:space="preserve"> Soil samples were taken from the same sampling points from which the forage samples were taken. Samples of soil were obtained using a stainless-steel sampling auger to a depth of 10-15 cm (topsoil).</w:t>
      </w:r>
      <w:r w:rsidR="005D54A6" w:rsidRPr="00265DCB">
        <w:t xml:space="preserve"> There were, in total, 15 samples of forage and soils </w:t>
      </w:r>
      <w:r w:rsidR="00265DCB" w:rsidRPr="00265DCB">
        <w:t>on</w:t>
      </w:r>
      <w:r w:rsidR="005D54A6" w:rsidRPr="00265DCB">
        <w:t xml:space="preserve"> each site.</w:t>
      </w:r>
    </w:p>
    <w:p w14:paraId="3507C67A" w14:textId="77777777" w:rsidR="00770C31" w:rsidRPr="00265DCB" w:rsidRDefault="00770C31" w:rsidP="00503622">
      <w:pPr>
        <w:spacing w:line="480" w:lineRule="auto"/>
        <w:ind w:firstLine="720"/>
        <w:jc w:val="both"/>
      </w:pPr>
    </w:p>
    <w:p w14:paraId="1EA96B57" w14:textId="5BC692CB" w:rsidR="00976ADE" w:rsidRPr="00265DCB" w:rsidRDefault="00976ADE" w:rsidP="00976ADE">
      <w:pPr>
        <w:spacing w:line="480" w:lineRule="auto"/>
        <w:jc w:val="both"/>
      </w:pPr>
      <w:r w:rsidRPr="00265DCB">
        <w:rPr>
          <w:b/>
          <w:bCs/>
        </w:rPr>
        <w:lastRenderedPageBreak/>
        <w:t>Sample preparation and analysis</w:t>
      </w:r>
      <w:r w:rsidR="00503622" w:rsidRPr="00265DCB">
        <w:t xml:space="preserve"> </w:t>
      </w:r>
    </w:p>
    <w:p w14:paraId="1D335A81" w14:textId="01328CBB" w:rsidR="00234483" w:rsidRPr="00265DCB" w:rsidRDefault="001621AD" w:rsidP="005A6938">
      <w:pPr>
        <w:spacing w:line="480" w:lineRule="auto"/>
        <w:ind w:firstLine="720"/>
        <w:jc w:val="both"/>
      </w:pPr>
      <w:r w:rsidRPr="00265DCB">
        <w:t xml:space="preserve">A total of 15 fresh plant samples were collected from each study site. </w:t>
      </w:r>
      <w:r w:rsidR="002758C3" w:rsidRPr="00265DCB">
        <w:t>The samples</w:t>
      </w:r>
      <w:r w:rsidR="00976ADE" w:rsidRPr="00265DCB">
        <w:t xml:space="preserve"> of fresh plants were</w:t>
      </w:r>
      <w:r w:rsidR="00503622" w:rsidRPr="00265DCB">
        <w:t xml:space="preserve"> chopped</w:t>
      </w:r>
      <w:r w:rsidRPr="00265DCB">
        <w:t xml:space="preserve"> at 2-3 cm length, and then the five samples from each distance were mixed to obtain a composite sample. So, three samples belonged to each site. As a result, </w:t>
      </w:r>
      <w:r w:rsidR="00550F8E" w:rsidRPr="00265DCB">
        <w:t>15 composite samples were obtained in total</w:t>
      </w:r>
      <w:r w:rsidRPr="00265DCB">
        <w:t xml:space="preserve">. </w:t>
      </w:r>
      <w:r w:rsidR="00503622" w:rsidRPr="00265DCB">
        <w:t>Representative samples of about 150 g were taken and dried in an oven at 60ºC for 48 hours and ground in meal form</w:t>
      </w:r>
      <w:r w:rsidR="00FE2687" w:rsidRPr="00265DCB">
        <w:t>.</w:t>
      </w:r>
      <w:r w:rsidR="00503622" w:rsidRPr="00265DCB">
        <w:t xml:space="preserve"> </w:t>
      </w:r>
      <w:r w:rsidR="00FE2687" w:rsidRPr="00265DCB">
        <w:t>The samples were analyzed for DM and essential macro</w:t>
      </w:r>
      <w:r w:rsidR="00D1192B" w:rsidRPr="00265DCB">
        <w:t xml:space="preserve"> mineral</w:t>
      </w:r>
      <w:r w:rsidR="00793B95" w:rsidRPr="00265DCB">
        <w:t>s</w:t>
      </w:r>
      <w:r w:rsidR="00D1192B" w:rsidRPr="00265DCB">
        <w:t xml:space="preserve"> (Ca, P, Mg, K, Na, S)</w:t>
      </w:r>
      <w:r w:rsidR="00FE2687" w:rsidRPr="00265DCB">
        <w:t xml:space="preserve"> and </w:t>
      </w:r>
      <w:r w:rsidR="00D1192B" w:rsidRPr="00265DCB">
        <w:t>trace elements (Fe, Zn, Cu, Mn, Co, Se)</w:t>
      </w:r>
      <w:r w:rsidR="00FE2687" w:rsidRPr="00265DCB">
        <w:t xml:space="preserve">. </w:t>
      </w:r>
      <w:r w:rsidR="00503622" w:rsidRPr="00265DCB">
        <w:t>The DM content w</w:t>
      </w:r>
      <w:r w:rsidR="00E470AD" w:rsidRPr="00265DCB">
        <w:t>as</w:t>
      </w:r>
      <w:r w:rsidR="00503622" w:rsidRPr="00265DCB">
        <w:t xml:space="preserve"> analyzed by following the procedures described by AOAC (20</w:t>
      </w:r>
      <w:r w:rsidR="00260660">
        <w:t>1</w:t>
      </w:r>
      <w:r w:rsidR="00503622" w:rsidRPr="00265DCB">
        <w:t>6).</w:t>
      </w:r>
      <w:r w:rsidR="00FE2687" w:rsidRPr="00265DCB">
        <w:t xml:space="preserve"> The concentration of minerals was determined using the atomic absorption spectrophotometer</w:t>
      </w:r>
      <w:r w:rsidR="00265DCB">
        <w:t xml:space="preserve"> (AAS, 1980)</w:t>
      </w:r>
      <w:r w:rsidR="005A6938" w:rsidRPr="00265DCB">
        <w:t xml:space="preserve">. </w:t>
      </w:r>
    </w:p>
    <w:p w14:paraId="6CF0D207" w14:textId="02914A4A" w:rsidR="00503622" w:rsidRPr="00265DCB" w:rsidRDefault="00976ADE" w:rsidP="00A3128E">
      <w:pPr>
        <w:autoSpaceDE w:val="0"/>
        <w:autoSpaceDN w:val="0"/>
        <w:adjustRightInd w:val="0"/>
        <w:spacing w:line="480" w:lineRule="auto"/>
        <w:ind w:firstLine="720"/>
        <w:jc w:val="both"/>
      </w:pPr>
      <w:r w:rsidRPr="00265DCB">
        <w:t>Soil</w:t>
      </w:r>
      <w:r w:rsidR="00503622" w:rsidRPr="00265DCB">
        <w:t xml:space="preserve"> samples were freed from plant roots and other foreign contaminants</w:t>
      </w:r>
      <w:r w:rsidR="007E3B95" w:rsidRPr="00265DCB">
        <w:t xml:space="preserve">, </w:t>
      </w:r>
      <w:r w:rsidR="00556B4F" w:rsidRPr="00265DCB">
        <w:t xml:space="preserve">spread thinly on a clean </w:t>
      </w:r>
      <w:r w:rsidR="00265DCB" w:rsidRPr="00265DCB">
        <w:t>sheet of paper</w:t>
      </w:r>
      <w:r w:rsidR="00556B4F" w:rsidRPr="00265DCB">
        <w:t>,</w:t>
      </w:r>
      <w:r w:rsidR="00503622" w:rsidRPr="00265DCB">
        <w:t xml:space="preserve"> and dried under the sun. The air-dried samples were </w:t>
      </w:r>
      <w:r w:rsidR="008B1971" w:rsidRPr="00265DCB">
        <w:t>reduced</w:t>
      </w:r>
      <w:r w:rsidR="00503622" w:rsidRPr="00265DCB">
        <w:t xml:space="preserve"> </w:t>
      </w:r>
      <w:r w:rsidR="005D54A6" w:rsidRPr="00265DCB">
        <w:t xml:space="preserve">to </w:t>
      </w:r>
      <w:r w:rsidR="001103F6" w:rsidRPr="00265DCB">
        <w:t xml:space="preserve">their particle sizes </w:t>
      </w:r>
      <w:r w:rsidR="00503622" w:rsidRPr="00265DCB">
        <w:t>by manual grinding using a glass bottle and then sieved through a 2-mm sieve.</w:t>
      </w:r>
      <w:r w:rsidR="005D54A6" w:rsidRPr="00265DCB">
        <w:t xml:space="preserve"> The soil samples were mixed</w:t>
      </w:r>
      <w:r w:rsidR="00550F8E" w:rsidRPr="00265DCB">
        <w:t>,</w:t>
      </w:r>
      <w:r w:rsidR="005D54A6" w:rsidRPr="00265DCB">
        <w:t xml:space="preserve"> and composites </w:t>
      </w:r>
      <w:r w:rsidR="00550F8E" w:rsidRPr="00265DCB">
        <w:t>were made using</w:t>
      </w:r>
      <w:r w:rsidR="005D54A6" w:rsidRPr="00265DCB">
        <w:t xml:space="preserve"> the same procedures as the forage sample.</w:t>
      </w:r>
      <w:r w:rsidR="00503622" w:rsidRPr="00265DCB">
        <w:t xml:space="preserve"> </w:t>
      </w:r>
      <w:r w:rsidR="005D54A6" w:rsidRPr="00265DCB">
        <w:t xml:space="preserve">As a result, three soil samples belonged to each site, obtaining 12 soil samples. The samples were analyzed for DM and </w:t>
      </w:r>
      <w:r w:rsidR="008B1971" w:rsidRPr="00265DCB">
        <w:t xml:space="preserve">macro </w:t>
      </w:r>
      <w:r w:rsidR="00D1192B" w:rsidRPr="00265DCB">
        <w:t xml:space="preserve">minerals </w:t>
      </w:r>
      <w:r w:rsidR="00503622" w:rsidRPr="00265DCB">
        <w:t>(</w:t>
      </w:r>
      <w:r w:rsidR="00D1192B" w:rsidRPr="00265DCB">
        <w:t>Ca total, P potential, Mg tota</w:t>
      </w:r>
      <w:r w:rsidR="00ED3EDF" w:rsidRPr="00265DCB">
        <w:t>l</w:t>
      </w:r>
      <w:r w:rsidR="00D1192B" w:rsidRPr="00265DCB">
        <w:t>, K potential, Na total, S total) and trace elements (Fe, Zn, Cu, Mn, Co, Se)</w:t>
      </w:r>
      <w:r w:rsidR="00503622" w:rsidRPr="00265DCB">
        <w:t xml:space="preserve">. The total calcium, magnesium, and sulfur were analyzed using a flame photometer according to the procedures described by </w:t>
      </w:r>
      <w:proofErr w:type="spellStart"/>
      <w:r w:rsidR="00503622" w:rsidRPr="00265DCB">
        <w:t>Eviati</w:t>
      </w:r>
      <w:proofErr w:type="spellEnd"/>
      <w:r w:rsidR="00503622" w:rsidRPr="00265DCB">
        <w:t xml:space="preserve"> and </w:t>
      </w:r>
      <w:proofErr w:type="spellStart"/>
      <w:r w:rsidR="00503622" w:rsidRPr="00265DCB">
        <w:t>Sulaeman</w:t>
      </w:r>
      <w:proofErr w:type="spellEnd"/>
      <w:r w:rsidR="00503622" w:rsidRPr="00265DCB">
        <w:t xml:space="preserve"> (2012). The potential potassium was measured using an Atomic Absorption Spectrophotometer (</w:t>
      </w:r>
      <w:proofErr w:type="spellStart"/>
      <w:r w:rsidR="00503622" w:rsidRPr="00265DCB">
        <w:t>Eviati</w:t>
      </w:r>
      <w:proofErr w:type="spellEnd"/>
      <w:r w:rsidR="00503622" w:rsidRPr="00265DCB">
        <w:t xml:space="preserve"> and </w:t>
      </w:r>
      <w:proofErr w:type="spellStart"/>
      <w:r w:rsidR="00503622" w:rsidRPr="00265DCB">
        <w:t>Sulaeman</w:t>
      </w:r>
      <w:proofErr w:type="spellEnd"/>
      <w:r w:rsidR="00503622" w:rsidRPr="00265DCB">
        <w:t>, 2012). The potential phosphorus was analyzed using the Bray method (ISRIC, 2022).</w:t>
      </w:r>
      <w:r w:rsidR="00A3128E" w:rsidRPr="00265DCB">
        <w:t xml:space="preserve"> All analysis results were reported on a dry matter basis.</w:t>
      </w:r>
    </w:p>
    <w:p w14:paraId="6F634085" w14:textId="77777777" w:rsidR="00516C28" w:rsidRPr="00265DCB" w:rsidRDefault="00516C28" w:rsidP="00A3128E">
      <w:pPr>
        <w:autoSpaceDE w:val="0"/>
        <w:autoSpaceDN w:val="0"/>
        <w:adjustRightInd w:val="0"/>
        <w:spacing w:line="480" w:lineRule="auto"/>
        <w:ind w:firstLine="720"/>
        <w:jc w:val="both"/>
      </w:pPr>
    </w:p>
    <w:p w14:paraId="6DB63912" w14:textId="77777777" w:rsidR="00503622" w:rsidRPr="00265DCB" w:rsidRDefault="00503622" w:rsidP="00503622">
      <w:pPr>
        <w:spacing w:line="480" w:lineRule="auto"/>
        <w:jc w:val="both"/>
        <w:rPr>
          <w:b/>
          <w:bCs/>
        </w:rPr>
      </w:pPr>
      <w:r w:rsidRPr="00265DCB">
        <w:rPr>
          <w:b/>
          <w:bCs/>
        </w:rPr>
        <w:t>Statistical analysis</w:t>
      </w:r>
    </w:p>
    <w:p w14:paraId="270948C1" w14:textId="3219B783" w:rsidR="005A6938" w:rsidRPr="00265DCB" w:rsidRDefault="00503622" w:rsidP="005A6938">
      <w:pPr>
        <w:spacing w:line="480" w:lineRule="auto"/>
        <w:ind w:firstLine="720"/>
        <w:jc w:val="both"/>
      </w:pPr>
      <w:r w:rsidRPr="00265DCB">
        <w:lastRenderedPageBreak/>
        <w:t xml:space="preserve"> Data </w:t>
      </w:r>
      <w:r w:rsidR="002758C3" w:rsidRPr="00265DCB">
        <w:t>was</w:t>
      </w:r>
      <w:r w:rsidRPr="00265DCB">
        <w:t xml:space="preserve"> statistically analyzed in one-way variance analysis using </w:t>
      </w:r>
      <w:r w:rsidR="00265DCB" w:rsidRPr="00265DCB">
        <w:t>SPSS</w:t>
      </w:r>
      <w:r w:rsidRPr="00265DCB">
        <w:t xml:space="preserve"> software version 18. The variance analysis was followed by Duncan post hoc multiple comparisons to estimate significant differences between means at p&lt;0.05. The results were expressed as mean ± SD. </w:t>
      </w:r>
      <w:r w:rsidR="00ED3EDF" w:rsidRPr="00265DCB">
        <w:t xml:space="preserve">Coefficient correlations (r) were established for mineral concentrations in soils and forages. </w:t>
      </w:r>
      <w:r w:rsidR="008B1980" w:rsidRPr="00265DCB">
        <w:t>T</w:t>
      </w:r>
      <w:r w:rsidR="005A6938" w:rsidRPr="00265DCB">
        <w:t xml:space="preserve">he determined forage mineral </w:t>
      </w:r>
      <w:r w:rsidR="00770C31" w:rsidRPr="00265DCB">
        <w:t>means</w:t>
      </w:r>
      <w:r w:rsidR="005A6938" w:rsidRPr="00265DCB">
        <w:t xml:space="preserve"> concentrations were compared with cattle mineral requirements.</w:t>
      </w:r>
    </w:p>
    <w:p w14:paraId="76A1BF14" w14:textId="2A38D8E6" w:rsidR="00503622" w:rsidRPr="00265DCB" w:rsidRDefault="00503622" w:rsidP="00D9781F">
      <w:pPr>
        <w:spacing w:line="480" w:lineRule="auto"/>
        <w:ind w:firstLine="720"/>
        <w:jc w:val="both"/>
      </w:pPr>
    </w:p>
    <w:p w14:paraId="362C5ECD" w14:textId="77777777" w:rsidR="00503622" w:rsidRPr="00265DCB" w:rsidRDefault="00503622" w:rsidP="00D9781F">
      <w:pPr>
        <w:spacing w:line="480" w:lineRule="auto"/>
        <w:jc w:val="center"/>
        <w:rPr>
          <w:b/>
          <w:bCs/>
        </w:rPr>
      </w:pPr>
      <w:r w:rsidRPr="00265DCB">
        <w:rPr>
          <w:b/>
          <w:bCs/>
        </w:rPr>
        <w:t>RESULTS AND DISCUSSION</w:t>
      </w:r>
    </w:p>
    <w:p w14:paraId="0715FC90" w14:textId="42703D82" w:rsidR="002F60D8" w:rsidRPr="00265DCB" w:rsidRDefault="00D9781F" w:rsidP="002F60D8">
      <w:pPr>
        <w:spacing w:line="480" w:lineRule="auto"/>
        <w:ind w:firstLine="720"/>
        <w:jc w:val="both"/>
      </w:pPr>
      <w:r w:rsidRPr="00265DCB">
        <w:t>The m</w:t>
      </w:r>
      <w:r w:rsidR="002E015E" w:rsidRPr="00265DCB">
        <w:t xml:space="preserve">ineral composition </w:t>
      </w:r>
      <w:r w:rsidRPr="00265DCB">
        <w:t>of</w:t>
      </w:r>
      <w:r w:rsidR="002E015E" w:rsidRPr="00265DCB">
        <w:t xml:space="preserve"> </w:t>
      </w:r>
      <w:r w:rsidR="00E6769C" w:rsidRPr="00265DCB">
        <w:t>soil</w:t>
      </w:r>
      <w:r w:rsidR="0061529E" w:rsidRPr="00265DCB">
        <w:t xml:space="preserve"> samples</w:t>
      </w:r>
      <w:r w:rsidR="00E6769C" w:rsidRPr="00265DCB">
        <w:t xml:space="preserve"> </w:t>
      </w:r>
      <w:r w:rsidRPr="00265DCB">
        <w:t>is</w:t>
      </w:r>
      <w:r w:rsidR="00E6769C" w:rsidRPr="00265DCB">
        <w:t xml:space="preserve"> presented in Table 2</w:t>
      </w:r>
      <w:r w:rsidR="001021F5" w:rsidRPr="00265DCB">
        <w:t xml:space="preserve">. </w:t>
      </w:r>
      <w:r w:rsidR="00C33BF9" w:rsidRPr="00265DCB">
        <w:t xml:space="preserve">The macro-mineral content of soils showed significant differences in calcium (Ca), phosphorus (P), magnesium (Mg), potassium (K), and sulfur (S). Soils from Mt. Merapi exhibited the highest Ca concentrations, which were not significantly different from those of Mt. </w:t>
      </w:r>
      <w:proofErr w:type="spellStart"/>
      <w:r w:rsidR="00C33BF9" w:rsidRPr="00265DCB">
        <w:t>Gamalama</w:t>
      </w:r>
      <w:proofErr w:type="spellEnd"/>
      <w:r w:rsidR="00C33BF9" w:rsidRPr="00265DCB">
        <w:t xml:space="preserve">, Mt. Sinabung, and Mt. Agung. </w:t>
      </w:r>
      <w:r w:rsidR="006F29EE">
        <w:t>T</w:t>
      </w:r>
      <w:r w:rsidR="00C33BF9" w:rsidRPr="00265DCB">
        <w:t xml:space="preserve">he lowest Ca concentration was observed in soils from Mt. </w:t>
      </w:r>
      <w:proofErr w:type="spellStart"/>
      <w:r w:rsidR="00C33BF9" w:rsidRPr="00265DCB">
        <w:t>Lokon</w:t>
      </w:r>
      <w:proofErr w:type="spellEnd"/>
      <w:r w:rsidR="00C33BF9" w:rsidRPr="00265DCB">
        <w:t xml:space="preserve"> (p &lt; 0.05). Phosphorus content varied </w:t>
      </w:r>
      <w:r w:rsidR="00265DCB" w:rsidRPr="00265DCB">
        <w:t>considerably</w:t>
      </w:r>
      <w:r w:rsidR="00C33BF9" w:rsidRPr="00265DCB">
        <w:t xml:space="preserve"> between and within the studied volcanoes. The highest P levels were found in </w:t>
      </w:r>
      <w:r w:rsidR="00265DCB" w:rsidRPr="00265DCB">
        <w:t>soil</w:t>
      </w:r>
      <w:r w:rsidR="00C33BF9" w:rsidRPr="00265DCB">
        <w:t xml:space="preserve"> from Mt. </w:t>
      </w:r>
      <w:proofErr w:type="spellStart"/>
      <w:r w:rsidR="00C33BF9" w:rsidRPr="00265DCB">
        <w:t>Lokon</w:t>
      </w:r>
      <w:proofErr w:type="spellEnd"/>
      <w:r w:rsidR="00C33BF9" w:rsidRPr="00265DCB">
        <w:t xml:space="preserve">, which were not significantly different from those of Mt. Merapi, Mt. Agung, and Mt. Sinabung. Soils from Mt. </w:t>
      </w:r>
      <w:proofErr w:type="spellStart"/>
      <w:r w:rsidR="00C33BF9" w:rsidRPr="00265DCB">
        <w:t>Gamalama</w:t>
      </w:r>
      <w:proofErr w:type="spellEnd"/>
      <w:r w:rsidR="00C33BF9" w:rsidRPr="00265DCB">
        <w:t xml:space="preserve"> had the lowest P content.</w:t>
      </w:r>
    </w:p>
    <w:p w14:paraId="2D58A792" w14:textId="1D9FFBC2" w:rsidR="00550F8E" w:rsidRPr="00265DCB" w:rsidRDefault="00C33BF9" w:rsidP="00550F8E">
      <w:pPr>
        <w:spacing w:line="480" w:lineRule="auto"/>
        <w:ind w:firstLine="720"/>
        <w:jc w:val="both"/>
      </w:pPr>
      <w:r w:rsidRPr="00265DCB">
        <w:t xml:space="preserve">Magnesium levels ranged from 0.07% to 0.71%, with soils from Mt. </w:t>
      </w:r>
      <w:proofErr w:type="spellStart"/>
      <w:r w:rsidRPr="00265DCB">
        <w:t>Gamalama</w:t>
      </w:r>
      <w:proofErr w:type="spellEnd"/>
      <w:r w:rsidRPr="00265DCB">
        <w:t xml:space="preserve"> containing the highest Mg concentration, followed by Mt. </w:t>
      </w:r>
      <w:proofErr w:type="spellStart"/>
      <w:r w:rsidRPr="00265DCB">
        <w:t>Lokon</w:t>
      </w:r>
      <w:proofErr w:type="spellEnd"/>
      <w:r w:rsidRPr="00265DCB">
        <w:t xml:space="preserve">. The lowest Mg concentrations were observed in soils from Mt. Sinabung, which did not differ significantly from those of Mt. Merapi and Mt. Agung. Potassium content was lowest in soils from Mt. Merapi, with values not significantly different from those of Mt. </w:t>
      </w:r>
      <w:proofErr w:type="spellStart"/>
      <w:r w:rsidRPr="00265DCB">
        <w:t>Gamalama</w:t>
      </w:r>
      <w:proofErr w:type="spellEnd"/>
      <w:r w:rsidRPr="00265DCB">
        <w:t xml:space="preserve">, Mt. Agung, and Mt. </w:t>
      </w:r>
      <w:proofErr w:type="spellStart"/>
      <w:r w:rsidRPr="00265DCB">
        <w:t>Lokon</w:t>
      </w:r>
      <w:proofErr w:type="spellEnd"/>
      <w:r w:rsidRPr="00265DCB">
        <w:t xml:space="preserve">. The highest K concentrations were found in </w:t>
      </w:r>
      <w:r w:rsidR="00265DCB" w:rsidRPr="00265DCB">
        <w:t>soil</w:t>
      </w:r>
      <w:r w:rsidRPr="00265DCB">
        <w:t xml:space="preserve"> from Mt. Sinabung.</w:t>
      </w:r>
      <w:r w:rsidR="002F60D8" w:rsidRPr="00265DCB">
        <w:t xml:space="preserve"> </w:t>
      </w:r>
      <w:r w:rsidRPr="00265DCB">
        <w:t xml:space="preserve">Sodium (Na) content ranged from 0.09% to 0.14%, with no significant differences observed among the volcanoes. Sulfur (S) was the least abundant macro-mineral in the volcanic soils, with mean </w:t>
      </w:r>
      <w:r w:rsidRPr="00265DCB">
        <w:lastRenderedPageBreak/>
        <w:t xml:space="preserve">concentrations below 0.1%. </w:t>
      </w:r>
      <w:r w:rsidR="00265DCB" w:rsidRPr="00265DCB">
        <w:t>Soil</w:t>
      </w:r>
      <w:r w:rsidRPr="00265DCB">
        <w:t xml:space="preserve"> from Mt. Sinabung had the highest S concentrations, which were not significantly different from those of Mt. </w:t>
      </w:r>
      <w:proofErr w:type="spellStart"/>
      <w:r w:rsidRPr="00265DCB">
        <w:t>Lokon</w:t>
      </w:r>
      <w:proofErr w:type="spellEnd"/>
      <w:r w:rsidRPr="00265DCB">
        <w:t xml:space="preserve">, Mt. </w:t>
      </w:r>
      <w:proofErr w:type="spellStart"/>
      <w:r w:rsidRPr="00265DCB">
        <w:t>Gamalama</w:t>
      </w:r>
      <w:proofErr w:type="spellEnd"/>
      <w:r w:rsidRPr="00265DCB">
        <w:t>, and Mt. Agung. The lowest S levels were detected in soils from Mt. Merapi.</w:t>
      </w:r>
      <w:r w:rsidR="00550F8E" w:rsidRPr="00265DCB">
        <w:tab/>
      </w:r>
    </w:p>
    <w:p w14:paraId="590935DA" w14:textId="18F5AE8D" w:rsidR="00EA7AAC" w:rsidRPr="00265DCB" w:rsidRDefault="00B52826" w:rsidP="00550F8E">
      <w:pPr>
        <w:spacing w:line="480" w:lineRule="auto"/>
        <w:ind w:firstLine="720"/>
        <w:jc w:val="both"/>
      </w:pPr>
      <w:r w:rsidRPr="00265DCB">
        <w:t xml:space="preserve">Compared to </w:t>
      </w:r>
      <w:r w:rsidR="006F29EE">
        <w:t xml:space="preserve">mineral </w:t>
      </w:r>
      <w:r w:rsidRPr="00265DCB">
        <w:t xml:space="preserve">critical levels, </w:t>
      </w:r>
      <w:r w:rsidR="00EA7AAC" w:rsidRPr="00265DCB">
        <w:t>the soils of Mt. Agung were rich in Ca, K, and S</w:t>
      </w:r>
      <w:r w:rsidR="00550F8E" w:rsidRPr="00265DCB">
        <w:t>. They</w:t>
      </w:r>
      <w:r w:rsidR="00EA7AAC" w:rsidRPr="00265DCB">
        <w:t xml:space="preserve"> exhibited favorable levels of Mg, P, Na, and S. The soils of Mt. </w:t>
      </w:r>
      <w:proofErr w:type="spellStart"/>
      <w:r w:rsidR="00EA7AAC" w:rsidRPr="00265DCB">
        <w:t>Gamalama</w:t>
      </w:r>
      <w:proofErr w:type="spellEnd"/>
      <w:r w:rsidR="00EA7AAC" w:rsidRPr="00265DCB">
        <w:t xml:space="preserve"> contained high levels of Ca and Mg but were deficient in P. Mt. </w:t>
      </w:r>
      <w:proofErr w:type="spellStart"/>
      <w:r w:rsidR="00EA7AAC" w:rsidRPr="00265DCB">
        <w:t>Lokon</w:t>
      </w:r>
      <w:r w:rsidR="00550F8E" w:rsidRPr="00265DCB">
        <w:t>'</w:t>
      </w:r>
      <w:r w:rsidR="00EA7AAC" w:rsidRPr="00265DCB">
        <w:t>s</w:t>
      </w:r>
      <w:proofErr w:type="spellEnd"/>
      <w:r w:rsidR="00EA7AAC" w:rsidRPr="00265DCB">
        <w:t xml:space="preserve"> soils were enriched in P, Mg, K, and S but low in Ca. Soils from Mt. Merapi were rich in Ca and P </w:t>
      </w:r>
      <w:r w:rsidR="00550F8E" w:rsidRPr="00265DCB">
        <w:t xml:space="preserve">and </w:t>
      </w:r>
      <w:r w:rsidR="00EA7AAC" w:rsidRPr="00265DCB">
        <w:t xml:space="preserve">displayed favorable levels of K and Na but were low in Mg and S. The soils of Mt. Sinabung were high in Ca, P, K, Na, and S, favorable in P, but deficient in Mg. The Ca, Mg, and K contents in the soils of Mt. Sinabung in this study were significantly lower </w:t>
      </w:r>
      <w:r w:rsidR="00262277" w:rsidRPr="00265DCB">
        <w:t xml:space="preserve">than data from </w:t>
      </w:r>
      <w:proofErr w:type="spellStart"/>
      <w:r w:rsidR="00262277" w:rsidRPr="00265DCB">
        <w:t>Khusrizal</w:t>
      </w:r>
      <w:proofErr w:type="spellEnd"/>
      <w:r w:rsidR="00262277" w:rsidRPr="00265DCB">
        <w:t xml:space="preserve"> </w:t>
      </w:r>
      <w:r w:rsidR="00262277" w:rsidRPr="00260660">
        <w:rPr>
          <w:i/>
          <w:iCs/>
        </w:rPr>
        <w:t>et al</w:t>
      </w:r>
      <w:r w:rsidR="00262277" w:rsidRPr="00265DCB">
        <w:t xml:space="preserve">. (2017) who reported that the mean Ca, Mg, and K content of </w:t>
      </w:r>
      <w:r w:rsidR="00EA7AAC" w:rsidRPr="00265DCB">
        <w:t>8.</w:t>
      </w:r>
      <w:r w:rsidR="00262277" w:rsidRPr="00265DCB">
        <w:t>1</w:t>
      </w:r>
      <w:r w:rsidR="00EA7AAC" w:rsidRPr="00265DCB">
        <w:t>, 2.</w:t>
      </w:r>
      <w:r w:rsidR="00262277" w:rsidRPr="00265DCB">
        <w:t>3</w:t>
      </w:r>
      <w:r w:rsidR="00EA7AAC" w:rsidRPr="00265DCB">
        <w:t>, and 2.</w:t>
      </w:r>
      <w:r w:rsidR="00262277" w:rsidRPr="00265DCB">
        <w:t>3</w:t>
      </w:r>
      <w:r w:rsidR="00EA7AAC" w:rsidRPr="00265DCB">
        <w:t xml:space="preserve">%, respectively. No significant differences in Na content were observed among the volcanoes. Interestingly, while volcanic eruptions release substantial amounts of sulfur, the S concentration in volcanic soils was generally low, except in Mt. Sinabung. This phenomenon might be attributed to the </w:t>
      </w:r>
      <w:r w:rsidR="006F29EE">
        <w:t>high water</w:t>
      </w:r>
      <w:r w:rsidR="00EA7AAC" w:rsidRPr="00265DCB">
        <w:t xml:space="preserve"> solubility of sulfur from non-magmatic sources compared to magmatic minerals, facilitating its leaching into environmental water (</w:t>
      </w:r>
      <w:proofErr w:type="spellStart"/>
      <w:r w:rsidR="00EA7AAC" w:rsidRPr="00265DCB">
        <w:t>Ohba</w:t>
      </w:r>
      <w:proofErr w:type="spellEnd"/>
      <w:r w:rsidR="00EA7AAC" w:rsidRPr="00265DCB">
        <w:t xml:space="preserve"> and Nakagawa, 2002).</w:t>
      </w:r>
      <w:r w:rsidR="00122114">
        <w:t xml:space="preserve"> </w:t>
      </w:r>
    </w:p>
    <w:p w14:paraId="42238CB9" w14:textId="6158237F" w:rsidR="00F72AFA" w:rsidRPr="00265DCB" w:rsidRDefault="0093142C" w:rsidP="00440AFC">
      <w:pPr>
        <w:spacing w:line="480" w:lineRule="auto"/>
        <w:ind w:firstLine="720"/>
        <w:jc w:val="both"/>
      </w:pPr>
      <w:r w:rsidRPr="00265DCB">
        <w:t>The concentration of macro minerals from all volcanic soils is much higher than those reported as soil reference levels suggesting deficiencies. However</w:t>
      </w:r>
      <w:r w:rsidR="007D30A6" w:rsidRPr="00265DCB">
        <w:t xml:space="preserve">, soil Ca in Mt. </w:t>
      </w:r>
      <w:proofErr w:type="spellStart"/>
      <w:r w:rsidR="007D30A6" w:rsidRPr="00265DCB">
        <w:t>Loko</w:t>
      </w:r>
      <w:r w:rsidRPr="00265DCB">
        <w:t>n</w:t>
      </w:r>
      <w:proofErr w:type="spellEnd"/>
      <w:r w:rsidR="007D30A6" w:rsidRPr="00265DCB">
        <w:t xml:space="preserve">, P in Mt. </w:t>
      </w:r>
      <w:proofErr w:type="spellStart"/>
      <w:r w:rsidR="007D30A6" w:rsidRPr="00265DCB">
        <w:t>Gamalam</w:t>
      </w:r>
      <w:proofErr w:type="spellEnd"/>
      <w:r w:rsidR="007D30A6" w:rsidRPr="00265DCB">
        <w:t xml:space="preserve">, and Mg in Mt. Merapi dan Sinabung are </w:t>
      </w:r>
      <w:r w:rsidR="008B1980" w:rsidRPr="00265DCB">
        <w:t xml:space="preserve">relatively low and </w:t>
      </w:r>
      <w:r w:rsidR="007D30A6" w:rsidRPr="00265DCB">
        <w:t xml:space="preserve">suggested as essential minerals that could </w:t>
      </w:r>
      <w:r w:rsidR="00550F8E" w:rsidRPr="00265DCB">
        <w:t>limit</w:t>
      </w:r>
      <w:r w:rsidR="007D30A6" w:rsidRPr="00265DCB">
        <w:t xml:space="preserve"> plant growth nutrients due to many factors affecting mineral availability.</w:t>
      </w:r>
      <w:r w:rsidR="00E44601" w:rsidRPr="00265DCB">
        <w:t xml:space="preserve"> </w:t>
      </w:r>
      <w:r w:rsidR="00F72AFA" w:rsidRPr="00265DCB">
        <w:t xml:space="preserve">Tulp </w:t>
      </w:r>
      <w:r w:rsidR="00F72AFA" w:rsidRPr="00265DCB">
        <w:rPr>
          <w:i/>
          <w:iCs/>
        </w:rPr>
        <w:t>et al</w:t>
      </w:r>
      <w:r w:rsidR="00F72AFA" w:rsidRPr="00265DCB">
        <w:t xml:space="preserve">. (2023) reported that </w:t>
      </w:r>
      <w:r w:rsidR="00C04BD5" w:rsidRPr="00265DCB">
        <w:t xml:space="preserve">Na, Ca, and Fe were </w:t>
      </w:r>
      <w:r w:rsidR="00F72AFA" w:rsidRPr="00265DCB">
        <w:t xml:space="preserve">the highest mineral concentrations in volcanic soil </w:t>
      </w:r>
      <w:r w:rsidR="00BC0ECF" w:rsidRPr="00265DCB">
        <w:t>derived from The Montserrat Soufriere Hills</w:t>
      </w:r>
      <w:r w:rsidR="00FC600A" w:rsidRPr="00265DCB">
        <w:t xml:space="preserve"> volcano,</w:t>
      </w:r>
      <w:r w:rsidR="00BC0ECF" w:rsidRPr="00265DCB">
        <w:t xml:space="preserve"> Plymouth </w:t>
      </w:r>
      <w:r w:rsidR="00FC600A" w:rsidRPr="00265DCB">
        <w:t>C</w:t>
      </w:r>
      <w:r w:rsidR="00BC0ECF" w:rsidRPr="00265DCB">
        <w:t>ity</w:t>
      </w:r>
      <w:r w:rsidR="00FC600A" w:rsidRPr="00265DCB">
        <w:t>,</w:t>
      </w:r>
      <w:r w:rsidR="00BC0ECF" w:rsidRPr="00265DCB">
        <w:t xml:space="preserve"> UK</w:t>
      </w:r>
      <w:r w:rsidR="00C04BD5" w:rsidRPr="00265DCB">
        <w:t>.</w:t>
      </w:r>
      <w:r w:rsidR="00BC0ECF" w:rsidRPr="00265DCB">
        <w:t xml:space="preserve"> Other essential mineral concentrations varied widely. The </w:t>
      </w:r>
      <w:r w:rsidR="00265DCB" w:rsidRPr="00265DCB">
        <w:t>phosphorus</w:t>
      </w:r>
      <w:r w:rsidR="00BC0ECF" w:rsidRPr="00265DCB">
        <w:t xml:space="preserve"> varied from 255 to 677 ppm, </w:t>
      </w:r>
      <w:r w:rsidR="00FC600A" w:rsidRPr="00265DCB">
        <w:t>p</w:t>
      </w:r>
      <w:r w:rsidR="00BC0ECF" w:rsidRPr="00265DCB">
        <w:t xml:space="preserve">otassium </w:t>
      </w:r>
      <w:r w:rsidR="00FC600A" w:rsidRPr="00265DCB">
        <w:t xml:space="preserve">from </w:t>
      </w:r>
      <w:r w:rsidR="00BC0ECF" w:rsidRPr="00265DCB">
        <w:t xml:space="preserve">54 to 663 ppm, </w:t>
      </w:r>
      <w:r w:rsidR="00FC600A" w:rsidRPr="00265DCB">
        <w:t>m</w:t>
      </w:r>
      <w:r w:rsidR="00BC0ECF" w:rsidRPr="00265DCB">
        <w:t xml:space="preserve">agnesium </w:t>
      </w:r>
      <w:r w:rsidR="006F29EE">
        <w:t xml:space="preserve">from </w:t>
      </w:r>
      <w:r w:rsidR="00BC0ECF" w:rsidRPr="00265DCB">
        <w:t xml:space="preserve">411 to </w:t>
      </w:r>
      <w:r w:rsidR="00262277" w:rsidRPr="00265DCB">
        <w:t>1299 ppm, sulfur</w:t>
      </w:r>
      <w:r w:rsidR="00BC0ECF" w:rsidRPr="00265DCB">
        <w:t xml:space="preserve"> </w:t>
      </w:r>
      <w:r w:rsidR="00FC600A" w:rsidRPr="00265DCB">
        <w:t xml:space="preserve">from </w:t>
      </w:r>
      <w:r w:rsidR="00BC0ECF" w:rsidRPr="00265DCB">
        <w:t xml:space="preserve">1081 to 2789 ppm, and </w:t>
      </w:r>
      <w:r w:rsidR="00FC600A" w:rsidRPr="00265DCB">
        <w:t>m</w:t>
      </w:r>
      <w:r w:rsidR="00BC0ECF" w:rsidRPr="00265DCB">
        <w:t xml:space="preserve">anganese </w:t>
      </w:r>
      <w:r w:rsidR="00FC600A" w:rsidRPr="00265DCB">
        <w:t xml:space="preserve">from </w:t>
      </w:r>
      <w:r w:rsidR="00BC0ECF" w:rsidRPr="00265DCB">
        <w:t xml:space="preserve">135 to 210 ppm (Tulp </w:t>
      </w:r>
      <w:r w:rsidR="00BC0ECF" w:rsidRPr="00265DCB">
        <w:rPr>
          <w:i/>
          <w:iCs/>
        </w:rPr>
        <w:t>et al</w:t>
      </w:r>
      <w:r w:rsidR="00BC0ECF" w:rsidRPr="00265DCB">
        <w:t>., 2023)</w:t>
      </w:r>
      <w:r w:rsidR="004709E4">
        <w:t>.</w:t>
      </w:r>
    </w:p>
    <w:p w14:paraId="401E2A67" w14:textId="18D57C87" w:rsidR="00E44601" w:rsidRPr="00265DCB" w:rsidRDefault="00E44601" w:rsidP="00164169">
      <w:pPr>
        <w:spacing w:line="480" w:lineRule="auto"/>
        <w:ind w:firstLine="720"/>
        <w:jc w:val="both"/>
      </w:pPr>
      <w:r w:rsidRPr="00265DCB">
        <w:lastRenderedPageBreak/>
        <w:t xml:space="preserve">Volcanic soils had a considerably high content of Fe of 14-20 g/kg. </w:t>
      </w:r>
      <w:r w:rsidR="002C422A" w:rsidRPr="00265DCB">
        <w:t xml:space="preserve">Although it is included in the micronutrient group, iron provides </w:t>
      </w:r>
      <w:r w:rsidR="00550F8E" w:rsidRPr="00265DCB">
        <w:t>more</w:t>
      </w:r>
      <w:r w:rsidR="002C422A" w:rsidRPr="00265DCB">
        <w:t xml:space="preserve"> than other macronutrients such as P, K, and Mg. </w:t>
      </w:r>
      <w:r w:rsidRPr="00265DCB">
        <w:t>The highest Fe was found in</w:t>
      </w:r>
      <w:r w:rsidR="00316A54" w:rsidRPr="00265DCB">
        <w:t xml:space="preserve"> the soil sample of</w:t>
      </w:r>
      <w:r w:rsidRPr="00265DCB">
        <w:t xml:space="preserve"> Mt. </w:t>
      </w:r>
      <w:proofErr w:type="spellStart"/>
      <w:r w:rsidRPr="00265DCB">
        <w:t>Lokon</w:t>
      </w:r>
      <w:proofErr w:type="spellEnd"/>
      <w:r w:rsidRPr="00265DCB">
        <w:t xml:space="preserve">, which was not significantly different from the other volcanic soils of Mt. </w:t>
      </w:r>
      <w:proofErr w:type="spellStart"/>
      <w:r w:rsidRPr="00265DCB">
        <w:t>Gamalama</w:t>
      </w:r>
      <w:proofErr w:type="spellEnd"/>
      <w:r w:rsidRPr="00265DCB">
        <w:t xml:space="preserve"> and Mt. Agung. </w:t>
      </w:r>
      <w:r w:rsidR="00316A54" w:rsidRPr="00265DCB">
        <w:t>The possibility was related to Fe behavior, immobile or insoluble</w:t>
      </w:r>
      <w:r w:rsidR="00550F8E" w:rsidRPr="00265DCB">
        <w:t>, and remained</w:t>
      </w:r>
      <w:r w:rsidR="00316A54" w:rsidRPr="00265DCB">
        <w:t xml:space="preserve"> in the soil (Aini </w:t>
      </w:r>
      <w:r w:rsidR="00316A54" w:rsidRPr="00265DCB">
        <w:rPr>
          <w:i/>
          <w:iCs/>
        </w:rPr>
        <w:t>et al</w:t>
      </w:r>
      <w:r w:rsidR="00316A54" w:rsidRPr="00265DCB">
        <w:t xml:space="preserve">., 2019). </w:t>
      </w:r>
      <w:r w:rsidR="00164169" w:rsidRPr="00265DCB">
        <w:t xml:space="preserve">Iron is an essential micronutrient for plant growth and development, playing a critical role in various physiological processes (Haris </w:t>
      </w:r>
      <w:r w:rsidR="00164169" w:rsidRPr="00122114">
        <w:rPr>
          <w:i/>
          <w:iCs/>
        </w:rPr>
        <w:t>et al</w:t>
      </w:r>
      <w:r w:rsidR="00164169" w:rsidRPr="00265DCB">
        <w:t xml:space="preserve">., 2023). </w:t>
      </w:r>
      <w:r w:rsidRPr="00265DCB">
        <w:t xml:space="preserve">The high </w:t>
      </w:r>
      <w:r w:rsidR="00316A54" w:rsidRPr="00265DCB">
        <w:t>concentration of</w:t>
      </w:r>
      <w:r w:rsidRPr="00265DCB">
        <w:t xml:space="preserve"> Fe in the volcanic soil has </w:t>
      </w:r>
      <w:r w:rsidR="00316A54" w:rsidRPr="00265DCB">
        <w:t>implications</w:t>
      </w:r>
      <w:r w:rsidRPr="00265DCB">
        <w:t xml:space="preserve"> for </w:t>
      </w:r>
      <w:r w:rsidR="00316A54" w:rsidRPr="00265DCB">
        <w:t xml:space="preserve">forage growth and recovery post-eruption </w:t>
      </w:r>
      <w:r w:rsidRPr="00265DCB">
        <w:t xml:space="preserve">because Fe is the micronutrient </w:t>
      </w:r>
      <w:r w:rsidR="00316A54" w:rsidRPr="00265DCB">
        <w:t>plants need</w:t>
      </w:r>
      <w:r w:rsidRPr="00265DCB">
        <w:t xml:space="preserve"> in small quantities (Aini </w:t>
      </w:r>
      <w:r w:rsidRPr="00265DCB">
        <w:rPr>
          <w:i/>
          <w:iCs/>
        </w:rPr>
        <w:t>et al</w:t>
      </w:r>
      <w:r w:rsidRPr="00265DCB">
        <w:t xml:space="preserve">., 2019). </w:t>
      </w:r>
      <w:r w:rsidR="006B0DD2" w:rsidRPr="00265DCB">
        <w:t>However, excessive iron uptake can lead to</w:t>
      </w:r>
      <w:r w:rsidR="00164169" w:rsidRPr="00265DCB">
        <w:t xml:space="preserve"> </w:t>
      </w:r>
      <w:r w:rsidR="006B0DD2" w:rsidRPr="00265DCB">
        <w:t>iron toxicity, causing damage to the plant</w:t>
      </w:r>
      <w:r w:rsidR="00550F8E" w:rsidRPr="00265DCB">
        <w:t>'</w:t>
      </w:r>
      <w:r w:rsidR="006B0DD2" w:rsidRPr="00265DCB">
        <w:t>s cell membranes, reducing growth and yield,</w:t>
      </w:r>
      <w:r w:rsidR="00164169" w:rsidRPr="00265DCB">
        <w:t xml:space="preserve"> </w:t>
      </w:r>
      <w:r w:rsidR="006B0DD2" w:rsidRPr="00265DCB">
        <w:t xml:space="preserve">and affecting the </w:t>
      </w:r>
      <w:r w:rsidR="00550F8E" w:rsidRPr="00265DCB">
        <w:t>plant's overall health</w:t>
      </w:r>
      <w:r w:rsidR="006B0DD2" w:rsidRPr="00265DCB">
        <w:t xml:space="preserve"> (Haris </w:t>
      </w:r>
      <w:r w:rsidR="006B0DD2" w:rsidRPr="00122114">
        <w:rPr>
          <w:i/>
          <w:iCs/>
        </w:rPr>
        <w:t>et al</w:t>
      </w:r>
      <w:r w:rsidR="006B0DD2" w:rsidRPr="00265DCB">
        <w:t>., 2023)</w:t>
      </w:r>
      <w:r w:rsidR="00164169" w:rsidRPr="00265DCB">
        <w:t xml:space="preserve">. </w:t>
      </w:r>
      <w:r w:rsidRPr="00265DCB">
        <w:t xml:space="preserve">Other microminerals in relatively high concentrations included Mn, Zn, and Cu. Soils of Mt </w:t>
      </w:r>
      <w:proofErr w:type="spellStart"/>
      <w:r w:rsidRPr="00265DCB">
        <w:t>Lokon</w:t>
      </w:r>
      <w:proofErr w:type="spellEnd"/>
      <w:r w:rsidRPr="00265DCB">
        <w:t xml:space="preserve">, </w:t>
      </w:r>
      <w:proofErr w:type="spellStart"/>
      <w:r w:rsidRPr="00265DCB">
        <w:t>Gamalama</w:t>
      </w:r>
      <w:proofErr w:type="spellEnd"/>
      <w:r w:rsidRPr="00265DCB">
        <w:t xml:space="preserve">, </w:t>
      </w:r>
      <w:proofErr w:type="spellStart"/>
      <w:r w:rsidRPr="00265DCB">
        <w:t>Agung</w:t>
      </w:r>
      <w:proofErr w:type="spellEnd"/>
      <w:r w:rsidRPr="00265DCB">
        <w:t>, and Merapi had higher Fe, Mn, and Cu concentrations than those in Mt. Sinabung. Soils at Mt. Sinabung had the lowest Fe, Zn, Cu, Mn, and Co. Trace minerals Co and Se were found in low concentration and differed amongst the volcanoes.</w:t>
      </w:r>
    </w:p>
    <w:p w14:paraId="2B050D81" w14:textId="5AF8D00F" w:rsidR="002F60D8" w:rsidRPr="00265DCB" w:rsidRDefault="00316A54" w:rsidP="002F60D8">
      <w:pPr>
        <w:pStyle w:val="NormalWeb"/>
        <w:spacing w:before="0" w:beforeAutospacing="0" w:after="0" w:afterAutospacing="0" w:line="480" w:lineRule="auto"/>
        <w:ind w:firstLine="720"/>
        <w:jc w:val="both"/>
      </w:pPr>
      <w:r w:rsidRPr="00265DCB">
        <w:t>The essential mineral of</w:t>
      </w:r>
      <w:r w:rsidR="006F29EE">
        <w:t xml:space="preserve"> volcanic</w:t>
      </w:r>
      <w:r w:rsidRPr="00265DCB">
        <w:t xml:space="preserve"> forages is presented</w:t>
      </w:r>
      <w:r w:rsidR="00BD4DCA" w:rsidRPr="00265DCB">
        <w:t xml:space="preserve"> in Table 3</w:t>
      </w:r>
      <w:r w:rsidRPr="00265DCB">
        <w:t>.</w:t>
      </w:r>
      <w:r w:rsidR="00BD4DCA" w:rsidRPr="00265DCB">
        <w:t xml:space="preserve"> </w:t>
      </w:r>
      <w:r w:rsidR="002F60D8" w:rsidRPr="00265DCB">
        <w:t xml:space="preserve">The table indicates that forages from areas affected by volcanic eruptions exhibited significant differences in concentrations of calcium (Ca), phosphorus (P), potassium (K), magnesium (Mg), and sulfur (S). Forages from Mt. Merapi and Mt. </w:t>
      </w:r>
      <w:proofErr w:type="spellStart"/>
      <w:r w:rsidR="002F60D8" w:rsidRPr="00265DCB">
        <w:t>Lokon</w:t>
      </w:r>
      <w:proofErr w:type="spellEnd"/>
      <w:r w:rsidR="002F60D8" w:rsidRPr="00265DCB">
        <w:t xml:space="preserve"> had the highest Ca concentrations, which were not significantly different from the P concentrations in forages from Mt. Agung. Conversely, forages from Mt. Sinabung had the lowest Ca content. The P concentration was highest in forages from Mt. </w:t>
      </w:r>
      <w:proofErr w:type="spellStart"/>
      <w:r w:rsidR="002F60D8" w:rsidRPr="00265DCB">
        <w:t>Lokon</w:t>
      </w:r>
      <w:proofErr w:type="spellEnd"/>
      <w:r w:rsidR="002F60D8" w:rsidRPr="00265DCB">
        <w:t>, comparable to that of Mt. Merapi</w:t>
      </w:r>
      <w:r w:rsidR="00550F8E" w:rsidRPr="00265DCB">
        <w:t>,</w:t>
      </w:r>
      <w:r w:rsidR="002F60D8" w:rsidRPr="00265DCB">
        <w:t xml:space="preserve"> but significantly </w:t>
      </w:r>
      <w:r w:rsidR="00550F8E" w:rsidRPr="00265DCB">
        <w:t>higher</w:t>
      </w:r>
      <w:r w:rsidR="002F60D8" w:rsidRPr="00265DCB">
        <w:t xml:space="preserve"> than in forages from Mt. Sinabung and Mt. </w:t>
      </w:r>
      <w:proofErr w:type="spellStart"/>
      <w:r w:rsidR="002F60D8" w:rsidRPr="00265DCB">
        <w:t>Gamalama</w:t>
      </w:r>
      <w:proofErr w:type="spellEnd"/>
      <w:r w:rsidR="002F60D8" w:rsidRPr="00265DCB">
        <w:t xml:space="preserve">. Forages from Mt. </w:t>
      </w:r>
      <w:proofErr w:type="spellStart"/>
      <w:r w:rsidR="002F60D8" w:rsidRPr="00265DCB">
        <w:t>Gamalama</w:t>
      </w:r>
      <w:proofErr w:type="spellEnd"/>
      <w:r w:rsidR="002F60D8" w:rsidRPr="00265DCB">
        <w:t xml:space="preserve"> exhibited the lowest P concentration, with a significant decrease in P content observed in forage samples collected farther from the crater.</w:t>
      </w:r>
    </w:p>
    <w:p w14:paraId="2D6BDB5C" w14:textId="01855B14" w:rsidR="006F29EE" w:rsidRDefault="002F60D8" w:rsidP="006F29EE">
      <w:pPr>
        <w:spacing w:line="480" w:lineRule="auto"/>
        <w:ind w:firstLine="720"/>
        <w:jc w:val="both"/>
      </w:pPr>
      <w:r w:rsidRPr="00265DCB">
        <w:lastRenderedPageBreak/>
        <w:t xml:space="preserve">Forages from Mt. </w:t>
      </w:r>
      <w:proofErr w:type="spellStart"/>
      <w:r w:rsidRPr="00265DCB">
        <w:t>Lokon</w:t>
      </w:r>
      <w:proofErr w:type="spellEnd"/>
      <w:r w:rsidRPr="00265DCB">
        <w:t xml:space="preserve"> had the highest K concentrations (p &lt; 0.05), followed by those from Mt. Agung, Mt. Merapi, and Mt. Sinabung. Forages from Mt. </w:t>
      </w:r>
      <w:proofErr w:type="spellStart"/>
      <w:r w:rsidRPr="00265DCB">
        <w:t>Gamalama</w:t>
      </w:r>
      <w:proofErr w:type="spellEnd"/>
      <w:r w:rsidRPr="00265DCB">
        <w:t xml:space="preserve"> showed the lowest K content. No significant differences were observed in the </w:t>
      </w:r>
      <w:r w:rsidR="00550F8E" w:rsidRPr="00265DCB">
        <w:t xml:space="preserve">forages' sodium </w:t>
      </w:r>
      <w:r w:rsidR="00262277" w:rsidRPr="00265DCB">
        <w:t xml:space="preserve">(Na) </w:t>
      </w:r>
      <w:r w:rsidR="00550F8E" w:rsidRPr="00265DCB">
        <w:t>concentration</w:t>
      </w:r>
      <w:r w:rsidRPr="00265DCB">
        <w:t xml:space="preserve">s. The highest S concentration was recorded in forages from Mt. Sinabung (p &lt; 0.01), followed by Mt. </w:t>
      </w:r>
      <w:proofErr w:type="spellStart"/>
      <w:r w:rsidRPr="00265DCB">
        <w:t>Lokon</w:t>
      </w:r>
      <w:proofErr w:type="spellEnd"/>
      <w:r w:rsidRPr="00265DCB">
        <w:t xml:space="preserve">, which was not significantly different from Mt. Merapi. Forages from Mt. Agung and Mt. </w:t>
      </w:r>
      <w:proofErr w:type="spellStart"/>
      <w:r w:rsidRPr="00265DCB">
        <w:t>Gamalama</w:t>
      </w:r>
      <w:proofErr w:type="spellEnd"/>
      <w:r w:rsidRPr="00265DCB">
        <w:t xml:space="preserve"> had the lowest S concentrations.</w:t>
      </w:r>
      <w:r w:rsidR="006F29EE">
        <w:t xml:space="preserve"> </w:t>
      </w:r>
      <w:r w:rsidR="006F29EE" w:rsidRPr="00265DCB">
        <w:t xml:space="preserve">As shown in Table </w:t>
      </w:r>
      <w:r w:rsidR="006F29EE">
        <w:t>4</w:t>
      </w:r>
      <w:r w:rsidR="006F29EE" w:rsidRPr="00265DCB">
        <w:t>, except for P and S, there was a low correlation of minerals in volcanic soils and forages. Minerals in forages were mainly negatively correlated with minerals in the soils. The forage mineral is not significantly affected by mineral concentration in the volcanic soils.</w:t>
      </w:r>
    </w:p>
    <w:p w14:paraId="0E0593B9" w14:textId="072D7599" w:rsidR="00164169" w:rsidRPr="00265DCB" w:rsidRDefault="00EA7AAC" w:rsidP="00550F8E">
      <w:pPr>
        <w:pStyle w:val="NormalWeb"/>
        <w:spacing w:before="0" w:beforeAutospacing="0" w:after="0" w:afterAutospacing="0" w:line="480" w:lineRule="auto"/>
        <w:ind w:firstLine="720"/>
        <w:jc w:val="both"/>
      </w:pPr>
      <w:r w:rsidRPr="00265DCB">
        <w:t>Compared to the nutritional requirements of growing cattle, the concentrations of calcium (Ca) and magnesium (Mg) in forages from all study sites were favorable for cattle nutrition.</w:t>
      </w:r>
      <w:r w:rsidR="00262277" w:rsidRPr="00265DCB">
        <w:t xml:space="preserve"> </w:t>
      </w:r>
      <w:r w:rsidRPr="00265DCB">
        <w:t xml:space="preserve">However, forages from volcanic areas were deficient in phosphorus (P) and sodium (Na). </w:t>
      </w:r>
      <w:r w:rsidR="006F29EE" w:rsidRPr="00265DCB">
        <w:t>Phosphorus</w:t>
      </w:r>
      <w:r w:rsidR="00265DCB">
        <w:t xml:space="preserve"> </w:t>
      </w:r>
      <w:r w:rsidRPr="00265DCB">
        <w:t xml:space="preserve">deficiency was notable in forages from Mount </w:t>
      </w:r>
      <w:proofErr w:type="spellStart"/>
      <w:r w:rsidRPr="00265DCB">
        <w:t>Gamalama</w:t>
      </w:r>
      <w:proofErr w:type="spellEnd"/>
      <w:r w:rsidRPr="00265DCB">
        <w:t xml:space="preserve">, Mount </w:t>
      </w:r>
      <w:proofErr w:type="spellStart"/>
      <w:r w:rsidRPr="00265DCB">
        <w:t>Sinabung</w:t>
      </w:r>
      <w:proofErr w:type="spellEnd"/>
      <w:r w:rsidRPr="00265DCB">
        <w:t xml:space="preserve">, and Mount Agung. The P concentration in forage from Mount </w:t>
      </w:r>
      <w:proofErr w:type="spellStart"/>
      <w:r w:rsidRPr="00265DCB">
        <w:t>Gamalama</w:t>
      </w:r>
      <w:proofErr w:type="spellEnd"/>
      <w:r w:rsidRPr="00265DCB">
        <w:t xml:space="preserve"> (0.09%) was substantially lower than the critical </w:t>
      </w:r>
      <w:r w:rsidR="00262277" w:rsidRPr="00265DCB">
        <w:t>level</w:t>
      </w:r>
      <w:r w:rsidRPr="00265DCB">
        <w:t xml:space="preserve"> of 0.25% recommended for the diet of growing cattle. The P content in forages largely depended on the P availability in soils. Low soil P levels also negatively affected the </w:t>
      </w:r>
      <w:proofErr w:type="spellStart"/>
      <w:r w:rsidRPr="00265DCB">
        <w:t>Ca:P</w:t>
      </w:r>
      <w:proofErr w:type="spellEnd"/>
      <w:r w:rsidRPr="00265DCB">
        <w:t xml:space="preserve"> ratio in forages, posing risks of P deficiency (hypophosphatemia), malnutrition, and nutrient malabsorption in cattle. Chronic P deficiency can result in reduced feed intake, protein malnutrition, impaired bone growth and development, and infertility (Wu, 2018). </w:t>
      </w:r>
      <w:r w:rsidR="00550F8E" w:rsidRPr="00265DCB">
        <w:t>P</w:t>
      </w:r>
      <w:r w:rsidRPr="00265DCB">
        <w:t xml:space="preserve">hosphorus in volcanic soils is predominantly </w:t>
      </w:r>
      <w:r w:rsidR="00550F8E" w:rsidRPr="00265DCB">
        <w:t xml:space="preserve">an </w:t>
      </w:r>
      <w:r w:rsidR="00262277" w:rsidRPr="00265DCB">
        <w:t>appetite</w:t>
      </w:r>
      <w:r w:rsidR="00550F8E" w:rsidRPr="00265DCB">
        <w:t xml:space="preserve"> mineral</w:t>
      </w:r>
      <w:r w:rsidRPr="00265DCB">
        <w:t xml:space="preserve">, highly soluble under acidic conditions </w:t>
      </w:r>
      <w:r w:rsidR="00550F8E" w:rsidRPr="00265DCB">
        <w:t>for</w:t>
      </w:r>
      <w:r w:rsidRPr="00265DCB">
        <w:t xml:space="preserve"> vegetation growth</w:t>
      </w:r>
      <w:r w:rsidR="00550F8E" w:rsidRPr="00265DCB">
        <w:t xml:space="preserve"> (Mihai </w:t>
      </w:r>
      <w:r w:rsidR="00550F8E" w:rsidRPr="00265DCB">
        <w:rPr>
          <w:i/>
          <w:iCs/>
        </w:rPr>
        <w:t>et al</w:t>
      </w:r>
      <w:r w:rsidR="00550F8E" w:rsidRPr="00265DCB">
        <w:t>., 2023).</w:t>
      </w:r>
      <w:r w:rsidRPr="00265DCB">
        <w:t xml:space="preserve"> However, other elements present in </w:t>
      </w:r>
      <w:proofErr w:type="spellStart"/>
      <w:r w:rsidRPr="00265DCB">
        <w:t>ash</w:t>
      </w:r>
      <w:proofErr w:type="spellEnd"/>
      <w:r w:rsidRPr="00265DCB">
        <w:t xml:space="preserve">-rich soils, such as non-crystalline forms of aluminum and iron, can facilitate the formation of compounds that immobilize phosphorus, rendering it insoluble and unavailable to plants (Mihai </w:t>
      </w:r>
      <w:r w:rsidRPr="00265DCB">
        <w:rPr>
          <w:i/>
          <w:iCs/>
        </w:rPr>
        <w:t>et al</w:t>
      </w:r>
      <w:r w:rsidRPr="00265DCB">
        <w:t>., 2023)</w:t>
      </w:r>
      <w:r w:rsidR="006F29EE">
        <w:t>.</w:t>
      </w:r>
    </w:p>
    <w:p w14:paraId="4B58860B" w14:textId="5EEA80AF" w:rsidR="00FB6652" w:rsidRDefault="00EA7AAC" w:rsidP="00EA7AAC">
      <w:pPr>
        <w:pStyle w:val="NormalWeb"/>
        <w:spacing w:before="0" w:beforeAutospacing="0" w:after="0" w:afterAutospacing="0" w:line="480" w:lineRule="auto"/>
        <w:ind w:firstLine="720"/>
        <w:jc w:val="both"/>
      </w:pPr>
      <w:r w:rsidRPr="00265DCB">
        <w:lastRenderedPageBreak/>
        <w:t>Sodium (Na) was identified as the most critical essential mineral.</w:t>
      </w:r>
      <w:r w:rsidR="00550F8E" w:rsidRPr="00265DCB">
        <w:t xml:space="preserve"> </w:t>
      </w:r>
      <w:r w:rsidRPr="00265DCB">
        <w:t xml:space="preserve">The Na concentrations in forages from all volcanic regions were lower than the </w:t>
      </w:r>
      <w:r w:rsidR="00262277" w:rsidRPr="00265DCB">
        <w:t xml:space="preserve">critical </w:t>
      </w:r>
      <w:r w:rsidRPr="00265DCB">
        <w:t xml:space="preserve">levels reported for </w:t>
      </w:r>
      <w:r w:rsidR="00262277" w:rsidRPr="00265DCB">
        <w:t>forages</w:t>
      </w:r>
      <w:r w:rsidRPr="00265DCB">
        <w:t xml:space="preserve">, indicating widespread deficiencies. This finding aligns with the low Na content observed in the soils (Table 2). All forage samples from volcanic areas exhibited low Na concentrations, with mean values ranging from 0.02% to 0.05%, below the minimum requirement of 0.06%. </w:t>
      </w:r>
      <w:r w:rsidR="00FB6652">
        <w:t>As shown in Table 4, t</w:t>
      </w:r>
      <w:r w:rsidR="00FB6652" w:rsidRPr="00265DCB">
        <w:t>he lack of correlation between</w:t>
      </w:r>
      <w:r w:rsidR="00FB6652">
        <w:t xml:space="preserve"> </w:t>
      </w:r>
      <w:r w:rsidR="00FB6652" w:rsidRPr="00265DCB">
        <w:t xml:space="preserve">Na content in the soil and forage could be the causing factor for limited concentration in the forages. Na concentration in the soil was negatively correlated with Na concentration in forage. </w:t>
      </w:r>
    </w:p>
    <w:p w14:paraId="5DF3D66C" w14:textId="4BA31B3B" w:rsidR="00EA7AAC" w:rsidRPr="00265DCB" w:rsidRDefault="00EA7AAC" w:rsidP="00EA7AAC">
      <w:pPr>
        <w:pStyle w:val="NormalWeb"/>
        <w:spacing w:before="0" w:beforeAutospacing="0" w:after="0" w:afterAutospacing="0" w:line="480" w:lineRule="auto"/>
        <w:ind w:firstLine="720"/>
        <w:jc w:val="both"/>
      </w:pPr>
      <w:r w:rsidRPr="00265DCB">
        <w:t>Sodium plays a vital role in several physiological processes in cattle, including the formation, retention, concentration, and pH regulation of body fluids such as protoplasm and blood</w:t>
      </w:r>
      <w:r w:rsidR="00262277" w:rsidRPr="00265DCB">
        <w:t xml:space="preserve"> (Wu, 2018)</w:t>
      </w:r>
      <w:r w:rsidRPr="00265DCB">
        <w:t xml:space="preserve">. It is also essential </w:t>
      </w:r>
      <w:r w:rsidR="00265DCB" w:rsidRPr="00265DCB">
        <w:t>to produce</w:t>
      </w:r>
      <w:r w:rsidRPr="00265DCB">
        <w:t xml:space="preserve"> digestive juices and </w:t>
      </w:r>
      <w:r w:rsidR="006F29EE">
        <w:t>properly functioning</w:t>
      </w:r>
      <w:r w:rsidRPr="00265DCB">
        <w:t xml:space="preserve"> nerves and muscles</w:t>
      </w:r>
      <w:r w:rsidR="00262277" w:rsidRPr="00265DCB">
        <w:t xml:space="preserve"> (Wu, 2018)</w:t>
      </w:r>
      <w:r w:rsidRPr="00265DCB">
        <w:t xml:space="preserve">. </w:t>
      </w:r>
      <w:r w:rsidR="00265DCB" w:rsidRPr="00265DCB">
        <w:t>Soil</w:t>
      </w:r>
      <w:r w:rsidRPr="00265DCB">
        <w:t xml:space="preserve"> and forages in the studied regions were deficient in Na, with forage Na concentrations consistently below the critical threshold of 0.06%. </w:t>
      </w:r>
      <w:r w:rsidR="00265DCB" w:rsidRPr="00265DCB">
        <w:t>Deficiency</w:t>
      </w:r>
      <w:r w:rsidRPr="00265DCB">
        <w:t xml:space="preserve"> in Na can lead to reduced osmotic pressure, body dehydration, and hypotension. Clinical symptoms of Na deficiency in cattle include reduced feed intake, poor weight gain, diminished utilization of digested proteins and energy, and reproductive disorders (Wu, 2018)</w:t>
      </w:r>
      <w:r w:rsidR="00262277" w:rsidRPr="00265DCB">
        <w:t>.</w:t>
      </w:r>
    </w:p>
    <w:p w14:paraId="79B6E5D6" w14:textId="75AA999D" w:rsidR="00EA7AAC" w:rsidRPr="00265DCB" w:rsidRDefault="00EA7AAC" w:rsidP="009B661A">
      <w:pPr>
        <w:spacing w:line="480" w:lineRule="auto"/>
        <w:ind w:firstLine="720"/>
        <w:jc w:val="both"/>
      </w:pPr>
      <w:r w:rsidRPr="00265DCB">
        <w:t xml:space="preserve">Forage mineral concentrations of potassium (K) and sulfur (S) at Mt. </w:t>
      </w:r>
      <w:proofErr w:type="spellStart"/>
      <w:r w:rsidRPr="00265DCB">
        <w:t>Lokon</w:t>
      </w:r>
      <w:proofErr w:type="spellEnd"/>
      <w:r w:rsidRPr="00265DCB">
        <w:t xml:space="preserve"> and Mt. Sinabung exceeded the maximum tolerable levels, posing potential health risks to cattle. Forage samples collected closer to the eruption centers exhibited higher K concentrations. Potassium is essential for maintaining body fluid balance, regulating the pH of body fluids, and supporting rumen digestion</w:t>
      </w:r>
      <w:r w:rsidR="00262277" w:rsidRPr="00265DCB">
        <w:t xml:space="preserve"> (Wu, 2018)</w:t>
      </w:r>
      <w:r w:rsidRPr="00265DCB">
        <w:t xml:space="preserve">. At Mt. </w:t>
      </w:r>
      <w:proofErr w:type="spellStart"/>
      <w:r w:rsidRPr="00265DCB">
        <w:t>Lokon</w:t>
      </w:r>
      <w:proofErr w:type="spellEnd"/>
      <w:r w:rsidRPr="00265DCB">
        <w:t>, forage K levels exceeded the maximum tolerable limit of 3% dry matter (DM). Excessive K intake (hyperkalemia) can lead to reduced feed intake and impaired growth, fatigue, muscle weakness, abnormal heart rhythms (arrhythmia), bradycardia, cardiac arrest, and, in severe cases, death (Wu, 2018).</w:t>
      </w:r>
    </w:p>
    <w:p w14:paraId="1FFFF2A7" w14:textId="609C9E49" w:rsidR="00EA7AAC" w:rsidRPr="00265DCB" w:rsidRDefault="00EA7AAC" w:rsidP="00EA7AAC">
      <w:pPr>
        <w:pStyle w:val="NormalWeb"/>
        <w:spacing w:before="0" w:beforeAutospacing="0" w:after="0" w:afterAutospacing="0" w:line="480" w:lineRule="auto"/>
        <w:ind w:firstLine="720"/>
        <w:jc w:val="both"/>
      </w:pPr>
      <w:r w:rsidRPr="00265DCB">
        <w:lastRenderedPageBreak/>
        <w:t>Sulfur is an essential element for protein synthesis</w:t>
      </w:r>
      <w:r w:rsidR="00550F8E" w:rsidRPr="00265DCB">
        <w:t xml:space="preserve"> and</w:t>
      </w:r>
      <w:r w:rsidRPr="00265DCB">
        <w:t xml:space="preserve"> </w:t>
      </w:r>
      <w:r w:rsidR="00262277" w:rsidRPr="00265DCB">
        <w:t>milk and hair production</w:t>
      </w:r>
      <w:r w:rsidRPr="00265DCB">
        <w:t xml:space="preserve"> in animals. Sulfur deficiency can result in poor performance, hair loss, excessive salivation, and tearing. Most volcanic forages, </w:t>
      </w:r>
      <w:r w:rsidR="00550F8E" w:rsidRPr="00265DCB">
        <w:t>except those from Mt. Sinabung, contain sulfur concentrations</w:t>
      </w:r>
      <w:r w:rsidRPr="00265DCB">
        <w:t xml:space="preserve"> favorable for livestock nutrition. However, the sulfur content in forages from Mt. Sinabung significantly exceeds the maximum tolerable </w:t>
      </w:r>
      <w:r w:rsidR="00550F8E" w:rsidRPr="00265DCB">
        <w:t>l</w:t>
      </w:r>
      <w:r w:rsidRPr="00265DCB">
        <w:t>evel of 0.35%. Diets with excessive sulfur disrupt the acid-base balance in animals, reduce feed intake and growth performance, and may lead to lesions in the brain's gray matter (Wu, 2018).</w:t>
      </w:r>
    </w:p>
    <w:p w14:paraId="724F22A9" w14:textId="457B4B10" w:rsidR="00C7758C" w:rsidRPr="00265DCB" w:rsidRDefault="001D2608" w:rsidP="00323FBE">
      <w:pPr>
        <w:pStyle w:val="NormalWeb"/>
        <w:spacing w:before="0" w:beforeAutospacing="0" w:after="0" w:afterAutospacing="0" w:line="480" w:lineRule="auto"/>
        <w:ind w:firstLine="720"/>
        <w:jc w:val="both"/>
      </w:pPr>
      <w:r w:rsidRPr="00265DCB">
        <w:t xml:space="preserve">The concentration of </w:t>
      </w:r>
      <w:r w:rsidR="00323FBE" w:rsidRPr="00265DCB">
        <w:t>micro minerals</w:t>
      </w:r>
      <w:r w:rsidRPr="00265DCB">
        <w:t xml:space="preserve"> such as Fe, Cu, Mn, Co, and Se in volcanic forages differed significantly. Forage samples from Mt. Merapi exhibited the highest Fe content, which was not significantly different from th</w:t>
      </w:r>
      <w:r w:rsidR="00550F8E" w:rsidRPr="00265DCB">
        <w:t>ose</w:t>
      </w:r>
      <w:r w:rsidRPr="00265DCB">
        <w:t xml:space="preserve"> observed in forages from Mt. </w:t>
      </w:r>
      <w:proofErr w:type="spellStart"/>
      <w:r w:rsidRPr="00265DCB">
        <w:t>Lokon</w:t>
      </w:r>
      <w:proofErr w:type="spellEnd"/>
      <w:r w:rsidRPr="00265DCB">
        <w:t xml:space="preserve">, Mt. </w:t>
      </w:r>
      <w:proofErr w:type="spellStart"/>
      <w:r w:rsidRPr="00265DCB">
        <w:t>Gamalama</w:t>
      </w:r>
      <w:proofErr w:type="spellEnd"/>
      <w:r w:rsidRPr="00265DCB">
        <w:t xml:space="preserve">, and Mt. Sinabung. In contrast, forages from Mt. Agung had the </w:t>
      </w:r>
      <w:r w:rsidR="004D4750" w:rsidRPr="00265DCB">
        <w:t>lowest Fe</w:t>
      </w:r>
      <w:r w:rsidR="00265DCB" w:rsidRPr="00265DCB">
        <w:t xml:space="preserve"> </w:t>
      </w:r>
      <w:r w:rsidRPr="00265DCB">
        <w:t xml:space="preserve">content. The concentrations of Cu and Mn showed substantial variation, both within individual mountains and across different mountains. The Fe content in the forages analyzed in this study was slightly lower than the </w:t>
      </w:r>
      <w:r w:rsidR="004D4750" w:rsidRPr="00265DCB">
        <w:t>mean Fe</w:t>
      </w:r>
      <w:r w:rsidR="00265DCB" w:rsidRPr="00265DCB">
        <w:t xml:space="preserve"> </w:t>
      </w:r>
      <w:r w:rsidRPr="00265DCB">
        <w:t xml:space="preserve">content of Napier grass (377.9 ppm) cultivated on the volcanic slopes of Mt. </w:t>
      </w:r>
      <w:proofErr w:type="spellStart"/>
      <w:r w:rsidRPr="00265DCB">
        <w:t>Merapi</w:t>
      </w:r>
      <w:proofErr w:type="spellEnd"/>
      <w:r w:rsidRPr="00265DCB">
        <w:t xml:space="preserve"> in the </w:t>
      </w:r>
      <w:proofErr w:type="spellStart"/>
      <w:r w:rsidRPr="00265DCB">
        <w:t>Magelang</w:t>
      </w:r>
      <w:proofErr w:type="spellEnd"/>
      <w:r w:rsidRPr="00265DCB">
        <w:t xml:space="preserve"> Regency, as reported by Hartati </w:t>
      </w:r>
      <w:r w:rsidRPr="00265DCB">
        <w:rPr>
          <w:i/>
          <w:iCs/>
        </w:rPr>
        <w:t>et al</w:t>
      </w:r>
      <w:r w:rsidRPr="00265DCB">
        <w:t xml:space="preserve">. (2023). The volcanic material from Mt. Merapi primarily consists of older volcanic deposits containing 90.7–95.2% plagioclase, 2.5–4.1% pyroxene, and 1.04–3.88% hornblende. The order of total nutrient concentration, from highest to lowest, was Fe &gt; Ca &gt; Mg &gt; P &gt; K &gt; Na &gt; Zn (Hartati </w:t>
      </w:r>
      <w:r w:rsidRPr="00265DCB">
        <w:rPr>
          <w:i/>
          <w:iCs/>
        </w:rPr>
        <w:t>et al</w:t>
      </w:r>
      <w:r w:rsidRPr="00265DCB">
        <w:t>., 2023).</w:t>
      </w:r>
      <w:r w:rsidR="00D02639" w:rsidRPr="00265DCB">
        <w:t xml:space="preserve"> </w:t>
      </w:r>
      <w:r w:rsidR="00C7758C" w:rsidRPr="00265DCB">
        <w:t>On the other hand, when occurring in high concentrations in plant tissue (above</w:t>
      </w:r>
      <w:r w:rsidRPr="00265DCB">
        <w:t xml:space="preserve"> </w:t>
      </w:r>
      <w:r w:rsidR="00C7758C" w:rsidRPr="00265DCB">
        <w:t>500 mg Fe kg</w:t>
      </w:r>
      <w:r w:rsidRPr="00265DCB">
        <w:rPr>
          <w:vertAlign w:val="superscript"/>
        </w:rPr>
        <w:t>-</w:t>
      </w:r>
      <w:r w:rsidR="00C7758C" w:rsidRPr="00265DCB">
        <w:rPr>
          <w:vertAlign w:val="superscript"/>
        </w:rPr>
        <w:t>1</w:t>
      </w:r>
      <w:r w:rsidR="00C7758C" w:rsidRPr="00265DCB">
        <w:t xml:space="preserve"> dry leaf mass)</w:t>
      </w:r>
      <w:r w:rsidR="00550F8E" w:rsidRPr="00265DCB">
        <w:t>, it</w:t>
      </w:r>
      <w:r w:rsidRPr="00265DCB">
        <w:t xml:space="preserve"> might cause iron toxicity. </w:t>
      </w:r>
      <w:r w:rsidR="00C7758C" w:rsidRPr="00265DCB">
        <w:t>Fe can disrupt the cell redox balance towards a pro-oxidant</w:t>
      </w:r>
      <w:r w:rsidRPr="00265DCB">
        <w:t xml:space="preserve"> </w:t>
      </w:r>
      <w:r w:rsidR="00C7758C" w:rsidRPr="00265DCB">
        <w:t>state, inducing alterations in the morphological, metabolic, and physiological traits of the</w:t>
      </w:r>
      <w:r w:rsidRPr="00265DCB">
        <w:t xml:space="preserve"> </w:t>
      </w:r>
      <w:r w:rsidR="00C7758C" w:rsidRPr="00265DCB">
        <w:t xml:space="preserve">plants and generating oxidative stress (Mihai </w:t>
      </w:r>
      <w:r w:rsidR="00C7758C" w:rsidRPr="00265DCB">
        <w:rPr>
          <w:i/>
          <w:iCs/>
        </w:rPr>
        <w:t>et al</w:t>
      </w:r>
      <w:r w:rsidR="00C7758C" w:rsidRPr="00265DCB">
        <w:t>., 2023)</w:t>
      </w:r>
    </w:p>
    <w:p w14:paraId="7F2E2F35" w14:textId="5BB2231F" w:rsidR="001D2608" w:rsidRPr="00265DCB" w:rsidRDefault="001D2608" w:rsidP="001D2608">
      <w:pPr>
        <w:pStyle w:val="NormalWeb"/>
        <w:spacing w:before="0" w:beforeAutospacing="0" w:after="0" w:afterAutospacing="0" w:line="480" w:lineRule="auto"/>
        <w:ind w:firstLine="720"/>
        <w:jc w:val="both"/>
      </w:pPr>
      <w:r w:rsidRPr="00265DCB">
        <w:t xml:space="preserve">The highest copper (Cu) concentration (211.6 ppm) was observed in forage samples from Mt. Merapi, which was not significantly different from the Cu concentrations in samples from Mt. Agung (167.8 ppm) and Mt. </w:t>
      </w:r>
      <w:proofErr w:type="spellStart"/>
      <w:r w:rsidRPr="00265DCB">
        <w:t>Lokon</w:t>
      </w:r>
      <w:proofErr w:type="spellEnd"/>
      <w:r w:rsidRPr="00265DCB">
        <w:t xml:space="preserve"> (55.0 ppm). The lowest Cu concentration was </w:t>
      </w:r>
      <w:r w:rsidRPr="00265DCB">
        <w:lastRenderedPageBreak/>
        <w:t xml:space="preserve">found in forage from Mt. Sinabung (9.7 ppm). Conversely, forage from Mt. Sinabung exhibited the highest manganese (Mn) concentration, followed by forage from Mt. </w:t>
      </w:r>
      <w:proofErr w:type="spellStart"/>
      <w:r w:rsidRPr="00265DCB">
        <w:t>Gamalama</w:t>
      </w:r>
      <w:proofErr w:type="spellEnd"/>
      <w:r w:rsidRPr="00265DCB">
        <w:t xml:space="preserve">. Zinc (Zn) concentrations ranged from 50.3 to 85.8 ppm, with no significant statistical differences among the sites studied. </w:t>
      </w:r>
      <w:r w:rsidR="00550F8E" w:rsidRPr="00265DCB">
        <w:t>Cobalt (Co) and selenium (Se) concentrations</w:t>
      </w:r>
      <w:r w:rsidRPr="00265DCB">
        <w:t xml:space="preserve"> displayed minimal variation within and between the study sites. Forage from Mt. Merapi contained the highest Co concentration, which was not significantly different from th</w:t>
      </w:r>
      <w:r w:rsidR="00550F8E" w:rsidRPr="00265DCB">
        <w:t>ose</w:t>
      </w:r>
      <w:r w:rsidRPr="00265DCB">
        <w:t xml:space="preserve"> observed in samples from Mt. Sinabung, Mt. </w:t>
      </w:r>
      <w:proofErr w:type="spellStart"/>
      <w:r w:rsidRPr="00265DCB">
        <w:t>Gamalama</w:t>
      </w:r>
      <w:proofErr w:type="spellEnd"/>
      <w:r w:rsidRPr="00265DCB">
        <w:t xml:space="preserve">, and Mt. </w:t>
      </w:r>
      <w:proofErr w:type="spellStart"/>
      <w:r w:rsidRPr="00265DCB">
        <w:t>Lokon</w:t>
      </w:r>
      <w:proofErr w:type="spellEnd"/>
      <w:r w:rsidRPr="00265DCB">
        <w:t xml:space="preserve">. The lowest Co concentration was found in forage from Mt. Agung. Selenium concentrations were highest in samples from Mt. Sinabung, followed by Mt. </w:t>
      </w:r>
      <w:proofErr w:type="spellStart"/>
      <w:r w:rsidRPr="00265DCB">
        <w:t>Gamalama</w:t>
      </w:r>
      <w:proofErr w:type="spellEnd"/>
      <w:r w:rsidRPr="00265DCB">
        <w:t xml:space="preserve">, Mt. Merapi, Mt. Agung, and Mt. </w:t>
      </w:r>
      <w:proofErr w:type="spellStart"/>
      <w:r w:rsidRPr="00265DCB">
        <w:t>Lokon</w:t>
      </w:r>
      <w:proofErr w:type="spellEnd"/>
      <w:r w:rsidRPr="00265DCB">
        <w:t>.</w:t>
      </w:r>
    </w:p>
    <w:p w14:paraId="674FC8BF" w14:textId="74F12E95" w:rsidR="001D2608" w:rsidRPr="00265DCB" w:rsidRDefault="001D2608" w:rsidP="00C63971">
      <w:pPr>
        <w:spacing w:line="480" w:lineRule="auto"/>
        <w:ind w:firstLine="720"/>
        <w:jc w:val="both"/>
      </w:pPr>
      <w:r w:rsidRPr="00265DCB">
        <w:t xml:space="preserve">Trace mineral concentrations, </w:t>
      </w:r>
      <w:r w:rsidR="00265DCB" w:rsidRPr="00265DCB">
        <w:t>except for</w:t>
      </w:r>
      <w:r w:rsidRPr="00265DCB">
        <w:t xml:space="preserve"> copper (Cu), were at favorable levels for cattle nutrition. However, special attention is warranted for Cu due to its elevated levels in volcanic forages from Mt. </w:t>
      </w:r>
      <w:proofErr w:type="spellStart"/>
      <w:r w:rsidRPr="00265DCB">
        <w:t>Agung</w:t>
      </w:r>
      <w:proofErr w:type="spellEnd"/>
      <w:r w:rsidRPr="00265DCB">
        <w:t xml:space="preserve">, </w:t>
      </w:r>
      <w:proofErr w:type="spellStart"/>
      <w:r w:rsidRPr="00265DCB">
        <w:t>Merapi</w:t>
      </w:r>
      <w:proofErr w:type="spellEnd"/>
      <w:r w:rsidRPr="00265DCB">
        <w:t xml:space="preserve">, and </w:t>
      </w:r>
      <w:proofErr w:type="spellStart"/>
      <w:r w:rsidRPr="00265DCB">
        <w:t>Lokon</w:t>
      </w:r>
      <w:proofErr w:type="spellEnd"/>
      <w:r w:rsidRPr="00265DCB">
        <w:t>, which exceed the maximum tolerable limits for growing cattle. According to Wu (2018), Cu is essential for proper iron utilization in animal tissues, hemoglobin formation, and keratin synthesis, which supports hair and wool growth. Notably, forage Cu concentrations were significantly higher at Mt. Agung and Merapi. As a strong oxidizing agent, excessive Cu can lead to adverse effects, including stomach pain, nausea, diarrhea, tissue damage, and disease in animals (Wu</w:t>
      </w:r>
      <w:r w:rsidR="000E039D">
        <w:t>, 2018</w:t>
      </w:r>
      <w:r w:rsidRPr="00265DCB">
        <w:t>).</w:t>
      </w:r>
    </w:p>
    <w:p w14:paraId="3B9C005A" w14:textId="77777777" w:rsidR="007617D7" w:rsidRPr="00265DCB" w:rsidRDefault="007617D7" w:rsidP="00144636">
      <w:pPr>
        <w:spacing w:line="480" w:lineRule="auto"/>
        <w:ind w:firstLine="720"/>
        <w:jc w:val="both"/>
      </w:pPr>
    </w:p>
    <w:p w14:paraId="5603D6AA" w14:textId="77777777" w:rsidR="007617D7" w:rsidRPr="00265DCB" w:rsidRDefault="007617D7" w:rsidP="00144636">
      <w:pPr>
        <w:spacing w:line="480" w:lineRule="auto"/>
        <w:ind w:firstLine="720"/>
        <w:jc w:val="both"/>
      </w:pPr>
    </w:p>
    <w:p w14:paraId="325CD57E" w14:textId="77777777" w:rsidR="007617D7" w:rsidRPr="00265DCB" w:rsidRDefault="007617D7" w:rsidP="00144636">
      <w:pPr>
        <w:spacing w:line="480" w:lineRule="auto"/>
        <w:ind w:firstLine="720"/>
        <w:jc w:val="both"/>
      </w:pPr>
    </w:p>
    <w:p w14:paraId="2B0A3F47" w14:textId="77777777" w:rsidR="007617D7" w:rsidRPr="00265DCB" w:rsidRDefault="007617D7" w:rsidP="00144636">
      <w:pPr>
        <w:spacing w:line="480" w:lineRule="auto"/>
        <w:ind w:firstLine="720"/>
        <w:jc w:val="both"/>
      </w:pPr>
    </w:p>
    <w:p w14:paraId="48C79B2F" w14:textId="77777777" w:rsidR="007617D7" w:rsidRPr="00265DCB" w:rsidRDefault="007617D7" w:rsidP="00144636">
      <w:pPr>
        <w:spacing w:line="480" w:lineRule="auto"/>
        <w:ind w:firstLine="720"/>
        <w:jc w:val="both"/>
      </w:pPr>
    </w:p>
    <w:p w14:paraId="0B21B86D" w14:textId="77777777" w:rsidR="007617D7" w:rsidRPr="00265DCB" w:rsidRDefault="007617D7" w:rsidP="00144636">
      <w:pPr>
        <w:spacing w:line="480" w:lineRule="auto"/>
        <w:ind w:firstLine="720"/>
        <w:jc w:val="both"/>
      </w:pPr>
    </w:p>
    <w:p w14:paraId="3AE32CE8" w14:textId="77777777" w:rsidR="006E00C1" w:rsidRPr="00265DCB" w:rsidRDefault="006E00C1" w:rsidP="00144636">
      <w:pPr>
        <w:spacing w:line="480" w:lineRule="auto"/>
        <w:ind w:firstLine="720"/>
        <w:jc w:val="both"/>
      </w:pPr>
    </w:p>
    <w:p w14:paraId="2E200D37" w14:textId="77777777" w:rsidR="007C41A2" w:rsidRPr="00265DCB" w:rsidRDefault="007C41A2" w:rsidP="0072151C">
      <w:pPr>
        <w:jc w:val="both"/>
        <w:sectPr w:rsidR="007C41A2" w:rsidRPr="00265DCB" w:rsidSect="00497728">
          <w:footerReference w:type="even" r:id="rId9"/>
          <w:footerReference w:type="default" r:id="rId10"/>
          <w:pgSz w:w="11906" w:h="16838" w:code="9"/>
          <w:pgMar w:top="1440" w:right="1440" w:bottom="1440" w:left="1440" w:header="708" w:footer="708" w:gutter="0"/>
          <w:lnNumType w:countBy="1" w:restart="continuous"/>
          <w:cols w:space="708"/>
          <w:docGrid w:linePitch="360"/>
        </w:sectPr>
      </w:pPr>
    </w:p>
    <w:p w14:paraId="1917521D" w14:textId="6E12B546" w:rsidR="0009531E" w:rsidRPr="00265DCB" w:rsidRDefault="007C41A2" w:rsidP="0072151C">
      <w:pPr>
        <w:jc w:val="both"/>
      </w:pPr>
      <w:r w:rsidRPr="00265DCB">
        <w:lastRenderedPageBreak/>
        <w:t xml:space="preserve">Table </w:t>
      </w:r>
      <w:r w:rsidR="006E00C1" w:rsidRPr="00265DCB">
        <w:t>2</w:t>
      </w:r>
      <w:r w:rsidRPr="00265DCB">
        <w:t xml:space="preserve">. Mineral </w:t>
      </w:r>
      <w:r w:rsidR="00AB0E32" w:rsidRPr="00265DCB">
        <w:t>mean concentration</w:t>
      </w:r>
      <w:r w:rsidRPr="00265DCB">
        <w:t xml:space="preserve"> </w:t>
      </w:r>
      <w:r w:rsidR="00F137F9" w:rsidRPr="00265DCB">
        <w:t xml:space="preserve">in </w:t>
      </w:r>
      <w:r w:rsidRPr="00265DCB">
        <w:t>soil</w:t>
      </w:r>
      <w:r w:rsidR="00F137F9" w:rsidRPr="00265DCB">
        <w:t xml:space="preserve"> samples collected</w:t>
      </w:r>
      <w:r w:rsidRPr="00265DCB">
        <w:t xml:space="preserve"> from </w:t>
      </w:r>
      <w:r w:rsidR="00AB0E32" w:rsidRPr="00265DCB">
        <w:t xml:space="preserve">eruption-impacted areas in </w:t>
      </w:r>
      <w:r w:rsidRPr="00265DCB">
        <w:t>five active volcanic mountains in Indonesia</w:t>
      </w:r>
    </w:p>
    <w:tbl>
      <w:tblPr>
        <w:tblStyle w:val="TableGrid"/>
        <w:tblW w:w="1417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985"/>
        <w:gridCol w:w="1842"/>
        <w:gridCol w:w="1985"/>
        <w:gridCol w:w="1843"/>
        <w:gridCol w:w="1879"/>
        <w:gridCol w:w="1664"/>
      </w:tblGrid>
      <w:tr w:rsidR="00265DCB" w:rsidRPr="00265DCB" w14:paraId="5F71F041" w14:textId="47FB91E0" w:rsidTr="00265DCB">
        <w:tc>
          <w:tcPr>
            <w:tcW w:w="2977" w:type="dxa"/>
            <w:tcBorders>
              <w:top w:val="single" w:sz="4" w:space="0" w:color="auto"/>
              <w:bottom w:val="single" w:sz="4" w:space="0" w:color="auto"/>
            </w:tcBorders>
            <w:vAlign w:val="center"/>
          </w:tcPr>
          <w:p w14:paraId="656C5F10" w14:textId="5CFBCE36" w:rsidR="00265DCB" w:rsidRPr="00265DCB" w:rsidRDefault="00265DCB" w:rsidP="00A07B13">
            <w:pPr>
              <w:jc w:val="center"/>
            </w:pPr>
            <w:r w:rsidRPr="00265DCB">
              <w:t>Mineral</w:t>
            </w:r>
          </w:p>
        </w:tc>
        <w:tc>
          <w:tcPr>
            <w:tcW w:w="1985" w:type="dxa"/>
            <w:tcBorders>
              <w:top w:val="single" w:sz="4" w:space="0" w:color="auto"/>
              <w:bottom w:val="single" w:sz="4" w:space="0" w:color="auto"/>
            </w:tcBorders>
            <w:vAlign w:val="center"/>
          </w:tcPr>
          <w:p w14:paraId="0987CA26" w14:textId="5C0EA838" w:rsidR="00265DCB" w:rsidRPr="00265DCB" w:rsidRDefault="00265DCB" w:rsidP="00A07B13">
            <w:pPr>
              <w:jc w:val="center"/>
            </w:pPr>
            <w:r w:rsidRPr="00265DCB">
              <w:t>Agung</w:t>
            </w:r>
          </w:p>
        </w:tc>
        <w:tc>
          <w:tcPr>
            <w:tcW w:w="1842" w:type="dxa"/>
            <w:tcBorders>
              <w:top w:val="single" w:sz="4" w:space="0" w:color="auto"/>
              <w:bottom w:val="single" w:sz="4" w:space="0" w:color="auto"/>
            </w:tcBorders>
            <w:vAlign w:val="center"/>
          </w:tcPr>
          <w:p w14:paraId="3962C568" w14:textId="1F004610" w:rsidR="00265DCB" w:rsidRPr="00265DCB" w:rsidRDefault="00265DCB" w:rsidP="00A07B13">
            <w:pPr>
              <w:jc w:val="center"/>
            </w:pPr>
            <w:proofErr w:type="spellStart"/>
            <w:r w:rsidRPr="00265DCB">
              <w:t>Gamalama</w:t>
            </w:r>
            <w:proofErr w:type="spellEnd"/>
          </w:p>
        </w:tc>
        <w:tc>
          <w:tcPr>
            <w:tcW w:w="1985" w:type="dxa"/>
            <w:tcBorders>
              <w:top w:val="single" w:sz="4" w:space="0" w:color="auto"/>
              <w:bottom w:val="single" w:sz="4" w:space="0" w:color="auto"/>
            </w:tcBorders>
            <w:vAlign w:val="center"/>
          </w:tcPr>
          <w:p w14:paraId="1D3C0A10" w14:textId="01638D9E" w:rsidR="00265DCB" w:rsidRPr="00265DCB" w:rsidRDefault="00265DCB" w:rsidP="00A07B13">
            <w:pPr>
              <w:jc w:val="center"/>
            </w:pPr>
            <w:proofErr w:type="spellStart"/>
            <w:r w:rsidRPr="00265DCB">
              <w:t>Lokon</w:t>
            </w:r>
            <w:proofErr w:type="spellEnd"/>
          </w:p>
        </w:tc>
        <w:tc>
          <w:tcPr>
            <w:tcW w:w="1843" w:type="dxa"/>
            <w:tcBorders>
              <w:top w:val="single" w:sz="4" w:space="0" w:color="auto"/>
              <w:bottom w:val="single" w:sz="4" w:space="0" w:color="auto"/>
            </w:tcBorders>
            <w:vAlign w:val="center"/>
          </w:tcPr>
          <w:p w14:paraId="235AD524" w14:textId="787861A9" w:rsidR="00265DCB" w:rsidRPr="00265DCB" w:rsidRDefault="00265DCB" w:rsidP="00A07B13">
            <w:pPr>
              <w:jc w:val="center"/>
            </w:pPr>
            <w:r w:rsidRPr="00265DCB">
              <w:t>Merapi</w:t>
            </w:r>
          </w:p>
        </w:tc>
        <w:tc>
          <w:tcPr>
            <w:tcW w:w="1879" w:type="dxa"/>
            <w:tcBorders>
              <w:top w:val="single" w:sz="4" w:space="0" w:color="auto"/>
              <w:bottom w:val="single" w:sz="4" w:space="0" w:color="auto"/>
            </w:tcBorders>
            <w:vAlign w:val="center"/>
          </w:tcPr>
          <w:p w14:paraId="6EAF8AEF" w14:textId="5B803608" w:rsidR="00265DCB" w:rsidRPr="00265DCB" w:rsidRDefault="00265DCB" w:rsidP="00A07B13">
            <w:pPr>
              <w:jc w:val="center"/>
            </w:pPr>
            <w:r w:rsidRPr="00265DCB">
              <w:t>Sinabung</w:t>
            </w:r>
          </w:p>
        </w:tc>
        <w:tc>
          <w:tcPr>
            <w:tcW w:w="1664" w:type="dxa"/>
            <w:tcBorders>
              <w:top w:val="single" w:sz="4" w:space="0" w:color="auto"/>
              <w:bottom w:val="single" w:sz="4" w:space="0" w:color="auto"/>
            </w:tcBorders>
            <w:vAlign w:val="center"/>
          </w:tcPr>
          <w:p w14:paraId="1918240E" w14:textId="7F836683" w:rsidR="00265DCB" w:rsidRPr="00265DCB" w:rsidRDefault="00265DCB" w:rsidP="00A07B13">
            <w:pPr>
              <w:jc w:val="center"/>
            </w:pPr>
            <w:r w:rsidRPr="00265DCB">
              <w:rPr>
                <w:color w:val="000000"/>
                <w:lang w:eastAsia="en-ID"/>
              </w:rPr>
              <w:t>Critical levels*) (ppm)</w:t>
            </w:r>
          </w:p>
        </w:tc>
      </w:tr>
      <w:tr w:rsidR="00265DCB" w:rsidRPr="00265DCB" w14:paraId="1AFA2F58" w14:textId="4E2BF338" w:rsidTr="00265DCB">
        <w:tc>
          <w:tcPr>
            <w:tcW w:w="2977" w:type="dxa"/>
            <w:tcBorders>
              <w:top w:val="single" w:sz="4" w:space="0" w:color="auto"/>
            </w:tcBorders>
            <w:vAlign w:val="center"/>
          </w:tcPr>
          <w:p w14:paraId="311ACA27" w14:textId="47F0CFB5" w:rsidR="00265DCB" w:rsidRPr="00265DCB" w:rsidRDefault="00265DCB" w:rsidP="00A1039E">
            <w:pPr>
              <w:spacing w:before="60" w:after="60"/>
              <w:jc w:val="both"/>
            </w:pPr>
            <w:r w:rsidRPr="00265DCB">
              <w:t>Macro minerals</w:t>
            </w:r>
          </w:p>
        </w:tc>
        <w:tc>
          <w:tcPr>
            <w:tcW w:w="1985" w:type="dxa"/>
            <w:tcBorders>
              <w:top w:val="single" w:sz="4" w:space="0" w:color="auto"/>
            </w:tcBorders>
            <w:vAlign w:val="center"/>
          </w:tcPr>
          <w:p w14:paraId="6BC9FA28" w14:textId="77777777" w:rsidR="00265DCB" w:rsidRPr="00265DCB" w:rsidRDefault="00265DCB" w:rsidP="00A1039E">
            <w:pPr>
              <w:spacing w:before="60" w:after="60"/>
              <w:jc w:val="both"/>
            </w:pPr>
          </w:p>
        </w:tc>
        <w:tc>
          <w:tcPr>
            <w:tcW w:w="1842" w:type="dxa"/>
            <w:tcBorders>
              <w:top w:val="single" w:sz="4" w:space="0" w:color="auto"/>
            </w:tcBorders>
            <w:vAlign w:val="center"/>
          </w:tcPr>
          <w:p w14:paraId="3E8EAF04" w14:textId="77777777" w:rsidR="00265DCB" w:rsidRPr="00265DCB" w:rsidRDefault="00265DCB" w:rsidP="00A1039E">
            <w:pPr>
              <w:spacing w:before="60" w:after="60"/>
              <w:jc w:val="both"/>
            </w:pPr>
          </w:p>
        </w:tc>
        <w:tc>
          <w:tcPr>
            <w:tcW w:w="1985" w:type="dxa"/>
            <w:tcBorders>
              <w:top w:val="single" w:sz="4" w:space="0" w:color="auto"/>
            </w:tcBorders>
            <w:vAlign w:val="center"/>
          </w:tcPr>
          <w:p w14:paraId="02DD083F" w14:textId="77777777" w:rsidR="00265DCB" w:rsidRPr="00265DCB" w:rsidRDefault="00265DCB" w:rsidP="00A1039E">
            <w:pPr>
              <w:spacing w:before="60" w:after="60"/>
              <w:jc w:val="both"/>
            </w:pPr>
          </w:p>
        </w:tc>
        <w:tc>
          <w:tcPr>
            <w:tcW w:w="1843" w:type="dxa"/>
            <w:tcBorders>
              <w:top w:val="single" w:sz="4" w:space="0" w:color="auto"/>
            </w:tcBorders>
            <w:vAlign w:val="center"/>
          </w:tcPr>
          <w:p w14:paraId="7491F98D" w14:textId="77777777" w:rsidR="00265DCB" w:rsidRPr="00265DCB" w:rsidRDefault="00265DCB" w:rsidP="00A1039E">
            <w:pPr>
              <w:spacing w:before="60" w:after="60"/>
              <w:jc w:val="both"/>
            </w:pPr>
          </w:p>
        </w:tc>
        <w:tc>
          <w:tcPr>
            <w:tcW w:w="1879" w:type="dxa"/>
            <w:tcBorders>
              <w:top w:val="single" w:sz="4" w:space="0" w:color="auto"/>
            </w:tcBorders>
            <w:vAlign w:val="center"/>
          </w:tcPr>
          <w:p w14:paraId="1F1F9DEC" w14:textId="77777777" w:rsidR="00265DCB" w:rsidRPr="00265DCB" w:rsidRDefault="00265DCB" w:rsidP="00A1039E">
            <w:pPr>
              <w:spacing w:before="60" w:after="60"/>
              <w:jc w:val="both"/>
            </w:pPr>
          </w:p>
        </w:tc>
        <w:tc>
          <w:tcPr>
            <w:tcW w:w="1664" w:type="dxa"/>
            <w:tcBorders>
              <w:top w:val="single" w:sz="4" w:space="0" w:color="auto"/>
              <w:bottom w:val="nil"/>
            </w:tcBorders>
            <w:vAlign w:val="center"/>
          </w:tcPr>
          <w:p w14:paraId="071E85C9" w14:textId="77777777" w:rsidR="00265DCB" w:rsidRPr="00265DCB" w:rsidRDefault="00265DCB" w:rsidP="00A1039E">
            <w:pPr>
              <w:spacing w:before="60" w:after="60"/>
              <w:jc w:val="both"/>
            </w:pPr>
          </w:p>
        </w:tc>
      </w:tr>
      <w:tr w:rsidR="00352A7D" w:rsidRPr="00265DCB" w14:paraId="2ECF7A27" w14:textId="38FF2CB6" w:rsidTr="00265DCB">
        <w:tc>
          <w:tcPr>
            <w:tcW w:w="2977" w:type="dxa"/>
            <w:vAlign w:val="center"/>
          </w:tcPr>
          <w:p w14:paraId="0AF6F6D3" w14:textId="045DF54E" w:rsidR="00A07B13" w:rsidRPr="00265DCB" w:rsidRDefault="00A07B13" w:rsidP="00A1039E">
            <w:pPr>
              <w:pStyle w:val="ListParagraph"/>
              <w:numPr>
                <w:ilvl w:val="0"/>
                <w:numId w:val="1"/>
              </w:numPr>
              <w:spacing w:before="60" w:after="60" w:line="240" w:lineRule="auto"/>
              <w:ind w:left="246" w:hanging="246"/>
              <w:jc w:val="both"/>
              <w:rPr>
                <w:rFonts w:ascii="Times New Roman" w:hAnsi="Times New Roman" w:cs="Times New Roman"/>
              </w:rPr>
            </w:pPr>
            <w:r w:rsidRPr="00265DCB">
              <w:rPr>
                <w:rFonts w:ascii="Times New Roman" w:hAnsi="Times New Roman" w:cs="Times New Roman"/>
              </w:rPr>
              <w:t>Ca total (%)</w:t>
            </w:r>
          </w:p>
        </w:tc>
        <w:tc>
          <w:tcPr>
            <w:tcW w:w="1985" w:type="dxa"/>
            <w:vAlign w:val="center"/>
          </w:tcPr>
          <w:p w14:paraId="3F67A471" w14:textId="5CAB7B67" w:rsidR="00A07B13" w:rsidRPr="00265DCB" w:rsidRDefault="00A07B13" w:rsidP="00A1039E">
            <w:pPr>
              <w:spacing w:before="60" w:after="60"/>
              <w:jc w:val="center"/>
            </w:pPr>
            <w:r w:rsidRPr="00265DCB">
              <w:t>0.76</w:t>
            </w:r>
            <w:r w:rsidRPr="00265DCB">
              <w:rPr>
                <w:vertAlign w:val="superscript"/>
              </w:rPr>
              <w:t>a</w:t>
            </w:r>
            <w:r w:rsidRPr="00265DCB">
              <w:t>±0.02</w:t>
            </w:r>
          </w:p>
        </w:tc>
        <w:tc>
          <w:tcPr>
            <w:tcW w:w="1842" w:type="dxa"/>
            <w:vAlign w:val="center"/>
          </w:tcPr>
          <w:p w14:paraId="061C47D7" w14:textId="39AA0093" w:rsidR="00A07B13" w:rsidRPr="00265DCB" w:rsidRDefault="00A07B13" w:rsidP="00A1039E">
            <w:pPr>
              <w:spacing w:before="60" w:after="60"/>
              <w:jc w:val="center"/>
            </w:pPr>
            <w:r w:rsidRPr="00265DCB">
              <w:t>0.83</w:t>
            </w:r>
            <w:r w:rsidRPr="00265DCB">
              <w:rPr>
                <w:vertAlign w:val="superscript"/>
              </w:rPr>
              <w:t>a</w:t>
            </w:r>
            <w:r w:rsidRPr="00265DCB">
              <w:t>±0.14</w:t>
            </w:r>
          </w:p>
        </w:tc>
        <w:tc>
          <w:tcPr>
            <w:tcW w:w="1985" w:type="dxa"/>
            <w:vAlign w:val="center"/>
          </w:tcPr>
          <w:p w14:paraId="05FCACD8" w14:textId="49E4DF4B" w:rsidR="00A07B13" w:rsidRPr="00265DCB" w:rsidRDefault="00A07B13" w:rsidP="00A1039E">
            <w:pPr>
              <w:spacing w:before="60" w:after="60"/>
              <w:jc w:val="center"/>
            </w:pPr>
            <w:r w:rsidRPr="00265DCB">
              <w:t>0.38</w:t>
            </w:r>
            <w:r w:rsidRPr="00265DCB">
              <w:rPr>
                <w:vertAlign w:val="superscript"/>
              </w:rPr>
              <w:t>b</w:t>
            </w:r>
            <w:r w:rsidRPr="00265DCB">
              <w:t>±0.05</w:t>
            </w:r>
          </w:p>
        </w:tc>
        <w:tc>
          <w:tcPr>
            <w:tcW w:w="1843" w:type="dxa"/>
            <w:vAlign w:val="center"/>
          </w:tcPr>
          <w:p w14:paraId="497F949D" w14:textId="6C571C8E" w:rsidR="00A07B13" w:rsidRPr="00265DCB" w:rsidRDefault="00A07B13" w:rsidP="00A1039E">
            <w:pPr>
              <w:spacing w:before="60" w:after="60"/>
              <w:jc w:val="center"/>
            </w:pPr>
            <w:r w:rsidRPr="00265DCB">
              <w:t>0.87</w:t>
            </w:r>
            <w:r w:rsidRPr="00265DCB">
              <w:rPr>
                <w:vertAlign w:val="superscript"/>
              </w:rPr>
              <w:t>a</w:t>
            </w:r>
            <w:r w:rsidRPr="00265DCB">
              <w:t>±0.05</w:t>
            </w:r>
          </w:p>
        </w:tc>
        <w:tc>
          <w:tcPr>
            <w:tcW w:w="1879" w:type="dxa"/>
            <w:vAlign w:val="center"/>
          </w:tcPr>
          <w:p w14:paraId="3E752314" w14:textId="64EF6B65" w:rsidR="00A07B13" w:rsidRPr="00265DCB" w:rsidRDefault="00A07B13" w:rsidP="00A1039E">
            <w:pPr>
              <w:spacing w:before="60" w:after="60"/>
              <w:jc w:val="center"/>
            </w:pPr>
            <w:r w:rsidRPr="00265DCB">
              <w:t>0.74</w:t>
            </w:r>
            <w:r w:rsidRPr="00265DCB">
              <w:rPr>
                <w:vertAlign w:val="superscript"/>
              </w:rPr>
              <w:t>a</w:t>
            </w:r>
            <w:r w:rsidRPr="00265DCB">
              <w:t>±0.12</w:t>
            </w:r>
          </w:p>
        </w:tc>
        <w:tc>
          <w:tcPr>
            <w:tcW w:w="1664" w:type="dxa"/>
            <w:tcBorders>
              <w:top w:val="nil"/>
            </w:tcBorders>
            <w:vAlign w:val="center"/>
          </w:tcPr>
          <w:p w14:paraId="306320E7" w14:textId="1834B7D0" w:rsidR="00A07B13" w:rsidRPr="00265DCB" w:rsidRDefault="00A07B13" w:rsidP="00A1039E">
            <w:pPr>
              <w:spacing w:before="60" w:after="60"/>
              <w:jc w:val="center"/>
            </w:pPr>
            <w:r w:rsidRPr="00265DCB">
              <w:t>&lt; 70</w:t>
            </w:r>
          </w:p>
        </w:tc>
      </w:tr>
      <w:tr w:rsidR="00352A7D" w:rsidRPr="00265DCB" w14:paraId="35FE6A27" w14:textId="65F20F23" w:rsidTr="00265DCB">
        <w:tc>
          <w:tcPr>
            <w:tcW w:w="2977" w:type="dxa"/>
            <w:vAlign w:val="center"/>
          </w:tcPr>
          <w:p w14:paraId="688DF35F" w14:textId="4AC91583" w:rsidR="00A07B13" w:rsidRPr="00265DCB" w:rsidRDefault="00A07B13" w:rsidP="00A1039E">
            <w:pPr>
              <w:pStyle w:val="ListParagraph"/>
              <w:numPr>
                <w:ilvl w:val="0"/>
                <w:numId w:val="1"/>
              </w:numPr>
              <w:spacing w:before="60" w:after="60" w:line="240" w:lineRule="auto"/>
              <w:ind w:left="246" w:hanging="246"/>
              <w:jc w:val="both"/>
              <w:rPr>
                <w:rFonts w:ascii="Times New Roman" w:hAnsi="Times New Roman" w:cs="Times New Roman"/>
              </w:rPr>
            </w:pPr>
            <w:r w:rsidRPr="00265DCB">
              <w:rPr>
                <w:rFonts w:ascii="Times New Roman" w:hAnsi="Times New Roman" w:cs="Times New Roman"/>
              </w:rPr>
              <w:t>P potential (mg P</w:t>
            </w:r>
            <w:r w:rsidRPr="00265DCB">
              <w:rPr>
                <w:rFonts w:ascii="Times New Roman" w:hAnsi="Times New Roman" w:cs="Times New Roman"/>
                <w:vertAlign w:val="subscript"/>
              </w:rPr>
              <w:t>2</w:t>
            </w:r>
            <w:r w:rsidRPr="00265DCB">
              <w:rPr>
                <w:rFonts w:ascii="Times New Roman" w:hAnsi="Times New Roman" w:cs="Times New Roman"/>
              </w:rPr>
              <w:t>O</w:t>
            </w:r>
            <w:r w:rsidRPr="00265DCB">
              <w:rPr>
                <w:rFonts w:ascii="Times New Roman" w:hAnsi="Times New Roman" w:cs="Times New Roman"/>
                <w:vertAlign w:val="subscript"/>
              </w:rPr>
              <w:t>5</w:t>
            </w:r>
            <w:r w:rsidRPr="00265DCB">
              <w:rPr>
                <w:rFonts w:ascii="Times New Roman" w:hAnsi="Times New Roman" w:cs="Times New Roman"/>
              </w:rPr>
              <w:t>/100 g)</w:t>
            </w:r>
          </w:p>
        </w:tc>
        <w:tc>
          <w:tcPr>
            <w:tcW w:w="1985" w:type="dxa"/>
            <w:vAlign w:val="center"/>
          </w:tcPr>
          <w:p w14:paraId="28BE6F1C" w14:textId="045E7001" w:rsidR="00A07B13" w:rsidRPr="00265DCB" w:rsidRDefault="00A07B13" w:rsidP="00A1039E">
            <w:pPr>
              <w:spacing w:before="60" w:after="60"/>
              <w:jc w:val="center"/>
            </w:pPr>
            <w:r w:rsidRPr="00265DCB">
              <w:t>83.38</w:t>
            </w:r>
            <w:r w:rsidRPr="00265DCB">
              <w:rPr>
                <w:vertAlign w:val="superscript"/>
              </w:rPr>
              <w:t>bc</w:t>
            </w:r>
            <w:r w:rsidRPr="00265DCB">
              <w:t>±16.16</w:t>
            </w:r>
          </w:p>
        </w:tc>
        <w:tc>
          <w:tcPr>
            <w:tcW w:w="1842" w:type="dxa"/>
            <w:vAlign w:val="center"/>
          </w:tcPr>
          <w:p w14:paraId="2CB958B8" w14:textId="35FB8C8A" w:rsidR="00A07B13" w:rsidRPr="00265DCB" w:rsidRDefault="00A07B13" w:rsidP="00A1039E">
            <w:pPr>
              <w:spacing w:before="60" w:after="60"/>
              <w:jc w:val="center"/>
            </w:pPr>
            <w:r w:rsidRPr="00265DCB">
              <w:t>48.83</w:t>
            </w:r>
            <w:r w:rsidRPr="00265DCB">
              <w:rPr>
                <w:vertAlign w:val="superscript"/>
              </w:rPr>
              <w:t>c</w:t>
            </w:r>
            <w:r w:rsidRPr="00265DCB">
              <w:t>±3.87</w:t>
            </w:r>
          </w:p>
        </w:tc>
        <w:tc>
          <w:tcPr>
            <w:tcW w:w="1985" w:type="dxa"/>
            <w:vAlign w:val="center"/>
          </w:tcPr>
          <w:p w14:paraId="5D8D52A0" w14:textId="0E4B4A20" w:rsidR="00A07B13" w:rsidRPr="00265DCB" w:rsidRDefault="00A07B13" w:rsidP="00A1039E">
            <w:pPr>
              <w:spacing w:before="60" w:after="60"/>
              <w:jc w:val="center"/>
            </w:pPr>
            <w:r w:rsidRPr="00265DCB">
              <w:t>174.87</w:t>
            </w:r>
            <w:r w:rsidRPr="00265DCB">
              <w:rPr>
                <w:vertAlign w:val="superscript"/>
              </w:rPr>
              <w:t>a</w:t>
            </w:r>
            <w:r w:rsidRPr="00265DCB">
              <w:t>±44.49</w:t>
            </w:r>
          </w:p>
        </w:tc>
        <w:tc>
          <w:tcPr>
            <w:tcW w:w="1843" w:type="dxa"/>
            <w:vAlign w:val="center"/>
          </w:tcPr>
          <w:p w14:paraId="11A79E6B" w14:textId="0EB72C1A" w:rsidR="00A07B13" w:rsidRPr="00265DCB" w:rsidRDefault="00A07B13" w:rsidP="00A1039E">
            <w:pPr>
              <w:spacing w:before="60" w:after="60"/>
              <w:jc w:val="center"/>
            </w:pPr>
            <w:r w:rsidRPr="00265DCB">
              <w:t>157.25</w:t>
            </w:r>
            <w:r w:rsidRPr="00265DCB">
              <w:rPr>
                <w:vertAlign w:val="superscript"/>
              </w:rPr>
              <w:t>ab</w:t>
            </w:r>
            <w:r w:rsidRPr="00265DCB">
              <w:t>±50.94</w:t>
            </w:r>
          </w:p>
        </w:tc>
        <w:tc>
          <w:tcPr>
            <w:tcW w:w="1879" w:type="dxa"/>
            <w:vAlign w:val="center"/>
          </w:tcPr>
          <w:p w14:paraId="66751DA0" w14:textId="110033CE" w:rsidR="00A07B13" w:rsidRPr="00265DCB" w:rsidRDefault="00A07B13" w:rsidP="00A1039E">
            <w:pPr>
              <w:spacing w:before="60" w:after="60"/>
              <w:jc w:val="center"/>
            </w:pPr>
            <w:r w:rsidRPr="00265DCB">
              <w:t>98.55</w:t>
            </w:r>
            <w:r w:rsidRPr="00265DCB">
              <w:rPr>
                <w:vertAlign w:val="superscript"/>
              </w:rPr>
              <w:t>abc</w:t>
            </w:r>
            <w:r w:rsidRPr="00265DCB">
              <w:t>±36.64</w:t>
            </w:r>
          </w:p>
        </w:tc>
        <w:tc>
          <w:tcPr>
            <w:tcW w:w="1664" w:type="dxa"/>
            <w:vAlign w:val="center"/>
          </w:tcPr>
          <w:p w14:paraId="123BAE06" w14:textId="5B4F5D95" w:rsidR="00A07B13" w:rsidRPr="00265DCB" w:rsidRDefault="00A07B13" w:rsidP="00A1039E">
            <w:pPr>
              <w:spacing w:before="60" w:after="60"/>
              <w:jc w:val="center"/>
            </w:pPr>
            <w:r w:rsidRPr="00265DCB">
              <w:t>&lt; 10</w:t>
            </w:r>
          </w:p>
        </w:tc>
      </w:tr>
      <w:tr w:rsidR="00352A7D" w:rsidRPr="00265DCB" w14:paraId="7265C080" w14:textId="168FDCC5" w:rsidTr="00265DCB">
        <w:tc>
          <w:tcPr>
            <w:tcW w:w="2977" w:type="dxa"/>
            <w:vAlign w:val="center"/>
          </w:tcPr>
          <w:p w14:paraId="7C3B2AA3" w14:textId="48A38205" w:rsidR="00A07B13" w:rsidRPr="00265DCB" w:rsidRDefault="00A07B13" w:rsidP="00A1039E">
            <w:pPr>
              <w:pStyle w:val="ListParagraph"/>
              <w:numPr>
                <w:ilvl w:val="0"/>
                <w:numId w:val="1"/>
              </w:numPr>
              <w:spacing w:before="60" w:after="60" w:line="240" w:lineRule="auto"/>
              <w:ind w:left="246" w:hanging="246"/>
              <w:jc w:val="both"/>
              <w:rPr>
                <w:rFonts w:ascii="Times New Roman" w:hAnsi="Times New Roman" w:cs="Times New Roman"/>
              </w:rPr>
            </w:pPr>
            <w:r w:rsidRPr="00265DCB">
              <w:rPr>
                <w:rFonts w:ascii="Times New Roman" w:hAnsi="Times New Roman" w:cs="Times New Roman"/>
              </w:rPr>
              <w:t>Mg total (%)</w:t>
            </w:r>
          </w:p>
        </w:tc>
        <w:tc>
          <w:tcPr>
            <w:tcW w:w="1985" w:type="dxa"/>
            <w:vAlign w:val="center"/>
          </w:tcPr>
          <w:p w14:paraId="04DFB291" w14:textId="4FF7EC9D" w:rsidR="00A07B13" w:rsidRPr="00265DCB" w:rsidRDefault="00A07B13" w:rsidP="00A1039E">
            <w:pPr>
              <w:spacing w:before="60" w:after="60"/>
              <w:jc w:val="center"/>
            </w:pPr>
            <w:r w:rsidRPr="00265DCB">
              <w:t>0.37</w:t>
            </w:r>
            <w:r w:rsidRPr="00265DCB">
              <w:rPr>
                <w:vertAlign w:val="superscript"/>
              </w:rPr>
              <w:t>b</w:t>
            </w:r>
            <w:r w:rsidRPr="00265DCB">
              <w:t>±0.13</w:t>
            </w:r>
          </w:p>
        </w:tc>
        <w:tc>
          <w:tcPr>
            <w:tcW w:w="1842" w:type="dxa"/>
            <w:vAlign w:val="center"/>
          </w:tcPr>
          <w:p w14:paraId="14D22830" w14:textId="753D2497" w:rsidR="00A07B13" w:rsidRPr="00265DCB" w:rsidRDefault="00A07B13" w:rsidP="00A1039E">
            <w:pPr>
              <w:spacing w:before="60" w:after="60"/>
              <w:jc w:val="center"/>
            </w:pPr>
            <w:r w:rsidRPr="00265DCB">
              <w:t>0.71</w:t>
            </w:r>
            <w:r w:rsidRPr="00265DCB">
              <w:rPr>
                <w:vertAlign w:val="superscript"/>
              </w:rPr>
              <w:t>a</w:t>
            </w:r>
            <w:r w:rsidRPr="00265DCB">
              <w:t>±0.09</w:t>
            </w:r>
          </w:p>
        </w:tc>
        <w:tc>
          <w:tcPr>
            <w:tcW w:w="1985" w:type="dxa"/>
            <w:vAlign w:val="center"/>
          </w:tcPr>
          <w:p w14:paraId="5D5C862A" w14:textId="4A963390" w:rsidR="00A07B13" w:rsidRPr="00265DCB" w:rsidRDefault="00A07B13" w:rsidP="00A1039E">
            <w:pPr>
              <w:spacing w:before="60" w:after="60"/>
              <w:jc w:val="center"/>
            </w:pPr>
            <w:r w:rsidRPr="00265DCB">
              <w:t>0.52</w:t>
            </w:r>
            <w:r w:rsidRPr="00265DCB">
              <w:rPr>
                <w:vertAlign w:val="superscript"/>
              </w:rPr>
              <w:t>ab</w:t>
            </w:r>
            <w:r w:rsidRPr="00265DCB">
              <w:t>±0.24</w:t>
            </w:r>
          </w:p>
        </w:tc>
        <w:tc>
          <w:tcPr>
            <w:tcW w:w="1843" w:type="dxa"/>
            <w:vAlign w:val="center"/>
          </w:tcPr>
          <w:p w14:paraId="4193D319" w14:textId="7F44F0BA" w:rsidR="00A07B13" w:rsidRPr="00265DCB" w:rsidRDefault="00A07B13" w:rsidP="00A1039E">
            <w:pPr>
              <w:spacing w:before="60" w:after="60"/>
              <w:jc w:val="center"/>
            </w:pPr>
            <w:r w:rsidRPr="00265DCB">
              <w:t>0.10</w:t>
            </w:r>
            <w:r w:rsidRPr="00265DCB">
              <w:rPr>
                <w:vertAlign w:val="superscript"/>
              </w:rPr>
              <w:t>c</w:t>
            </w:r>
            <w:r w:rsidRPr="00265DCB">
              <w:t>±0.08</w:t>
            </w:r>
          </w:p>
        </w:tc>
        <w:tc>
          <w:tcPr>
            <w:tcW w:w="1879" w:type="dxa"/>
            <w:vAlign w:val="center"/>
          </w:tcPr>
          <w:p w14:paraId="5F1637C1" w14:textId="12D41279" w:rsidR="00A07B13" w:rsidRPr="00265DCB" w:rsidRDefault="00A07B13" w:rsidP="00A1039E">
            <w:pPr>
              <w:spacing w:before="60" w:after="60"/>
              <w:jc w:val="center"/>
            </w:pPr>
            <w:r w:rsidRPr="00265DCB">
              <w:t>0.07</w:t>
            </w:r>
            <w:r w:rsidRPr="00265DCB">
              <w:rPr>
                <w:vertAlign w:val="superscript"/>
              </w:rPr>
              <w:t>c</w:t>
            </w:r>
            <w:r w:rsidRPr="00265DCB">
              <w:t>±0.02</w:t>
            </w:r>
          </w:p>
        </w:tc>
        <w:tc>
          <w:tcPr>
            <w:tcW w:w="1664" w:type="dxa"/>
            <w:vAlign w:val="center"/>
          </w:tcPr>
          <w:p w14:paraId="28153B13" w14:textId="2DC83190" w:rsidR="00A07B13" w:rsidRPr="00265DCB" w:rsidRDefault="00A07B13" w:rsidP="00A1039E">
            <w:pPr>
              <w:spacing w:before="60" w:after="60"/>
              <w:jc w:val="center"/>
            </w:pPr>
            <w:r w:rsidRPr="00265DCB">
              <w:t>&lt; 30</w:t>
            </w:r>
          </w:p>
        </w:tc>
      </w:tr>
      <w:tr w:rsidR="00352A7D" w:rsidRPr="00265DCB" w14:paraId="63554A2D" w14:textId="518802A5" w:rsidTr="00265DCB">
        <w:tc>
          <w:tcPr>
            <w:tcW w:w="2977" w:type="dxa"/>
            <w:vAlign w:val="center"/>
          </w:tcPr>
          <w:p w14:paraId="4496E317" w14:textId="0E7E274A" w:rsidR="00A07B13" w:rsidRPr="00265DCB" w:rsidRDefault="00A07B13" w:rsidP="00A1039E">
            <w:pPr>
              <w:pStyle w:val="ListParagraph"/>
              <w:numPr>
                <w:ilvl w:val="0"/>
                <w:numId w:val="1"/>
              </w:numPr>
              <w:spacing w:before="60" w:after="60" w:line="240" w:lineRule="auto"/>
              <w:ind w:left="246" w:hanging="246"/>
              <w:jc w:val="both"/>
              <w:rPr>
                <w:rFonts w:ascii="Times New Roman" w:hAnsi="Times New Roman" w:cs="Times New Roman"/>
              </w:rPr>
            </w:pPr>
            <w:r w:rsidRPr="00265DCB">
              <w:rPr>
                <w:rFonts w:ascii="Times New Roman" w:hAnsi="Times New Roman" w:cs="Times New Roman"/>
              </w:rPr>
              <w:t>K potential (mg K</w:t>
            </w:r>
            <w:r w:rsidRPr="00265DCB">
              <w:rPr>
                <w:rFonts w:ascii="Times New Roman" w:hAnsi="Times New Roman" w:cs="Times New Roman"/>
                <w:vertAlign w:val="subscript"/>
              </w:rPr>
              <w:t>2</w:t>
            </w:r>
            <w:r w:rsidRPr="00265DCB">
              <w:rPr>
                <w:rFonts w:ascii="Times New Roman" w:hAnsi="Times New Roman" w:cs="Times New Roman"/>
              </w:rPr>
              <w:t>0/100 g)</w:t>
            </w:r>
          </w:p>
        </w:tc>
        <w:tc>
          <w:tcPr>
            <w:tcW w:w="1985" w:type="dxa"/>
            <w:vAlign w:val="center"/>
          </w:tcPr>
          <w:p w14:paraId="6B92B51B" w14:textId="7F592D5C" w:rsidR="00A07B13" w:rsidRPr="00265DCB" w:rsidRDefault="00A07B13" w:rsidP="00A1039E">
            <w:pPr>
              <w:spacing w:before="60" w:after="60"/>
              <w:jc w:val="center"/>
            </w:pPr>
            <w:r w:rsidRPr="00265DCB">
              <w:t>30.54</w:t>
            </w:r>
            <w:r w:rsidRPr="00265DCB">
              <w:rPr>
                <w:vertAlign w:val="superscript"/>
              </w:rPr>
              <w:t>ab</w:t>
            </w:r>
            <w:r w:rsidRPr="00265DCB">
              <w:t>±0.02</w:t>
            </w:r>
          </w:p>
        </w:tc>
        <w:tc>
          <w:tcPr>
            <w:tcW w:w="1842" w:type="dxa"/>
            <w:vAlign w:val="center"/>
          </w:tcPr>
          <w:p w14:paraId="763ABF25" w14:textId="1B2E0BC6" w:rsidR="00A07B13" w:rsidRPr="00265DCB" w:rsidRDefault="00A07B13" w:rsidP="00A1039E">
            <w:pPr>
              <w:spacing w:before="60" w:after="60"/>
              <w:jc w:val="center"/>
            </w:pPr>
            <w:r w:rsidRPr="00265DCB">
              <w:t>28.96</w:t>
            </w:r>
            <w:r w:rsidRPr="00265DCB">
              <w:rPr>
                <w:vertAlign w:val="superscript"/>
              </w:rPr>
              <w:t>b</w:t>
            </w:r>
            <w:r w:rsidRPr="00265DCB">
              <w:t>±4.02</w:t>
            </w:r>
          </w:p>
        </w:tc>
        <w:tc>
          <w:tcPr>
            <w:tcW w:w="1985" w:type="dxa"/>
            <w:vAlign w:val="center"/>
          </w:tcPr>
          <w:p w14:paraId="46C3F5D6" w14:textId="501F7396" w:rsidR="00A07B13" w:rsidRPr="00265DCB" w:rsidRDefault="00A07B13" w:rsidP="00A1039E">
            <w:pPr>
              <w:spacing w:before="60" w:after="60"/>
              <w:jc w:val="center"/>
            </w:pPr>
            <w:r w:rsidRPr="00265DCB">
              <w:t>33.47</w:t>
            </w:r>
            <w:r w:rsidRPr="00265DCB">
              <w:rPr>
                <w:vertAlign w:val="superscript"/>
              </w:rPr>
              <w:t>ab</w:t>
            </w:r>
            <w:r w:rsidRPr="00265DCB">
              <w:t>±6.47</w:t>
            </w:r>
          </w:p>
        </w:tc>
        <w:tc>
          <w:tcPr>
            <w:tcW w:w="1843" w:type="dxa"/>
            <w:vAlign w:val="center"/>
          </w:tcPr>
          <w:p w14:paraId="66BAF545" w14:textId="61A22EA9" w:rsidR="00A07B13" w:rsidRPr="00265DCB" w:rsidRDefault="00A07B13" w:rsidP="00A1039E">
            <w:pPr>
              <w:spacing w:before="60" w:after="60"/>
              <w:jc w:val="center"/>
            </w:pPr>
            <w:r w:rsidRPr="00265DCB">
              <w:t>23.99</w:t>
            </w:r>
            <w:r w:rsidRPr="00265DCB">
              <w:rPr>
                <w:vertAlign w:val="superscript"/>
              </w:rPr>
              <w:t>b</w:t>
            </w:r>
            <w:r w:rsidRPr="00265DCB">
              <w:t>±1.14</w:t>
            </w:r>
          </w:p>
        </w:tc>
        <w:tc>
          <w:tcPr>
            <w:tcW w:w="1879" w:type="dxa"/>
            <w:vAlign w:val="center"/>
          </w:tcPr>
          <w:p w14:paraId="2D6052CD" w14:textId="25E4FC30" w:rsidR="00A07B13" w:rsidRPr="00265DCB" w:rsidRDefault="00A07B13" w:rsidP="00A1039E">
            <w:pPr>
              <w:spacing w:before="60" w:after="60"/>
              <w:jc w:val="center"/>
            </w:pPr>
            <w:r w:rsidRPr="00265DCB">
              <w:t>39.97</w:t>
            </w:r>
            <w:r w:rsidRPr="00265DCB">
              <w:rPr>
                <w:vertAlign w:val="superscript"/>
              </w:rPr>
              <w:t>a</w:t>
            </w:r>
            <w:r w:rsidRPr="00265DCB">
              <w:t>±11.80</w:t>
            </w:r>
          </w:p>
        </w:tc>
        <w:tc>
          <w:tcPr>
            <w:tcW w:w="1664" w:type="dxa"/>
            <w:vAlign w:val="center"/>
          </w:tcPr>
          <w:p w14:paraId="69DA5D5D" w14:textId="23241746" w:rsidR="00A07B13" w:rsidRPr="00265DCB" w:rsidRDefault="00A07B13" w:rsidP="00A1039E">
            <w:pPr>
              <w:spacing w:before="60" w:after="60"/>
              <w:jc w:val="center"/>
            </w:pPr>
            <w:r w:rsidRPr="00265DCB">
              <w:t>&lt; 59</w:t>
            </w:r>
          </w:p>
        </w:tc>
      </w:tr>
      <w:tr w:rsidR="00352A7D" w:rsidRPr="00265DCB" w14:paraId="5A9BF893" w14:textId="793CA86D" w:rsidTr="00265DCB">
        <w:tc>
          <w:tcPr>
            <w:tcW w:w="2977" w:type="dxa"/>
            <w:vAlign w:val="center"/>
          </w:tcPr>
          <w:p w14:paraId="5A0B9A08" w14:textId="339BE590" w:rsidR="00A07B13" w:rsidRPr="00265DCB" w:rsidRDefault="00A07B13" w:rsidP="00A1039E">
            <w:pPr>
              <w:pStyle w:val="ListParagraph"/>
              <w:numPr>
                <w:ilvl w:val="0"/>
                <w:numId w:val="1"/>
              </w:numPr>
              <w:spacing w:before="60" w:after="60" w:line="240" w:lineRule="auto"/>
              <w:ind w:left="246" w:hanging="246"/>
              <w:jc w:val="both"/>
              <w:rPr>
                <w:rFonts w:ascii="Times New Roman" w:hAnsi="Times New Roman" w:cs="Times New Roman"/>
              </w:rPr>
            </w:pPr>
            <w:r w:rsidRPr="00265DCB">
              <w:rPr>
                <w:rFonts w:ascii="Times New Roman" w:hAnsi="Times New Roman" w:cs="Times New Roman"/>
              </w:rPr>
              <w:t>Na total (%)</w:t>
            </w:r>
          </w:p>
        </w:tc>
        <w:tc>
          <w:tcPr>
            <w:tcW w:w="1985" w:type="dxa"/>
            <w:vAlign w:val="center"/>
          </w:tcPr>
          <w:p w14:paraId="0A20FE26" w14:textId="76C657E1" w:rsidR="00A07B13" w:rsidRPr="00265DCB" w:rsidRDefault="00A07B13" w:rsidP="00A1039E">
            <w:pPr>
              <w:spacing w:before="60" w:after="60"/>
              <w:jc w:val="center"/>
            </w:pPr>
            <w:r w:rsidRPr="00265DCB">
              <w:t>0.10±0.13</w:t>
            </w:r>
          </w:p>
        </w:tc>
        <w:tc>
          <w:tcPr>
            <w:tcW w:w="1842" w:type="dxa"/>
            <w:vAlign w:val="center"/>
          </w:tcPr>
          <w:p w14:paraId="2EC2B818" w14:textId="4D00B57A" w:rsidR="00A07B13" w:rsidRPr="00265DCB" w:rsidRDefault="00A07B13" w:rsidP="00A1039E">
            <w:pPr>
              <w:spacing w:before="60" w:after="60"/>
              <w:jc w:val="center"/>
            </w:pPr>
            <w:r w:rsidRPr="00265DCB">
              <w:t>0.09±0.11</w:t>
            </w:r>
          </w:p>
        </w:tc>
        <w:tc>
          <w:tcPr>
            <w:tcW w:w="1985" w:type="dxa"/>
            <w:vAlign w:val="center"/>
          </w:tcPr>
          <w:p w14:paraId="7F1D44B6" w14:textId="7AB53AE1" w:rsidR="00A07B13" w:rsidRPr="00265DCB" w:rsidRDefault="00A07B13" w:rsidP="00A1039E">
            <w:pPr>
              <w:spacing w:before="60" w:after="60"/>
              <w:jc w:val="center"/>
            </w:pPr>
            <w:r w:rsidRPr="00265DCB">
              <w:t>0.12±0.02</w:t>
            </w:r>
          </w:p>
        </w:tc>
        <w:tc>
          <w:tcPr>
            <w:tcW w:w="1843" w:type="dxa"/>
            <w:vAlign w:val="center"/>
          </w:tcPr>
          <w:p w14:paraId="20E1EBB6" w14:textId="30DC8D85" w:rsidR="00A07B13" w:rsidRPr="00265DCB" w:rsidRDefault="00A07B13" w:rsidP="00A1039E">
            <w:pPr>
              <w:spacing w:before="60" w:after="60"/>
              <w:jc w:val="center"/>
            </w:pPr>
            <w:r w:rsidRPr="00265DCB">
              <w:t>0.11±0.15</w:t>
            </w:r>
          </w:p>
        </w:tc>
        <w:tc>
          <w:tcPr>
            <w:tcW w:w="1879" w:type="dxa"/>
            <w:vAlign w:val="center"/>
          </w:tcPr>
          <w:p w14:paraId="161C66AF" w14:textId="05AC096C" w:rsidR="00A07B13" w:rsidRPr="00265DCB" w:rsidRDefault="00A07B13" w:rsidP="00A1039E">
            <w:pPr>
              <w:spacing w:before="60" w:after="60"/>
              <w:jc w:val="center"/>
            </w:pPr>
            <w:r w:rsidRPr="00265DCB">
              <w:t>0.14±0.19</w:t>
            </w:r>
          </w:p>
        </w:tc>
        <w:tc>
          <w:tcPr>
            <w:tcW w:w="1664" w:type="dxa"/>
            <w:vAlign w:val="center"/>
          </w:tcPr>
          <w:p w14:paraId="2716502A" w14:textId="510AD0BA" w:rsidR="00A07B13" w:rsidRPr="00265DCB" w:rsidRDefault="00A07B13" w:rsidP="00A1039E">
            <w:pPr>
              <w:spacing w:before="60" w:after="60"/>
              <w:jc w:val="center"/>
            </w:pPr>
            <w:r w:rsidRPr="00265DCB">
              <w:t>&lt; 62</w:t>
            </w:r>
          </w:p>
        </w:tc>
      </w:tr>
      <w:tr w:rsidR="00352A7D" w:rsidRPr="00265DCB" w14:paraId="02B81D69" w14:textId="1E0E2AC2" w:rsidTr="00265DCB">
        <w:tc>
          <w:tcPr>
            <w:tcW w:w="2977" w:type="dxa"/>
            <w:tcBorders>
              <w:bottom w:val="single" w:sz="4" w:space="0" w:color="auto"/>
            </w:tcBorders>
            <w:vAlign w:val="center"/>
          </w:tcPr>
          <w:p w14:paraId="46DF5DC7" w14:textId="743BCE93" w:rsidR="00A07B13" w:rsidRPr="00265DCB" w:rsidRDefault="00A07B13" w:rsidP="00A1039E">
            <w:pPr>
              <w:pStyle w:val="ListParagraph"/>
              <w:numPr>
                <w:ilvl w:val="0"/>
                <w:numId w:val="1"/>
              </w:numPr>
              <w:spacing w:before="60" w:after="60" w:line="240" w:lineRule="auto"/>
              <w:ind w:left="246" w:hanging="246"/>
              <w:jc w:val="both"/>
              <w:rPr>
                <w:rFonts w:ascii="Times New Roman" w:hAnsi="Times New Roman" w:cs="Times New Roman"/>
              </w:rPr>
            </w:pPr>
            <w:r w:rsidRPr="00265DCB">
              <w:rPr>
                <w:rFonts w:ascii="Times New Roman" w:hAnsi="Times New Roman" w:cs="Times New Roman"/>
              </w:rPr>
              <w:t>S total (%)</w:t>
            </w:r>
          </w:p>
        </w:tc>
        <w:tc>
          <w:tcPr>
            <w:tcW w:w="1985" w:type="dxa"/>
            <w:tcBorders>
              <w:bottom w:val="single" w:sz="4" w:space="0" w:color="auto"/>
            </w:tcBorders>
            <w:vAlign w:val="center"/>
          </w:tcPr>
          <w:p w14:paraId="021D64BA" w14:textId="055A5FAB" w:rsidR="00A07B13" w:rsidRPr="00265DCB" w:rsidRDefault="00A07B13" w:rsidP="00A1039E">
            <w:pPr>
              <w:spacing w:before="60" w:after="60"/>
              <w:jc w:val="center"/>
            </w:pPr>
            <w:r w:rsidRPr="00265DCB">
              <w:t>0.04</w:t>
            </w:r>
            <w:r w:rsidRPr="00265DCB">
              <w:rPr>
                <w:vertAlign w:val="superscript"/>
              </w:rPr>
              <w:t>ab</w:t>
            </w:r>
            <w:r w:rsidRPr="00265DCB">
              <w:t>±0.01</w:t>
            </w:r>
          </w:p>
        </w:tc>
        <w:tc>
          <w:tcPr>
            <w:tcW w:w="1842" w:type="dxa"/>
            <w:tcBorders>
              <w:bottom w:val="single" w:sz="4" w:space="0" w:color="auto"/>
            </w:tcBorders>
            <w:vAlign w:val="center"/>
          </w:tcPr>
          <w:p w14:paraId="3CADE759" w14:textId="77062B67" w:rsidR="00A07B13" w:rsidRPr="00265DCB" w:rsidRDefault="00A07B13" w:rsidP="00A1039E">
            <w:pPr>
              <w:spacing w:before="60" w:after="60"/>
              <w:jc w:val="center"/>
            </w:pPr>
            <w:r w:rsidRPr="00265DCB">
              <w:t>0.04</w:t>
            </w:r>
            <w:r w:rsidRPr="00265DCB">
              <w:rPr>
                <w:vertAlign w:val="superscript"/>
              </w:rPr>
              <w:t>ab</w:t>
            </w:r>
            <w:r w:rsidRPr="00265DCB">
              <w:t>±0.01</w:t>
            </w:r>
          </w:p>
        </w:tc>
        <w:tc>
          <w:tcPr>
            <w:tcW w:w="1985" w:type="dxa"/>
            <w:tcBorders>
              <w:bottom w:val="single" w:sz="4" w:space="0" w:color="auto"/>
            </w:tcBorders>
            <w:vAlign w:val="center"/>
          </w:tcPr>
          <w:p w14:paraId="76910883" w14:textId="447B30A5" w:rsidR="00A07B13" w:rsidRPr="00265DCB" w:rsidRDefault="00A07B13" w:rsidP="00A1039E">
            <w:pPr>
              <w:spacing w:before="60" w:after="60"/>
              <w:jc w:val="center"/>
            </w:pPr>
            <w:r w:rsidRPr="00265DCB">
              <w:t>0.05</w:t>
            </w:r>
            <w:r w:rsidRPr="00265DCB">
              <w:rPr>
                <w:vertAlign w:val="superscript"/>
              </w:rPr>
              <w:t>ab</w:t>
            </w:r>
            <w:r w:rsidRPr="00265DCB">
              <w:t>±0.04</w:t>
            </w:r>
          </w:p>
        </w:tc>
        <w:tc>
          <w:tcPr>
            <w:tcW w:w="1843" w:type="dxa"/>
            <w:tcBorders>
              <w:bottom w:val="single" w:sz="4" w:space="0" w:color="auto"/>
            </w:tcBorders>
            <w:vAlign w:val="center"/>
          </w:tcPr>
          <w:p w14:paraId="35008FDD" w14:textId="45060966" w:rsidR="00A07B13" w:rsidRPr="00265DCB" w:rsidRDefault="00A07B13" w:rsidP="00A1039E">
            <w:pPr>
              <w:spacing w:before="60" w:after="60"/>
              <w:jc w:val="center"/>
            </w:pPr>
            <w:r w:rsidRPr="00265DCB">
              <w:t>0.02</w:t>
            </w:r>
            <w:r w:rsidRPr="00265DCB">
              <w:rPr>
                <w:vertAlign w:val="superscript"/>
              </w:rPr>
              <w:t>b</w:t>
            </w:r>
            <w:r w:rsidRPr="00265DCB">
              <w:t>±0.01</w:t>
            </w:r>
          </w:p>
        </w:tc>
        <w:tc>
          <w:tcPr>
            <w:tcW w:w="1879" w:type="dxa"/>
            <w:tcBorders>
              <w:bottom w:val="single" w:sz="4" w:space="0" w:color="auto"/>
            </w:tcBorders>
            <w:vAlign w:val="center"/>
          </w:tcPr>
          <w:p w14:paraId="719BD7F1" w14:textId="13A377A2" w:rsidR="00A07B13" w:rsidRPr="00265DCB" w:rsidRDefault="00A07B13" w:rsidP="00A1039E">
            <w:pPr>
              <w:spacing w:before="60" w:after="60"/>
              <w:jc w:val="center"/>
            </w:pPr>
            <w:r w:rsidRPr="00265DCB">
              <w:t>0.07</w:t>
            </w:r>
            <w:r w:rsidRPr="00265DCB">
              <w:rPr>
                <w:vertAlign w:val="superscript"/>
              </w:rPr>
              <w:t>a</w:t>
            </w:r>
            <w:r w:rsidRPr="00265DCB">
              <w:t>±0.04</w:t>
            </w:r>
          </w:p>
        </w:tc>
        <w:tc>
          <w:tcPr>
            <w:tcW w:w="1664" w:type="dxa"/>
            <w:tcBorders>
              <w:bottom w:val="single" w:sz="4" w:space="0" w:color="auto"/>
            </w:tcBorders>
            <w:vAlign w:val="center"/>
          </w:tcPr>
          <w:p w14:paraId="208B239A" w14:textId="621039EE" w:rsidR="00A07B13" w:rsidRPr="00265DCB" w:rsidRDefault="00A07B13" w:rsidP="00A1039E">
            <w:pPr>
              <w:spacing w:before="60" w:after="60"/>
              <w:jc w:val="center"/>
            </w:pPr>
            <w:r w:rsidRPr="00265DCB">
              <w:t>&lt; 10</w:t>
            </w:r>
          </w:p>
        </w:tc>
      </w:tr>
      <w:tr w:rsidR="00352A7D" w:rsidRPr="00265DCB" w14:paraId="20637544" w14:textId="14E19D98" w:rsidTr="00265DCB">
        <w:tc>
          <w:tcPr>
            <w:tcW w:w="2977" w:type="dxa"/>
            <w:tcBorders>
              <w:top w:val="single" w:sz="4" w:space="0" w:color="auto"/>
              <w:bottom w:val="nil"/>
            </w:tcBorders>
            <w:vAlign w:val="center"/>
          </w:tcPr>
          <w:p w14:paraId="6C4CE523" w14:textId="68104D96" w:rsidR="00A07B13" w:rsidRPr="00265DCB" w:rsidRDefault="00A07B13" w:rsidP="00A1039E">
            <w:pPr>
              <w:spacing w:before="60" w:after="60"/>
              <w:jc w:val="both"/>
            </w:pPr>
            <w:r w:rsidRPr="00265DCB">
              <w:t>Micro minerals:</w:t>
            </w:r>
          </w:p>
        </w:tc>
        <w:tc>
          <w:tcPr>
            <w:tcW w:w="1985" w:type="dxa"/>
            <w:tcBorders>
              <w:top w:val="single" w:sz="4" w:space="0" w:color="auto"/>
              <w:bottom w:val="nil"/>
            </w:tcBorders>
            <w:vAlign w:val="center"/>
          </w:tcPr>
          <w:p w14:paraId="5CFF5F0F" w14:textId="77777777" w:rsidR="00A07B13" w:rsidRPr="00265DCB" w:rsidRDefault="00A07B13" w:rsidP="00A1039E">
            <w:pPr>
              <w:spacing w:before="60" w:after="60"/>
              <w:jc w:val="both"/>
            </w:pPr>
          </w:p>
        </w:tc>
        <w:tc>
          <w:tcPr>
            <w:tcW w:w="1842" w:type="dxa"/>
            <w:tcBorders>
              <w:top w:val="single" w:sz="4" w:space="0" w:color="auto"/>
              <w:bottom w:val="nil"/>
            </w:tcBorders>
            <w:vAlign w:val="center"/>
          </w:tcPr>
          <w:p w14:paraId="4BEEB038" w14:textId="77777777" w:rsidR="00A07B13" w:rsidRPr="00265DCB" w:rsidRDefault="00A07B13" w:rsidP="00A1039E">
            <w:pPr>
              <w:spacing w:before="60" w:after="60"/>
              <w:jc w:val="both"/>
            </w:pPr>
          </w:p>
        </w:tc>
        <w:tc>
          <w:tcPr>
            <w:tcW w:w="1985" w:type="dxa"/>
            <w:tcBorders>
              <w:top w:val="single" w:sz="4" w:space="0" w:color="auto"/>
              <w:bottom w:val="nil"/>
            </w:tcBorders>
            <w:vAlign w:val="center"/>
          </w:tcPr>
          <w:p w14:paraId="1EEB3228" w14:textId="77777777" w:rsidR="00A07B13" w:rsidRPr="00265DCB" w:rsidRDefault="00A07B13" w:rsidP="00A1039E">
            <w:pPr>
              <w:spacing w:before="60" w:after="60"/>
              <w:jc w:val="both"/>
            </w:pPr>
          </w:p>
        </w:tc>
        <w:tc>
          <w:tcPr>
            <w:tcW w:w="1843" w:type="dxa"/>
            <w:tcBorders>
              <w:top w:val="single" w:sz="4" w:space="0" w:color="auto"/>
              <w:bottom w:val="nil"/>
            </w:tcBorders>
            <w:vAlign w:val="center"/>
          </w:tcPr>
          <w:p w14:paraId="3FEFEBE4" w14:textId="77777777" w:rsidR="00A07B13" w:rsidRPr="00265DCB" w:rsidRDefault="00A07B13" w:rsidP="00A1039E">
            <w:pPr>
              <w:spacing w:before="60" w:after="60"/>
              <w:jc w:val="both"/>
            </w:pPr>
          </w:p>
        </w:tc>
        <w:tc>
          <w:tcPr>
            <w:tcW w:w="1879" w:type="dxa"/>
            <w:tcBorders>
              <w:top w:val="single" w:sz="4" w:space="0" w:color="auto"/>
              <w:bottom w:val="nil"/>
            </w:tcBorders>
            <w:vAlign w:val="center"/>
          </w:tcPr>
          <w:p w14:paraId="72396EFB" w14:textId="77777777" w:rsidR="00A07B13" w:rsidRPr="00265DCB" w:rsidRDefault="00A07B13" w:rsidP="00A1039E">
            <w:pPr>
              <w:spacing w:before="60" w:after="60"/>
              <w:jc w:val="both"/>
            </w:pPr>
          </w:p>
        </w:tc>
        <w:tc>
          <w:tcPr>
            <w:tcW w:w="1664" w:type="dxa"/>
            <w:tcBorders>
              <w:top w:val="single" w:sz="4" w:space="0" w:color="auto"/>
              <w:bottom w:val="nil"/>
            </w:tcBorders>
            <w:vAlign w:val="center"/>
          </w:tcPr>
          <w:p w14:paraId="2E67911C" w14:textId="77777777" w:rsidR="00A07B13" w:rsidRPr="00265DCB" w:rsidRDefault="00A07B13" w:rsidP="00A1039E">
            <w:pPr>
              <w:spacing w:before="60" w:after="60"/>
              <w:jc w:val="both"/>
            </w:pPr>
          </w:p>
        </w:tc>
      </w:tr>
      <w:tr w:rsidR="00352A7D" w:rsidRPr="00265DCB" w14:paraId="23FF0308" w14:textId="56369E2F" w:rsidTr="00265DCB">
        <w:tc>
          <w:tcPr>
            <w:tcW w:w="2977" w:type="dxa"/>
            <w:tcBorders>
              <w:top w:val="nil"/>
            </w:tcBorders>
            <w:vAlign w:val="center"/>
          </w:tcPr>
          <w:p w14:paraId="229682B4" w14:textId="17035E9F" w:rsidR="00A07B13" w:rsidRPr="00265DCB" w:rsidRDefault="00A07B13" w:rsidP="00A1039E">
            <w:pPr>
              <w:pStyle w:val="ListParagraph"/>
              <w:numPr>
                <w:ilvl w:val="0"/>
                <w:numId w:val="2"/>
              </w:numPr>
              <w:spacing w:before="60" w:after="60" w:line="240" w:lineRule="auto"/>
              <w:ind w:left="246" w:hanging="270"/>
              <w:jc w:val="both"/>
              <w:rPr>
                <w:rFonts w:ascii="Times New Roman" w:hAnsi="Times New Roman" w:cs="Times New Roman"/>
              </w:rPr>
            </w:pPr>
            <w:r w:rsidRPr="00265DCB">
              <w:rPr>
                <w:rFonts w:ascii="Times New Roman" w:hAnsi="Times New Roman" w:cs="Times New Roman"/>
              </w:rPr>
              <w:t>Fe (ppm)</w:t>
            </w:r>
          </w:p>
        </w:tc>
        <w:tc>
          <w:tcPr>
            <w:tcW w:w="1985" w:type="dxa"/>
            <w:tcBorders>
              <w:top w:val="nil"/>
            </w:tcBorders>
            <w:vAlign w:val="center"/>
          </w:tcPr>
          <w:p w14:paraId="0320F46F" w14:textId="57730DB6" w:rsidR="00A07B13" w:rsidRPr="00265DCB" w:rsidRDefault="00A07B13" w:rsidP="00A1039E">
            <w:pPr>
              <w:spacing w:before="60" w:after="60"/>
              <w:jc w:val="center"/>
              <w:rPr>
                <w:sz w:val="20"/>
                <w:szCs w:val="20"/>
              </w:rPr>
            </w:pPr>
            <w:r w:rsidRPr="00265DCB">
              <w:rPr>
                <w:sz w:val="20"/>
                <w:szCs w:val="20"/>
              </w:rPr>
              <w:t>17954.90</w:t>
            </w:r>
            <w:r w:rsidRPr="00265DCB">
              <w:rPr>
                <w:sz w:val="20"/>
                <w:szCs w:val="20"/>
                <w:vertAlign w:val="superscript"/>
              </w:rPr>
              <w:t>ab</w:t>
            </w:r>
            <w:r w:rsidRPr="00265DCB">
              <w:rPr>
                <w:sz w:val="20"/>
                <w:szCs w:val="20"/>
              </w:rPr>
              <w:t>±3604.25</w:t>
            </w:r>
          </w:p>
        </w:tc>
        <w:tc>
          <w:tcPr>
            <w:tcW w:w="1842" w:type="dxa"/>
            <w:tcBorders>
              <w:top w:val="nil"/>
            </w:tcBorders>
            <w:vAlign w:val="center"/>
          </w:tcPr>
          <w:p w14:paraId="224DECEA" w14:textId="3E99FA9C" w:rsidR="00A07B13" w:rsidRPr="00265DCB" w:rsidRDefault="00A07B13" w:rsidP="00A1039E">
            <w:pPr>
              <w:spacing w:before="60" w:after="60"/>
              <w:jc w:val="center"/>
              <w:rPr>
                <w:sz w:val="20"/>
                <w:szCs w:val="20"/>
              </w:rPr>
            </w:pPr>
            <w:r w:rsidRPr="00265DCB">
              <w:rPr>
                <w:sz w:val="20"/>
                <w:szCs w:val="20"/>
              </w:rPr>
              <w:t>18926.99</w:t>
            </w:r>
            <w:r w:rsidRPr="00265DCB">
              <w:rPr>
                <w:sz w:val="20"/>
                <w:szCs w:val="20"/>
                <w:vertAlign w:val="superscript"/>
              </w:rPr>
              <w:t>ab</w:t>
            </w:r>
            <w:r w:rsidRPr="00265DCB">
              <w:rPr>
                <w:sz w:val="20"/>
                <w:szCs w:val="20"/>
              </w:rPr>
              <w:t>±636.03</w:t>
            </w:r>
          </w:p>
        </w:tc>
        <w:tc>
          <w:tcPr>
            <w:tcW w:w="1985" w:type="dxa"/>
            <w:tcBorders>
              <w:top w:val="nil"/>
            </w:tcBorders>
            <w:vAlign w:val="center"/>
          </w:tcPr>
          <w:p w14:paraId="22869565" w14:textId="342FFEBA" w:rsidR="00A07B13" w:rsidRPr="00265DCB" w:rsidRDefault="00A07B13" w:rsidP="00A1039E">
            <w:pPr>
              <w:spacing w:before="60" w:after="60"/>
              <w:jc w:val="center"/>
              <w:rPr>
                <w:sz w:val="20"/>
                <w:szCs w:val="20"/>
              </w:rPr>
            </w:pPr>
            <w:r w:rsidRPr="00265DCB">
              <w:rPr>
                <w:sz w:val="20"/>
                <w:szCs w:val="20"/>
              </w:rPr>
              <w:t>20251.75</w:t>
            </w:r>
            <w:r w:rsidRPr="00265DCB">
              <w:rPr>
                <w:sz w:val="20"/>
                <w:szCs w:val="20"/>
                <w:vertAlign w:val="superscript"/>
              </w:rPr>
              <w:t>a</w:t>
            </w:r>
            <w:r w:rsidRPr="00265DCB">
              <w:rPr>
                <w:sz w:val="20"/>
                <w:szCs w:val="20"/>
              </w:rPr>
              <w:t>±1714.55</w:t>
            </w:r>
          </w:p>
        </w:tc>
        <w:tc>
          <w:tcPr>
            <w:tcW w:w="1843" w:type="dxa"/>
            <w:tcBorders>
              <w:top w:val="nil"/>
            </w:tcBorders>
            <w:vAlign w:val="center"/>
          </w:tcPr>
          <w:p w14:paraId="201DF9A4" w14:textId="6AEBFAD8" w:rsidR="00A07B13" w:rsidRPr="00265DCB" w:rsidRDefault="00A07B13" w:rsidP="00A1039E">
            <w:pPr>
              <w:spacing w:before="60" w:after="60"/>
              <w:jc w:val="center"/>
              <w:rPr>
                <w:sz w:val="20"/>
                <w:szCs w:val="20"/>
              </w:rPr>
            </w:pPr>
            <w:r w:rsidRPr="00265DCB">
              <w:rPr>
                <w:sz w:val="20"/>
                <w:szCs w:val="20"/>
              </w:rPr>
              <w:t>15364.24</w:t>
            </w:r>
            <w:r w:rsidRPr="00265DCB">
              <w:rPr>
                <w:sz w:val="20"/>
                <w:szCs w:val="20"/>
                <w:vertAlign w:val="superscript"/>
              </w:rPr>
              <w:t>bc</w:t>
            </w:r>
            <w:r w:rsidRPr="00265DCB">
              <w:rPr>
                <w:sz w:val="20"/>
                <w:szCs w:val="20"/>
              </w:rPr>
              <w:t>±171.77</w:t>
            </w:r>
          </w:p>
        </w:tc>
        <w:tc>
          <w:tcPr>
            <w:tcW w:w="1879" w:type="dxa"/>
            <w:tcBorders>
              <w:top w:val="nil"/>
            </w:tcBorders>
            <w:vAlign w:val="center"/>
          </w:tcPr>
          <w:p w14:paraId="38FEDA07" w14:textId="7A032CD9" w:rsidR="00A07B13" w:rsidRPr="00265DCB" w:rsidRDefault="00A07B13" w:rsidP="00A1039E">
            <w:pPr>
              <w:spacing w:before="60" w:after="60"/>
              <w:jc w:val="center"/>
              <w:rPr>
                <w:sz w:val="20"/>
                <w:szCs w:val="20"/>
              </w:rPr>
            </w:pPr>
            <w:r w:rsidRPr="00265DCB">
              <w:rPr>
                <w:sz w:val="20"/>
                <w:szCs w:val="20"/>
              </w:rPr>
              <w:t>14229.76</w:t>
            </w:r>
            <w:r w:rsidRPr="00265DCB">
              <w:rPr>
                <w:sz w:val="20"/>
                <w:szCs w:val="20"/>
                <w:vertAlign w:val="superscript"/>
              </w:rPr>
              <w:t>c</w:t>
            </w:r>
            <w:r w:rsidRPr="00265DCB">
              <w:rPr>
                <w:sz w:val="20"/>
                <w:szCs w:val="20"/>
              </w:rPr>
              <w:t>±1556.59</w:t>
            </w:r>
          </w:p>
        </w:tc>
        <w:tc>
          <w:tcPr>
            <w:tcW w:w="1664" w:type="dxa"/>
            <w:tcBorders>
              <w:top w:val="nil"/>
            </w:tcBorders>
            <w:vAlign w:val="center"/>
          </w:tcPr>
          <w:p w14:paraId="085F6810" w14:textId="63E77CA8" w:rsidR="00A07B13" w:rsidRPr="00265DCB" w:rsidRDefault="00A07B13" w:rsidP="00A1039E">
            <w:pPr>
              <w:spacing w:before="60" w:after="60"/>
              <w:jc w:val="center"/>
            </w:pPr>
            <w:r w:rsidRPr="00265DCB">
              <w:t>&lt; 2,5</w:t>
            </w:r>
          </w:p>
        </w:tc>
      </w:tr>
      <w:tr w:rsidR="00352A7D" w:rsidRPr="00265DCB" w14:paraId="58EFE85C" w14:textId="4F27F25F" w:rsidTr="00265DCB">
        <w:tc>
          <w:tcPr>
            <w:tcW w:w="2977" w:type="dxa"/>
            <w:vAlign w:val="center"/>
          </w:tcPr>
          <w:p w14:paraId="0923FE23" w14:textId="4CB6A2C2" w:rsidR="00A07B13" w:rsidRPr="00265DCB" w:rsidRDefault="00A07B13" w:rsidP="00A1039E">
            <w:pPr>
              <w:pStyle w:val="ListParagraph"/>
              <w:numPr>
                <w:ilvl w:val="0"/>
                <w:numId w:val="2"/>
              </w:numPr>
              <w:spacing w:before="60" w:after="60" w:line="240" w:lineRule="auto"/>
              <w:ind w:left="246" w:hanging="270"/>
              <w:jc w:val="both"/>
              <w:rPr>
                <w:rFonts w:ascii="Times New Roman" w:hAnsi="Times New Roman" w:cs="Times New Roman"/>
              </w:rPr>
            </w:pPr>
            <w:r w:rsidRPr="00265DCB">
              <w:rPr>
                <w:rFonts w:ascii="Times New Roman" w:hAnsi="Times New Roman" w:cs="Times New Roman"/>
              </w:rPr>
              <w:t>Zn (ppm)</w:t>
            </w:r>
          </w:p>
        </w:tc>
        <w:tc>
          <w:tcPr>
            <w:tcW w:w="1985" w:type="dxa"/>
            <w:vAlign w:val="center"/>
          </w:tcPr>
          <w:p w14:paraId="44D928FB" w14:textId="413B47F5" w:rsidR="00A07B13" w:rsidRPr="00265DCB" w:rsidRDefault="00A07B13" w:rsidP="00A1039E">
            <w:pPr>
              <w:spacing w:before="60" w:after="60"/>
              <w:jc w:val="center"/>
            </w:pPr>
            <w:r w:rsidRPr="00265DCB">
              <w:t>56.11±23.57</w:t>
            </w:r>
          </w:p>
        </w:tc>
        <w:tc>
          <w:tcPr>
            <w:tcW w:w="1842" w:type="dxa"/>
            <w:vAlign w:val="center"/>
          </w:tcPr>
          <w:p w14:paraId="5A05FBB9" w14:textId="1DFE804A" w:rsidR="00A07B13" w:rsidRPr="00265DCB" w:rsidRDefault="00A07B13" w:rsidP="00A1039E">
            <w:pPr>
              <w:spacing w:before="60" w:after="60"/>
              <w:jc w:val="center"/>
            </w:pPr>
            <w:r w:rsidRPr="00265DCB">
              <w:t>44.79±4.72</w:t>
            </w:r>
          </w:p>
        </w:tc>
        <w:tc>
          <w:tcPr>
            <w:tcW w:w="1985" w:type="dxa"/>
            <w:vAlign w:val="center"/>
          </w:tcPr>
          <w:p w14:paraId="3296E08B" w14:textId="42D94794" w:rsidR="00A07B13" w:rsidRPr="00265DCB" w:rsidRDefault="00A07B13" w:rsidP="00A1039E">
            <w:pPr>
              <w:spacing w:before="60" w:after="60"/>
              <w:jc w:val="center"/>
            </w:pPr>
            <w:r w:rsidRPr="00265DCB">
              <w:t>50.19±8.00</w:t>
            </w:r>
          </w:p>
        </w:tc>
        <w:tc>
          <w:tcPr>
            <w:tcW w:w="1843" w:type="dxa"/>
            <w:vAlign w:val="center"/>
          </w:tcPr>
          <w:p w14:paraId="61310365" w14:textId="458A8DAA" w:rsidR="00A07B13" w:rsidRPr="00265DCB" w:rsidRDefault="00A07B13" w:rsidP="00A1039E">
            <w:pPr>
              <w:spacing w:before="60" w:after="60"/>
              <w:jc w:val="center"/>
            </w:pPr>
            <w:r w:rsidRPr="00265DCB">
              <w:t>45.76±3.70</w:t>
            </w:r>
          </w:p>
        </w:tc>
        <w:tc>
          <w:tcPr>
            <w:tcW w:w="1879" w:type="dxa"/>
            <w:vAlign w:val="center"/>
          </w:tcPr>
          <w:p w14:paraId="305C1DCC" w14:textId="7247B3A6" w:rsidR="00A07B13" w:rsidRPr="00265DCB" w:rsidRDefault="00A07B13" w:rsidP="00A1039E">
            <w:pPr>
              <w:spacing w:before="60" w:after="60"/>
              <w:jc w:val="center"/>
            </w:pPr>
            <w:r w:rsidRPr="00265DCB">
              <w:t>36.83±17.57</w:t>
            </w:r>
          </w:p>
        </w:tc>
        <w:tc>
          <w:tcPr>
            <w:tcW w:w="1664" w:type="dxa"/>
            <w:vAlign w:val="center"/>
          </w:tcPr>
          <w:p w14:paraId="4A8A0811" w14:textId="745505CC" w:rsidR="00A07B13" w:rsidRPr="00265DCB" w:rsidRDefault="00A07B13" w:rsidP="00A1039E">
            <w:pPr>
              <w:spacing w:before="60" w:after="60"/>
              <w:jc w:val="center"/>
            </w:pPr>
            <w:r w:rsidRPr="00265DCB">
              <w:t>&lt; 1</w:t>
            </w:r>
          </w:p>
        </w:tc>
      </w:tr>
      <w:tr w:rsidR="00352A7D" w:rsidRPr="00265DCB" w14:paraId="546CC742" w14:textId="2C64610C" w:rsidTr="00265DCB">
        <w:tc>
          <w:tcPr>
            <w:tcW w:w="2977" w:type="dxa"/>
            <w:vAlign w:val="center"/>
          </w:tcPr>
          <w:p w14:paraId="06B1F5AE" w14:textId="6569F82E" w:rsidR="00A07B13" w:rsidRPr="00265DCB" w:rsidRDefault="00A07B13" w:rsidP="00A1039E">
            <w:pPr>
              <w:pStyle w:val="ListParagraph"/>
              <w:numPr>
                <w:ilvl w:val="0"/>
                <w:numId w:val="2"/>
              </w:numPr>
              <w:spacing w:before="60" w:after="60" w:line="240" w:lineRule="auto"/>
              <w:ind w:left="246" w:hanging="270"/>
              <w:jc w:val="both"/>
              <w:rPr>
                <w:rFonts w:ascii="Times New Roman" w:hAnsi="Times New Roman" w:cs="Times New Roman"/>
              </w:rPr>
            </w:pPr>
            <w:r w:rsidRPr="00265DCB">
              <w:rPr>
                <w:rFonts w:ascii="Times New Roman" w:hAnsi="Times New Roman" w:cs="Times New Roman"/>
              </w:rPr>
              <w:t>Cu (ppm)</w:t>
            </w:r>
          </w:p>
        </w:tc>
        <w:tc>
          <w:tcPr>
            <w:tcW w:w="1985" w:type="dxa"/>
            <w:vAlign w:val="center"/>
          </w:tcPr>
          <w:p w14:paraId="742AC908" w14:textId="66DC6EC0" w:rsidR="00A07B13" w:rsidRPr="00265DCB" w:rsidRDefault="00A07B13" w:rsidP="00A1039E">
            <w:pPr>
              <w:spacing w:before="60" w:after="60"/>
              <w:jc w:val="center"/>
            </w:pPr>
            <w:r w:rsidRPr="00265DCB">
              <w:t>46.49</w:t>
            </w:r>
            <w:r w:rsidRPr="00265DCB">
              <w:rPr>
                <w:vertAlign w:val="superscript"/>
              </w:rPr>
              <w:t>b</w:t>
            </w:r>
            <w:r w:rsidRPr="00265DCB">
              <w:t>±9.18</w:t>
            </w:r>
          </w:p>
        </w:tc>
        <w:tc>
          <w:tcPr>
            <w:tcW w:w="1842" w:type="dxa"/>
            <w:vAlign w:val="center"/>
          </w:tcPr>
          <w:p w14:paraId="286F3A49" w14:textId="0889188A" w:rsidR="00A07B13" w:rsidRPr="00265DCB" w:rsidRDefault="00A07B13" w:rsidP="00A1039E">
            <w:pPr>
              <w:spacing w:before="60" w:after="60"/>
              <w:jc w:val="center"/>
            </w:pPr>
            <w:r w:rsidRPr="00265DCB">
              <w:t>57.8</w:t>
            </w:r>
            <w:r w:rsidRPr="00265DCB">
              <w:rPr>
                <w:vertAlign w:val="superscript"/>
              </w:rPr>
              <w:t>a</w:t>
            </w:r>
            <w:r w:rsidRPr="00265DCB">
              <w:t>±6.71</w:t>
            </w:r>
          </w:p>
        </w:tc>
        <w:tc>
          <w:tcPr>
            <w:tcW w:w="1985" w:type="dxa"/>
            <w:vAlign w:val="center"/>
          </w:tcPr>
          <w:p w14:paraId="4E1BB818" w14:textId="3BD6747D" w:rsidR="00A07B13" w:rsidRPr="00265DCB" w:rsidRDefault="00A07B13" w:rsidP="00A1039E">
            <w:pPr>
              <w:spacing w:before="60" w:after="60"/>
              <w:jc w:val="center"/>
            </w:pPr>
            <w:r w:rsidRPr="00265DCB">
              <w:t>59.96</w:t>
            </w:r>
            <w:r w:rsidRPr="00265DCB">
              <w:rPr>
                <w:vertAlign w:val="superscript"/>
              </w:rPr>
              <w:t>a</w:t>
            </w:r>
            <w:r w:rsidRPr="00265DCB">
              <w:t>±1.29</w:t>
            </w:r>
          </w:p>
        </w:tc>
        <w:tc>
          <w:tcPr>
            <w:tcW w:w="1843" w:type="dxa"/>
            <w:vAlign w:val="center"/>
          </w:tcPr>
          <w:p w14:paraId="187245B1" w14:textId="2D3FC131" w:rsidR="00A07B13" w:rsidRPr="00265DCB" w:rsidRDefault="00A07B13" w:rsidP="00A1039E">
            <w:pPr>
              <w:spacing w:before="60" w:after="60"/>
              <w:jc w:val="center"/>
            </w:pPr>
            <w:r w:rsidRPr="00265DCB">
              <w:t>28.73</w:t>
            </w:r>
            <w:r w:rsidRPr="00265DCB">
              <w:rPr>
                <w:vertAlign w:val="superscript"/>
              </w:rPr>
              <w:t>c</w:t>
            </w:r>
            <w:r w:rsidRPr="00265DCB">
              <w:t>±3.37</w:t>
            </w:r>
          </w:p>
        </w:tc>
        <w:tc>
          <w:tcPr>
            <w:tcW w:w="1879" w:type="dxa"/>
            <w:vAlign w:val="center"/>
          </w:tcPr>
          <w:p w14:paraId="72E84A06" w14:textId="01E35038" w:rsidR="00A07B13" w:rsidRPr="00265DCB" w:rsidRDefault="00A07B13" w:rsidP="00A1039E">
            <w:pPr>
              <w:spacing w:before="60" w:after="60"/>
              <w:jc w:val="center"/>
            </w:pPr>
            <w:r w:rsidRPr="00265DCB">
              <w:t>9.53</w:t>
            </w:r>
            <w:r w:rsidRPr="00265DCB">
              <w:rPr>
                <w:vertAlign w:val="superscript"/>
              </w:rPr>
              <w:t>d</w:t>
            </w:r>
            <w:r w:rsidRPr="00265DCB">
              <w:t>±1.21</w:t>
            </w:r>
          </w:p>
        </w:tc>
        <w:tc>
          <w:tcPr>
            <w:tcW w:w="1664" w:type="dxa"/>
            <w:vAlign w:val="center"/>
          </w:tcPr>
          <w:p w14:paraId="21EBE047" w14:textId="61C5EE27" w:rsidR="00A07B13" w:rsidRPr="00265DCB" w:rsidRDefault="00A07B13" w:rsidP="00A1039E">
            <w:pPr>
              <w:spacing w:before="60" w:after="60"/>
              <w:jc w:val="center"/>
            </w:pPr>
            <w:r w:rsidRPr="00265DCB">
              <w:t>&lt; 0.3</w:t>
            </w:r>
          </w:p>
        </w:tc>
      </w:tr>
      <w:tr w:rsidR="00352A7D" w:rsidRPr="00265DCB" w14:paraId="63096856" w14:textId="7107D23D" w:rsidTr="00265DCB">
        <w:tc>
          <w:tcPr>
            <w:tcW w:w="2977" w:type="dxa"/>
            <w:vAlign w:val="center"/>
          </w:tcPr>
          <w:p w14:paraId="6C250B36" w14:textId="63EA8291" w:rsidR="00A07B13" w:rsidRPr="00265DCB" w:rsidRDefault="00A07B13" w:rsidP="00A1039E">
            <w:pPr>
              <w:pStyle w:val="ListParagraph"/>
              <w:numPr>
                <w:ilvl w:val="0"/>
                <w:numId w:val="2"/>
              </w:numPr>
              <w:spacing w:before="60" w:after="60" w:line="240" w:lineRule="auto"/>
              <w:ind w:left="246" w:hanging="270"/>
              <w:jc w:val="both"/>
              <w:rPr>
                <w:rFonts w:ascii="Times New Roman" w:hAnsi="Times New Roman" w:cs="Times New Roman"/>
              </w:rPr>
            </w:pPr>
            <w:r w:rsidRPr="00265DCB">
              <w:rPr>
                <w:rFonts w:ascii="Times New Roman" w:hAnsi="Times New Roman" w:cs="Times New Roman"/>
              </w:rPr>
              <w:t>Mn (ppm)</w:t>
            </w:r>
          </w:p>
        </w:tc>
        <w:tc>
          <w:tcPr>
            <w:tcW w:w="1985" w:type="dxa"/>
            <w:vAlign w:val="center"/>
          </w:tcPr>
          <w:p w14:paraId="642C0775" w14:textId="3B7C900E" w:rsidR="00A07B13" w:rsidRPr="00265DCB" w:rsidRDefault="00A07B13" w:rsidP="00A1039E">
            <w:pPr>
              <w:spacing w:before="60" w:after="60"/>
              <w:jc w:val="center"/>
            </w:pPr>
            <w:r w:rsidRPr="00265DCB">
              <w:t>127.96</w:t>
            </w:r>
            <w:r w:rsidRPr="00265DCB">
              <w:rPr>
                <w:vertAlign w:val="superscript"/>
              </w:rPr>
              <w:t>ab</w:t>
            </w:r>
            <w:r w:rsidRPr="00265DCB">
              <w:t>±65.91</w:t>
            </w:r>
          </w:p>
        </w:tc>
        <w:tc>
          <w:tcPr>
            <w:tcW w:w="1842" w:type="dxa"/>
            <w:vAlign w:val="center"/>
          </w:tcPr>
          <w:p w14:paraId="082702A0" w14:textId="34AF45A9" w:rsidR="00A07B13" w:rsidRPr="00265DCB" w:rsidRDefault="00A07B13" w:rsidP="00A1039E">
            <w:pPr>
              <w:spacing w:before="60" w:after="60"/>
              <w:jc w:val="center"/>
            </w:pPr>
            <w:r w:rsidRPr="00265DCB">
              <w:t>179.76</w:t>
            </w:r>
            <w:r w:rsidRPr="00265DCB">
              <w:rPr>
                <w:vertAlign w:val="superscript"/>
              </w:rPr>
              <w:t>a</w:t>
            </w:r>
            <w:r w:rsidRPr="00265DCB">
              <w:t>±26.91</w:t>
            </w:r>
          </w:p>
        </w:tc>
        <w:tc>
          <w:tcPr>
            <w:tcW w:w="1985" w:type="dxa"/>
            <w:vAlign w:val="center"/>
          </w:tcPr>
          <w:p w14:paraId="5B9C75E9" w14:textId="60B4BB07" w:rsidR="00A07B13" w:rsidRPr="00265DCB" w:rsidRDefault="00A07B13" w:rsidP="00A1039E">
            <w:pPr>
              <w:spacing w:before="60" w:after="60"/>
              <w:jc w:val="center"/>
            </w:pPr>
            <w:r w:rsidRPr="00265DCB">
              <w:t>162.21</w:t>
            </w:r>
            <w:r w:rsidRPr="00265DCB">
              <w:rPr>
                <w:vertAlign w:val="superscript"/>
              </w:rPr>
              <w:t>ab</w:t>
            </w:r>
            <w:r w:rsidRPr="00265DCB">
              <w:t>±93.54</w:t>
            </w:r>
          </w:p>
        </w:tc>
        <w:tc>
          <w:tcPr>
            <w:tcW w:w="1843" w:type="dxa"/>
            <w:vAlign w:val="center"/>
          </w:tcPr>
          <w:p w14:paraId="1C6457EB" w14:textId="63BFDA0D" w:rsidR="00A07B13" w:rsidRPr="00265DCB" w:rsidRDefault="00A07B13" w:rsidP="00A1039E">
            <w:pPr>
              <w:spacing w:before="60" w:after="60"/>
              <w:jc w:val="center"/>
            </w:pPr>
            <w:r w:rsidRPr="00265DCB">
              <w:t>138.53</w:t>
            </w:r>
            <w:r w:rsidRPr="00265DCB">
              <w:rPr>
                <w:vertAlign w:val="superscript"/>
              </w:rPr>
              <w:t>ab</w:t>
            </w:r>
            <w:r w:rsidRPr="00265DCB">
              <w:t>±34.20</w:t>
            </w:r>
          </w:p>
        </w:tc>
        <w:tc>
          <w:tcPr>
            <w:tcW w:w="1879" w:type="dxa"/>
            <w:vAlign w:val="center"/>
          </w:tcPr>
          <w:p w14:paraId="508D97E7" w14:textId="521D14D1" w:rsidR="00A07B13" w:rsidRPr="00265DCB" w:rsidRDefault="00A07B13" w:rsidP="00A1039E">
            <w:pPr>
              <w:spacing w:before="60" w:after="60"/>
              <w:jc w:val="center"/>
            </w:pPr>
            <w:r w:rsidRPr="00265DCB">
              <w:t>66.01</w:t>
            </w:r>
            <w:r w:rsidRPr="00265DCB">
              <w:rPr>
                <w:vertAlign w:val="superscript"/>
              </w:rPr>
              <w:t>b</w:t>
            </w:r>
            <w:r w:rsidRPr="00265DCB">
              <w:t>±4.24</w:t>
            </w:r>
          </w:p>
        </w:tc>
        <w:tc>
          <w:tcPr>
            <w:tcW w:w="1664" w:type="dxa"/>
            <w:vAlign w:val="center"/>
          </w:tcPr>
          <w:p w14:paraId="5419752E" w14:textId="3975E633" w:rsidR="00A07B13" w:rsidRPr="00265DCB" w:rsidRDefault="00A07B13" w:rsidP="00A1039E">
            <w:pPr>
              <w:spacing w:before="60" w:after="60"/>
              <w:jc w:val="center"/>
            </w:pPr>
            <w:r w:rsidRPr="00265DCB">
              <w:t>&lt; 5</w:t>
            </w:r>
          </w:p>
        </w:tc>
      </w:tr>
      <w:tr w:rsidR="00352A7D" w:rsidRPr="00265DCB" w14:paraId="7CC3BDB3" w14:textId="6FB14BB0" w:rsidTr="00265DCB">
        <w:tc>
          <w:tcPr>
            <w:tcW w:w="2977" w:type="dxa"/>
            <w:vAlign w:val="center"/>
          </w:tcPr>
          <w:p w14:paraId="1EA958FB" w14:textId="28E0B6B9" w:rsidR="00A07B13" w:rsidRPr="00265DCB" w:rsidRDefault="00A07B13" w:rsidP="00A1039E">
            <w:pPr>
              <w:pStyle w:val="ListParagraph"/>
              <w:numPr>
                <w:ilvl w:val="0"/>
                <w:numId w:val="2"/>
              </w:numPr>
              <w:spacing w:before="60" w:after="60" w:line="240" w:lineRule="auto"/>
              <w:ind w:left="246" w:hanging="270"/>
              <w:jc w:val="both"/>
              <w:rPr>
                <w:rFonts w:ascii="Times New Roman" w:hAnsi="Times New Roman" w:cs="Times New Roman"/>
              </w:rPr>
            </w:pPr>
            <w:r w:rsidRPr="00265DCB">
              <w:rPr>
                <w:rFonts w:ascii="Times New Roman" w:hAnsi="Times New Roman" w:cs="Times New Roman"/>
              </w:rPr>
              <w:t>Co (ppm)</w:t>
            </w:r>
          </w:p>
        </w:tc>
        <w:tc>
          <w:tcPr>
            <w:tcW w:w="1985" w:type="dxa"/>
            <w:vAlign w:val="center"/>
          </w:tcPr>
          <w:p w14:paraId="61C7588B" w14:textId="63A99576" w:rsidR="00A07B13" w:rsidRPr="00265DCB" w:rsidRDefault="00A07B13" w:rsidP="00A1039E">
            <w:pPr>
              <w:spacing w:before="60" w:after="60"/>
              <w:jc w:val="center"/>
            </w:pPr>
            <w:r w:rsidRPr="00265DCB">
              <w:t>4.55</w:t>
            </w:r>
            <w:r w:rsidRPr="00265DCB">
              <w:rPr>
                <w:vertAlign w:val="superscript"/>
              </w:rPr>
              <w:t>ab</w:t>
            </w:r>
            <w:r w:rsidRPr="00265DCB">
              <w:t>±0.56</w:t>
            </w:r>
          </w:p>
        </w:tc>
        <w:tc>
          <w:tcPr>
            <w:tcW w:w="1842" w:type="dxa"/>
            <w:vAlign w:val="center"/>
          </w:tcPr>
          <w:p w14:paraId="379CB1A6" w14:textId="7BD7C0A2" w:rsidR="00A07B13" w:rsidRPr="00265DCB" w:rsidRDefault="00A07B13" w:rsidP="00A1039E">
            <w:pPr>
              <w:spacing w:before="60" w:after="60"/>
              <w:jc w:val="center"/>
            </w:pPr>
            <w:r w:rsidRPr="00265DCB">
              <w:t>5.47</w:t>
            </w:r>
            <w:r w:rsidRPr="00265DCB">
              <w:rPr>
                <w:vertAlign w:val="superscript"/>
              </w:rPr>
              <w:t>a</w:t>
            </w:r>
            <w:r w:rsidRPr="00265DCB">
              <w:t>±0.43</w:t>
            </w:r>
          </w:p>
        </w:tc>
        <w:tc>
          <w:tcPr>
            <w:tcW w:w="1985" w:type="dxa"/>
            <w:vAlign w:val="center"/>
          </w:tcPr>
          <w:p w14:paraId="11580F64" w14:textId="1F05EEDB" w:rsidR="00A07B13" w:rsidRPr="00265DCB" w:rsidRDefault="00A07B13" w:rsidP="00A1039E">
            <w:pPr>
              <w:spacing w:before="60" w:after="60"/>
              <w:jc w:val="center"/>
            </w:pPr>
            <w:r w:rsidRPr="00265DCB">
              <w:t>4.34</w:t>
            </w:r>
            <w:r w:rsidRPr="00265DCB">
              <w:rPr>
                <w:vertAlign w:val="superscript"/>
              </w:rPr>
              <w:t>b</w:t>
            </w:r>
            <w:r w:rsidRPr="00265DCB">
              <w:t>±0.81</w:t>
            </w:r>
          </w:p>
        </w:tc>
        <w:tc>
          <w:tcPr>
            <w:tcW w:w="1843" w:type="dxa"/>
            <w:vAlign w:val="center"/>
          </w:tcPr>
          <w:p w14:paraId="7A5319E2" w14:textId="0B5FD22F" w:rsidR="00A07B13" w:rsidRPr="00265DCB" w:rsidRDefault="00A07B13" w:rsidP="00A1039E">
            <w:pPr>
              <w:spacing w:before="60" w:after="60"/>
              <w:jc w:val="center"/>
            </w:pPr>
            <w:r w:rsidRPr="00265DCB">
              <w:t>3.78</w:t>
            </w:r>
            <w:r w:rsidRPr="00265DCB">
              <w:rPr>
                <w:vertAlign w:val="superscript"/>
              </w:rPr>
              <w:t>bc</w:t>
            </w:r>
            <w:r w:rsidRPr="00265DCB">
              <w:t>±0.61</w:t>
            </w:r>
          </w:p>
        </w:tc>
        <w:tc>
          <w:tcPr>
            <w:tcW w:w="1879" w:type="dxa"/>
            <w:vAlign w:val="center"/>
          </w:tcPr>
          <w:p w14:paraId="6114F9E5" w14:textId="760F1D61" w:rsidR="00A07B13" w:rsidRPr="00265DCB" w:rsidRDefault="00A07B13" w:rsidP="00A1039E">
            <w:pPr>
              <w:spacing w:before="60" w:after="60"/>
              <w:jc w:val="center"/>
            </w:pPr>
            <w:r w:rsidRPr="00265DCB">
              <w:t>3.16</w:t>
            </w:r>
            <w:r w:rsidRPr="00265DCB">
              <w:rPr>
                <w:vertAlign w:val="superscript"/>
              </w:rPr>
              <w:t>c</w:t>
            </w:r>
            <w:r w:rsidRPr="00265DCB">
              <w:t>±0.08</w:t>
            </w:r>
          </w:p>
        </w:tc>
        <w:tc>
          <w:tcPr>
            <w:tcW w:w="1664" w:type="dxa"/>
            <w:vAlign w:val="center"/>
          </w:tcPr>
          <w:p w14:paraId="7FB180F1" w14:textId="77777777" w:rsidR="00A07B13" w:rsidRPr="00265DCB" w:rsidRDefault="00A07B13" w:rsidP="00A1039E">
            <w:pPr>
              <w:spacing w:before="60" w:after="60"/>
              <w:jc w:val="center"/>
            </w:pPr>
          </w:p>
        </w:tc>
      </w:tr>
      <w:tr w:rsidR="00352A7D" w:rsidRPr="00265DCB" w14:paraId="50987493" w14:textId="57AC8DDE" w:rsidTr="00265DCB">
        <w:tc>
          <w:tcPr>
            <w:tcW w:w="2977" w:type="dxa"/>
            <w:vAlign w:val="center"/>
          </w:tcPr>
          <w:p w14:paraId="7C51715D" w14:textId="27823692" w:rsidR="00A07B13" w:rsidRPr="00265DCB" w:rsidRDefault="00A07B13" w:rsidP="00A1039E">
            <w:pPr>
              <w:pStyle w:val="ListParagraph"/>
              <w:numPr>
                <w:ilvl w:val="0"/>
                <w:numId w:val="2"/>
              </w:numPr>
              <w:spacing w:before="60" w:after="60" w:line="240" w:lineRule="auto"/>
              <w:ind w:left="246" w:hanging="270"/>
              <w:jc w:val="both"/>
              <w:rPr>
                <w:rFonts w:ascii="Times New Roman" w:hAnsi="Times New Roman" w:cs="Times New Roman"/>
              </w:rPr>
            </w:pPr>
            <w:r w:rsidRPr="00265DCB">
              <w:rPr>
                <w:rFonts w:ascii="Times New Roman" w:hAnsi="Times New Roman" w:cs="Times New Roman"/>
              </w:rPr>
              <w:t>Se (µg/100 g)</w:t>
            </w:r>
          </w:p>
        </w:tc>
        <w:tc>
          <w:tcPr>
            <w:tcW w:w="1985" w:type="dxa"/>
            <w:vAlign w:val="center"/>
          </w:tcPr>
          <w:p w14:paraId="5B76E802" w14:textId="039C5A30" w:rsidR="00A07B13" w:rsidRPr="00265DCB" w:rsidRDefault="00A07B13" w:rsidP="00A1039E">
            <w:pPr>
              <w:spacing w:before="60" w:after="60"/>
              <w:jc w:val="center"/>
            </w:pPr>
            <w:r w:rsidRPr="00265DCB">
              <w:t>9.25</w:t>
            </w:r>
            <w:r w:rsidRPr="00265DCB">
              <w:rPr>
                <w:vertAlign w:val="superscript"/>
              </w:rPr>
              <w:t>ab</w:t>
            </w:r>
            <w:r w:rsidRPr="00265DCB">
              <w:t>±0.16</w:t>
            </w:r>
          </w:p>
        </w:tc>
        <w:tc>
          <w:tcPr>
            <w:tcW w:w="1842" w:type="dxa"/>
            <w:vAlign w:val="center"/>
          </w:tcPr>
          <w:p w14:paraId="7BAF6BDD" w14:textId="51D4E564" w:rsidR="00A07B13" w:rsidRPr="00265DCB" w:rsidRDefault="00A07B13" w:rsidP="00A1039E">
            <w:pPr>
              <w:spacing w:before="60" w:after="60"/>
              <w:jc w:val="center"/>
            </w:pPr>
            <w:r w:rsidRPr="00265DCB">
              <w:t>9.99</w:t>
            </w:r>
            <w:r w:rsidRPr="00265DCB">
              <w:rPr>
                <w:vertAlign w:val="superscript"/>
              </w:rPr>
              <w:t>ab</w:t>
            </w:r>
            <w:r w:rsidRPr="00265DCB">
              <w:t>±0.29</w:t>
            </w:r>
          </w:p>
        </w:tc>
        <w:tc>
          <w:tcPr>
            <w:tcW w:w="1985" w:type="dxa"/>
            <w:vAlign w:val="center"/>
          </w:tcPr>
          <w:p w14:paraId="13CA0702" w14:textId="6F711387" w:rsidR="00A07B13" w:rsidRPr="00265DCB" w:rsidRDefault="00A07B13" w:rsidP="00A1039E">
            <w:pPr>
              <w:spacing w:before="60" w:after="60"/>
              <w:jc w:val="center"/>
            </w:pPr>
            <w:r w:rsidRPr="00265DCB">
              <w:t>6.03</w:t>
            </w:r>
            <w:r w:rsidRPr="00265DCB">
              <w:rPr>
                <w:vertAlign w:val="superscript"/>
              </w:rPr>
              <w:t>b</w:t>
            </w:r>
            <w:r w:rsidRPr="00265DCB">
              <w:t>±4.88</w:t>
            </w:r>
          </w:p>
        </w:tc>
        <w:tc>
          <w:tcPr>
            <w:tcW w:w="1843" w:type="dxa"/>
            <w:vAlign w:val="center"/>
          </w:tcPr>
          <w:p w14:paraId="487B85CF" w14:textId="600718F4" w:rsidR="00A07B13" w:rsidRPr="00265DCB" w:rsidRDefault="00A07B13" w:rsidP="00A1039E">
            <w:pPr>
              <w:spacing w:before="60" w:after="60"/>
              <w:jc w:val="center"/>
            </w:pPr>
            <w:r w:rsidRPr="00265DCB">
              <w:t>11.45</w:t>
            </w:r>
            <w:r w:rsidRPr="00265DCB">
              <w:rPr>
                <w:vertAlign w:val="superscript"/>
              </w:rPr>
              <w:t>a</w:t>
            </w:r>
            <w:r w:rsidRPr="00265DCB">
              <w:t>±0.35</w:t>
            </w:r>
          </w:p>
        </w:tc>
        <w:tc>
          <w:tcPr>
            <w:tcW w:w="1879" w:type="dxa"/>
            <w:vAlign w:val="center"/>
          </w:tcPr>
          <w:p w14:paraId="45C924E0" w14:textId="0B552CAC" w:rsidR="00A07B13" w:rsidRPr="00265DCB" w:rsidRDefault="00A07B13" w:rsidP="00A1039E">
            <w:pPr>
              <w:spacing w:before="60" w:after="60"/>
              <w:jc w:val="center"/>
            </w:pPr>
            <w:r w:rsidRPr="00265DCB">
              <w:t>10.71</w:t>
            </w:r>
            <w:r w:rsidRPr="00265DCB">
              <w:rPr>
                <w:vertAlign w:val="superscript"/>
              </w:rPr>
              <w:t>a</w:t>
            </w:r>
            <w:r w:rsidRPr="00265DCB">
              <w:t>±0.33</w:t>
            </w:r>
          </w:p>
        </w:tc>
        <w:tc>
          <w:tcPr>
            <w:tcW w:w="1664" w:type="dxa"/>
            <w:vAlign w:val="center"/>
          </w:tcPr>
          <w:p w14:paraId="11CB6248" w14:textId="77777777" w:rsidR="00A07B13" w:rsidRPr="00265DCB" w:rsidRDefault="00A07B13" w:rsidP="00A1039E">
            <w:pPr>
              <w:spacing w:before="60" w:after="60"/>
              <w:jc w:val="center"/>
            </w:pPr>
          </w:p>
        </w:tc>
      </w:tr>
    </w:tbl>
    <w:p w14:paraId="016D011A" w14:textId="72B89D2A" w:rsidR="007C41A2" w:rsidRPr="00265DCB" w:rsidRDefault="00A07B13" w:rsidP="0072151C">
      <w:pPr>
        <w:jc w:val="both"/>
        <w:rPr>
          <w:sz w:val="20"/>
          <w:szCs w:val="20"/>
        </w:rPr>
      </w:pPr>
      <w:r w:rsidRPr="00265DCB">
        <w:rPr>
          <w:sz w:val="20"/>
          <w:szCs w:val="20"/>
        </w:rPr>
        <w:t xml:space="preserve">*) </w:t>
      </w:r>
      <w:r w:rsidR="00352A7D" w:rsidRPr="00265DCB">
        <w:rPr>
          <w:sz w:val="20"/>
          <w:szCs w:val="20"/>
        </w:rPr>
        <w:t xml:space="preserve"> McDowell (1985)</w:t>
      </w:r>
      <w:r w:rsidR="004709E4">
        <w:rPr>
          <w:sz w:val="20"/>
          <w:szCs w:val="20"/>
        </w:rPr>
        <w:t xml:space="preserve"> and</w:t>
      </w:r>
      <w:r w:rsidR="00352A7D" w:rsidRPr="00265DCB">
        <w:rPr>
          <w:sz w:val="20"/>
          <w:szCs w:val="20"/>
        </w:rPr>
        <w:t xml:space="preserve"> </w:t>
      </w:r>
      <w:r w:rsidRPr="00265DCB">
        <w:rPr>
          <w:sz w:val="20"/>
          <w:szCs w:val="20"/>
        </w:rPr>
        <w:t>Rhue and Kidder (1983)</w:t>
      </w:r>
    </w:p>
    <w:p w14:paraId="1F504F93" w14:textId="77777777" w:rsidR="00296F03" w:rsidRPr="00265DCB" w:rsidRDefault="00296F03" w:rsidP="0072151C">
      <w:pPr>
        <w:jc w:val="both"/>
      </w:pPr>
    </w:p>
    <w:p w14:paraId="70E8957A" w14:textId="77777777" w:rsidR="00296F03" w:rsidRDefault="00296F03" w:rsidP="0072151C">
      <w:pPr>
        <w:jc w:val="both"/>
      </w:pPr>
    </w:p>
    <w:p w14:paraId="4BF07739" w14:textId="77777777" w:rsidR="00A1039E" w:rsidRDefault="00A1039E" w:rsidP="0072151C">
      <w:pPr>
        <w:jc w:val="both"/>
      </w:pPr>
    </w:p>
    <w:p w14:paraId="0EE9153A" w14:textId="77777777" w:rsidR="00A1039E" w:rsidRDefault="00A1039E" w:rsidP="0072151C">
      <w:pPr>
        <w:jc w:val="both"/>
      </w:pPr>
    </w:p>
    <w:p w14:paraId="119DF06A" w14:textId="77777777" w:rsidR="00A1039E" w:rsidRDefault="00A1039E" w:rsidP="0072151C">
      <w:pPr>
        <w:jc w:val="both"/>
      </w:pPr>
    </w:p>
    <w:p w14:paraId="35C0F9BB" w14:textId="77777777" w:rsidR="00A1039E" w:rsidRDefault="00A1039E" w:rsidP="0072151C">
      <w:pPr>
        <w:jc w:val="both"/>
      </w:pPr>
    </w:p>
    <w:p w14:paraId="7DAF7F03" w14:textId="77777777" w:rsidR="00A1039E" w:rsidRPr="00265DCB" w:rsidRDefault="00A1039E" w:rsidP="0072151C">
      <w:pPr>
        <w:jc w:val="both"/>
      </w:pPr>
    </w:p>
    <w:p w14:paraId="1D767D59" w14:textId="77777777" w:rsidR="00296F03" w:rsidRPr="00265DCB" w:rsidRDefault="00296F03" w:rsidP="0072151C">
      <w:pPr>
        <w:jc w:val="both"/>
      </w:pPr>
    </w:p>
    <w:p w14:paraId="218D7AEE" w14:textId="312ECD61" w:rsidR="00173EFE" w:rsidRPr="00265DCB" w:rsidRDefault="00173EFE" w:rsidP="00173EFE">
      <w:pPr>
        <w:jc w:val="both"/>
      </w:pPr>
      <w:r w:rsidRPr="00265DCB">
        <w:lastRenderedPageBreak/>
        <w:t xml:space="preserve">Table </w:t>
      </w:r>
      <w:r w:rsidR="006E00C1" w:rsidRPr="00265DCB">
        <w:t>3</w:t>
      </w:r>
      <w:r w:rsidRPr="00265DCB">
        <w:t xml:space="preserve">. Mineral </w:t>
      </w:r>
      <w:r w:rsidR="00C3057C" w:rsidRPr="00265DCB">
        <w:t>mean concentration in forage samples collected from eruption-impacted areas in</w:t>
      </w:r>
      <w:r w:rsidRPr="00265DCB">
        <w:t xml:space="preserve"> five active volcanic mountains in Indonesia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819"/>
        <w:gridCol w:w="1980"/>
        <w:gridCol w:w="1800"/>
        <w:gridCol w:w="1800"/>
        <w:gridCol w:w="1819"/>
        <w:gridCol w:w="1350"/>
        <w:gridCol w:w="1350"/>
      </w:tblGrid>
      <w:tr w:rsidR="009D510B" w:rsidRPr="00265DCB" w14:paraId="4E51A931" w14:textId="2BA2D86D" w:rsidTr="00265DCB">
        <w:tc>
          <w:tcPr>
            <w:tcW w:w="1710" w:type="dxa"/>
            <w:tcBorders>
              <w:top w:val="single" w:sz="4" w:space="0" w:color="auto"/>
              <w:bottom w:val="single" w:sz="4" w:space="0" w:color="auto"/>
            </w:tcBorders>
            <w:vAlign w:val="center"/>
          </w:tcPr>
          <w:p w14:paraId="4BB1C870" w14:textId="77777777" w:rsidR="009D510B" w:rsidRPr="00265DCB" w:rsidRDefault="009D510B" w:rsidP="00603B4B">
            <w:pPr>
              <w:jc w:val="center"/>
            </w:pPr>
            <w:r w:rsidRPr="00265DCB">
              <w:t>Mineral</w:t>
            </w:r>
          </w:p>
        </w:tc>
        <w:tc>
          <w:tcPr>
            <w:tcW w:w="1819" w:type="dxa"/>
            <w:tcBorders>
              <w:top w:val="single" w:sz="4" w:space="0" w:color="auto"/>
              <w:bottom w:val="single" w:sz="4" w:space="0" w:color="auto"/>
            </w:tcBorders>
            <w:vAlign w:val="center"/>
          </w:tcPr>
          <w:p w14:paraId="7E635191" w14:textId="77777777" w:rsidR="009D510B" w:rsidRPr="00265DCB" w:rsidRDefault="009D510B" w:rsidP="00603B4B">
            <w:pPr>
              <w:jc w:val="center"/>
            </w:pPr>
            <w:r w:rsidRPr="00265DCB">
              <w:t>Agung</w:t>
            </w:r>
          </w:p>
        </w:tc>
        <w:tc>
          <w:tcPr>
            <w:tcW w:w="1980" w:type="dxa"/>
            <w:tcBorders>
              <w:top w:val="single" w:sz="4" w:space="0" w:color="auto"/>
              <w:bottom w:val="single" w:sz="4" w:space="0" w:color="auto"/>
            </w:tcBorders>
            <w:vAlign w:val="center"/>
          </w:tcPr>
          <w:p w14:paraId="433D228F" w14:textId="77777777" w:rsidR="009D510B" w:rsidRPr="00265DCB" w:rsidRDefault="009D510B" w:rsidP="00603B4B">
            <w:pPr>
              <w:jc w:val="center"/>
            </w:pPr>
            <w:proofErr w:type="spellStart"/>
            <w:r w:rsidRPr="00265DCB">
              <w:t>Gamalama</w:t>
            </w:r>
            <w:proofErr w:type="spellEnd"/>
          </w:p>
        </w:tc>
        <w:tc>
          <w:tcPr>
            <w:tcW w:w="1800" w:type="dxa"/>
            <w:tcBorders>
              <w:top w:val="single" w:sz="4" w:space="0" w:color="auto"/>
              <w:bottom w:val="single" w:sz="4" w:space="0" w:color="auto"/>
            </w:tcBorders>
            <w:vAlign w:val="center"/>
          </w:tcPr>
          <w:p w14:paraId="1B639D98" w14:textId="77777777" w:rsidR="009D510B" w:rsidRPr="00265DCB" w:rsidRDefault="009D510B" w:rsidP="00603B4B">
            <w:pPr>
              <w:jc w:val="center"/>
            </w:pPr>
            <w:proofErr w:type="spellStart"/>
            <w:r w:rsidRPr="00265DCB">
              <w:t>Lokon</w:t>
            </w:r>
            <w:proofErr w:type="spellEnd"/>
          </w:p>
        </w:tc>
        <w:tc>
          <w:tcPr>
            <w:tcW w:w="1800" w:type="dxa"/>
            <w:tcBorders>
              <w:top w:val="single" w:sz="4" w:space="0" w:color="auto"/>
              <w:bottom w:val="single" w:sz="4" w:space="0" w:color="auto"/>
            </w:tcBorders>
            <w:vAlign w:val="center"/>
          </w:tcPr>
          <w:p w14:paraId="57A19B4C" w14:textId="77777777" w:rsidR="009D510B" w:rsidRPr="00265DCB" w:rsidRDefault="009D510B" w:rsidP="00603B4B">
            <w:pPr>
              <w:jc w:val="center"/>
            </w:pPr>
            <w:r w:rsidRPr="00265DCB">
              <w:t>Merapi</w:t>
            </w:r>
          </w:p>
        </w:tc>
        <w:tc>
          <w:tcPr>
            <w:tcW w:w="1819" w:type="dxa"/>
            <w:tcBorders>
              <w:top w:val="single" w:sz="4" w:space="0" w:color="auto"/>
              <w:bottom w:val="single" w:sz="4" w:space="0" w:color="auto"/>
            </w:tcBorders>
            <w:vAlign w:val="center"/>
          </w:tcPr>
          <w:p w14:paraId="6DCF8C99" w14:textId="77777777" w:rsidR="009D510B" w:rsidRPr="00265DCB" w:rsidRDefault="009D510B" w:rsidP="00603B4B">
            <w:pPr>
              <w:jc w:val="center"/>
            </w:pPr>
            <w:r w:rsidRPr="00265DCB">
              <w:t>Sinabung</w:t>
            </w:r>
          </w:p>
        </w:tc>
        <w:tc>
          <w:tcPr>
            <w:tcW w:w="1350" w:type="dxa"/>
            <w:tcBorders>
              <w:top w:val="single" w:sz="4" w:space="0" w:color="auto"/>
              <w:bottom w:val="single" w:sz="4" w:space="0" w:color="auto"/>
            </w:tcBorders>
            <w:vAlign w:val="center"/>
          </w:tcPr>
          <w:p w14:paraId="7918E2CC" w14:textId="7872CDAF" w:rsidR="009D510B" w:rsidRPr="00265DCB" w:rsidRDefault="009D510B" w:rsidP="00603B4B">
            <w:pPr>
              <w:jc w:val="center"/>
            </w:pPr>
            <w:r w:rsidRPr="00265DCB">
              <w:t>Critical Level</w:t>
            </w:r>
            <w:r w:rsidRPr="00265DCB">
              <w:rPr>
                <w:vertAlign w:val="superscript"/>
              </w:rPr>
              <w:t>*)</w:t>
            </w:r>
            <w:r w:rsidRPr="00265DCB">
              <w:t xml:space="preserve"> </w:t>
            </w:r>
          </w:p>
        </w:tc>
        <w:tc>
          <w:tcPr>
            <w:tcW w:w="1350" w:type="dxa"/>
            <w:tcBorders>
              <w:top w:val="single" w:sz="4" w:space="0" w:color="auto"/>
              <w:bottom w:val="single" w:sz="4" w:space="0" w:color="auto"/>
            </w:tcBorders>
            <w:vAlign w:val="center"/>
          </w:tcPr>
          <w:p w14:paraId="2155A4AB" w14:textId="4A47A950" w:rsidR="009D510B" w:rsidRPr="00265DCB" w:rsidRDefault="00747493" w:rsidP="009D510B">
            <w:pPr>
              <w:jc w:val="center"/>
            </w:pPr>
            <w:r w:rsidRPr="00265DCB">
              <w:t>Maximum tolerable level</w:t>
            </w:r>
            <w:r w:rsidR="005258AA" w:rsidRPr="00265DCB">
              <w:rPr>
                <w:vertAlign w:val="superscript"/>
              </w:rPr>
              <w:t>*</w:t>
            </w:r>
            <w:r w:rsidR="005E6E87" w:rsidRPr="00265DCB">
              <w:rPr>
                <w:vertAlign w:val="superscript"/>
              </w:rPr>
              <w:t>*</w:t>
            </w:r>
            <w:r w:rsidR="005258AA" w:rsidRPr="00265DCB">
              <w:rPr>
                <w:vertAlign w:val="superscript"/>
              </w:rPr>
              <w:t>)</w:t>
            </w:r>
          </w:p>
        </w:tc>
      </w:tr>
      <w:tr w:rsidR="009D510B" w:rsidRPr="00265DCB" w14:paraId="0DC7EC59" w14:textId="6D9AEA24" w:rsidTr="00265DCB">
        <w:tc>
          <w:tcPr>
            <w:tcW w:w="3529" w:type="dxa"/>
            <w:gridSpan w:val="2"/>
            <w:tcBorders>
              <w:top w:val="single" w:sz="4" w:space="0" w:color="auto"/>
            </w:tcBorders>
          </w:tcPr>
          <w:p w14:paraId="4E567240" w14:textId="40D48311" w:rsidR="009D510B" w:rsidRPr="00265DCB" w:rsidRDefault="009D510B" w:rsidP="00A1039E">
            <w:pPr>
              <w:spacing w:before="60" w:after="60"/>
              <w:jc w:val="both"/>
            </w:pPr>
            <w:r w:rsidRPr="00265DCB">
              <w:t>Macro minerals (% DM)</w:t>
            </w:r>
          </w:p>
        </w:tc>
        <w:tc>
          <w:tcPr>
            <w:tcW w:w="1980" w:type="dxa"/>
            <w:tcBorders>
              <w:top w:val="single" w:sz="4" w:space="0" w:color="auto"/>
            </w:tcBorders>
          </w:tcPr>
          <w:p w14:paraId="6569EC52" w14:textId="77777777" w:rsidR="009D510B" w:rsidRPr="00265DCB" w:rsidRDefault="009D510B" w:rsidP="00A1039E">
            <w:pPr>
              <w:spacing w:before="60" w:after="60"/>
              <w:jc w:val="both"/>
            </w:pPr>
          </w:p>
        </w:tc>
        <w:tc>
          <w:tcPr>
            <w:tcW w:w="1800" w:type="dxa"/>
            <w:tcBorders>
              <w:top w:val="single" w:sz="4" w:space="0" w:color="auto"/>
            </w:tcBorders>
          </w:tcPr>
          <w:p w14:paraId="2B9BF549" w14:textId="77777777" w:rsidR="009D510B" w:rsidRPr="00265DCB" w:rsidRDefault="009D510B" w:rsidP="00A1039E">
            <w:pPr>
              <w:spacing w:before="60" w:after="60"/>
              <w:jc w:val="both"/>
            </w:pPr>
          </w:p>
        </w:tc>
        <w:tc>
          <w:tcPr>
            <w:tcW w:w="1800" w:type="dxa"/>
            <w:tcBorders>
              <w:top w:val="single" w:sz="4" w:space="0" w:color="auto"/>
            </w:tcBorders>
          </w:tcPr>
          <w:p w14:paraId="191DAFCA" w14:textId="77777777" w:rsidR="009D510B" w:rsidRPr="00265DCB" w:rsidRDefault="009D510B" w:rsidP="00A1039E">
            <w:pPr>
              <w:spacing w:before="60" w:after="60"/>
              <w:jc w:val="both"/>
            </w:pPr>
          </w:p>
        </w:tc>
        <w:tc>
          <w:tcPr>
            <w:tcW w:w="1819" w:type="dxa"/>
            <w:tcBorders>
              <w:top w:val="single" w:sz="4" w:space="0" w:color="auto"/>
            </w:tcBorders>
          </w:tcPr>
          <w:p w14:paraId="22ED89B0" w14:textId="77777777" w:rsidR="009D510B" w:rsidRPr="00265DCB" w:rsidRDefault="009D510B" w:rsidP="00A1039E">
            <w:pPr>
              <w:spacing w:before="60" w:after="60"/>
              <w:jc w:val="both"/>
            </w:pPr>
          </w:p>
        </w:tc>
        <w:tc>
          <w:tcPr>
            <w:tcW w:w="1350" w:type="dxa"/>
            <w:tcBorders>
              <w:top w:val="single" w:sz="4" w:space="0" w:color="auto"/>
            </w:tcBorders>
          </w:tcPr>
          <w:p w14:paraId="01082151" w14:textId="67499F38" w:rsidR="009D510B" w:rsidRPr="00265DCB" w:rsidRDefault="005258AA" w:rsidP="00A1039E">
            <w:pPr>
              <w:spacing w:before="60" w:after="60"/>
              <w:jc w:val="center"/>
            </w:pPr>
            <w:r w:rsidRPr="00265DCB">
              <w:t>(%)</w:t>
            </w:r>
          </w:p>
        </w:tc>
        <w:tc>
          <w:tcPr>
            <w:tcW w:w="1350" w:type="dxa"/>
            <w:tcBorders>
              <w:top w:val="single" w:sz="4" w:space="0" w:color="auto"/>
            </w:tcBorders>
          </w:tcPr>
          <w:p w14:paraId="6B1565DB" w14:textId="77777777" w:rsidR="009D510B" w:rsidRPr="00265DCB" w:rsidRDefault="009D510B" w:rsidP="00A1039E">
            <w:pPr>
              <w:spacing w:before="60" w:after="60"/>
              <w:jc w:val="both"/>
            </w:pPr>
          </w:p>
        </w:tc>
      </w:tr>
      <w:tr w:rsidR="009D510B" w:rsidRPr="00265DCB" w14:paraId="561F1DDC" w14:textId="2EF16949" w:rsidTr="00265DCB">
        <w:tc>
          <w:tcPr>
            <w:tcW w:w="1710" w:type="dxa"/>
          </w:tcPr>
          <w:p w14:paraId="49C2C9C7" w14:textId="228E7DCC" w:rsidR="009D510B" w:rsidRPr="00265DCB" w:rsidRDefault="009D510B" w:rsidP="00A1039E">
            <w:pPr>
              <w:pStyle w:val="ListParagraph"/>
              <w:numPr>
                <w:ilvl w:val="0"/>
                <w:numId w:val="1"/>
              </w:numPr>
              <w:spacing w:before="60" w:after="60" w:line="240" w:lineRule="auto"/>
              <w:ind w:left="246" w:hanging="246"/>
              <w:jc w:val="both"/>
              <w:rPr>
                <w:rFonts w:ascii="Times New Roman" w:hAnsi="Times New Roman" w:cs="Times New Roman"/>
              </w:rPr>
            </w:pPr>
            <w:r w:rsidRPr="00265DCB">
              <w:rPr>
                <w:rFonts w:ascii="Times New Roman" w:hAnsi="Times New Roman" w:cs="Times New Roman"/>
              </w:rPr>
              <w:t xml:space="preserve">Ca </w:t>
            </w:r>
          </w:p>
        </w:tc>
        <w:tc>
          <w:tcPr>
            <w:tcW w:w="1819" w:type="dxa"/>
          </w:tcPr>
          <w:p w14:paraId="50C3C104" w14:textId="014BF5C9" w:rsidR="009D510B" w:rsidRPr="00265DCB" w:rsidRDefault="009D510B" w:rsidP="00A1039E">
            <w:pPr>
              <w:spacing w:before="60" w:after="60"/>
              <w:jc w:val="center"/>
            </w:pPr>
            <w:r w:rsidRPr="00265DCB">
              <w:t>0.66</w:t>
            </w:r>
            <w:r w:rsidRPr="00265DCB">
              <w:rPr>
                <w:vertAlign w:val="superscript"/>
              </w:rPr>
              <w:t>ab</w:t>
            </w:r>
            <w:r w:rsidRPr="00265DCB">
              <w:t>±0.06</w:t>
            </w:r>
          </w:p>
        </w:tc>
        <w:tc>
          <w:tcPr>
            <w:tcW w:w="1980" w:type="dxa"/>
          </w:tcPr>
          <w:p w14:paraId="00D09B9C" w14:textId="5A20CE53" w:rsidR="009D510B" w:rsidRPr="00265DCB" w:rsidRDefault="009D510B" w:rsidP="00A1039E">
            <w:pPr>
              <w:spacing w:before="60" w:after="60"/>
              <w:jc w:val="center"/>
            </w:pPr>
            <w:r w:rsidRPr="00265DCB">
              <w:t>0.59</w:t>
            </w:r>
            <w:r w:rsidRPr="00265DCB">
              <w:rPr>
                <w:vertAlign w:val="superscript"/>
              </w:rPr>
              <w:t>b</w:t>
            </w:r>
            <w:r w:rsidRPr="00265DCB">
              <w:t>±0.07</w:t>
            </w:r>
          </w:p>
        </w:tc>
        <w:tc>
          <w:tcPr>
            <w:tcW w:w="1800" w:type="dxa"/>
          </w:tcPr>
          <w:p w14:paraId="5DEE6B63" w14:textId="379829BC" w:rsidR="009D510B" w:rsidRPr="00265DCB" w:rsidRDefault="009D510B" w:rsidP="00A1039E">
            <w:pPr>
              <w:spacing w:before="60" w:after="60"/>
              <w:jc w:val="center"/>
            </w:pPr>
            <w:r w:rsidRPr="00265DCB">
              <w:t>0.75</w:t>
            </w:r>
            <w:r w:rsidRPr="00265DCB">
              <w:rPr>
                <w:vertAlign w:val="superscript"/>
              </w:rPr>
              <w:t>a</w:t>
            </w:r>
            <w:r w:rsidRPr="00265DCB">
              <w:t>±0.11</w:t>
            </w:r>
          </w:p>
        </w:tc>
        <w:tc>
          <w:tcPr>
            <w:tcW w:w="1800" w:type="dxa"/>
          </w:tcPr>
          <w:p w14:paraId="1E9AAC41" w14:textId="6385DF98" w:rsidR="009D510B" w:rsidRPr="00265DCB" w:rsidRDefault="009D510B" w:rsidP="00A1039E">
            <w:pPr>
              <w:spacing w:before="60" w:after="60"/>
              <w:jc w:val="center"/>
            </w:pPr>
            <w:r w:rsidRPr="00265DCB">
              <w:t>0.76</w:t>
            </w:r>
            <w:r w:rsidRPr="00265DCB">
              <w:rPr>
                <w:vertAlign w:val="superscript"/>
              </w:rPr>
              <w:t>a</w:t>
            </w:r>
            <w:r w:rsidRPr="00265DCB">
              <w:t>±0.02</w:t>
            </w:r>
          </w:p>
        </w:tc>
        <w:tc>
          <w:tcPr>
            <w:tcW w:w="1819" w:type="dxa"/>
          </w:tcPr>
          <w:p w14:paraId="2ECEFF26" w14:textId="21DFC34E" w:rsidR="009D510B" w:rsidRPr="00265DCB" w:rsidRDefault="009D510B" w:rsidP="00A1039E">
            <w:pPr>
              <w:spacing w:before="60" w:after="60"/>
              <w:jc w:val="center"/>
            </w:pPr>
            <w:r w:rsidRPr="00265DCB">
              <w:t>0.52</w:t>
            </w:r>
            <w:r w:rsidRPr="00265DCB">
              <w:rPr>
                <w:vertAlign w:val="superscript"/>
              </w:rPr>
              <w:t>b</w:t>
            </w:r>
            <w:r w:rsidRPr="00265DCB">
              <w:t>±0.13</w:t>
            </w:r>
          </w:p>
        </w:tc>
        <w:tc>
          <w:tcPr>
            <w:tcW w:w="1350" w:type="dxa"/>
          </w:tcPr>
          <w:p w14:paraId="10EBFFC7" w14:textId="1BDED5EF" w:rsidR="009D510B" w:rsidRPr="00265DCB" w:rsidRDefault="009D510B" w:rsidP="00A1039E">
            <w:pPr>
              <w:spacing w:before="60" w:after="60"/>
              <w:jc w:val="center"/>
            </w:pPr>
            <w:r w:rsidRPr="00265DCB">
              <w:t>&lt; 0.30</w:t>
            </w:r>
          </w:p>
        </w:tc>
        <w:tc>
          <w:tcPr>
            <w:tcW w:w="1350" w:type="dxa"/>
          </w:tcPr>
          <w:p w14:paraId="7E60F08E" w14:textId="555DDA3E" w:rsidR="009D510B" w:rsidRPr="00265DCB" w:rsidRDefault="009D510B" w:rsidP="00A1039E">
            <w:pPr>
              <w:spacing w:before="60" w:after="60"/>
              <w:jc w:val="center"/>
            </w:pPr>
          </w:p>
        </w:tc>
      </w:tr>
      <w:tr w:rsidR="009D510B" w:rsidRPr="00265DCB" w14:paraId="134ED28D" w14:textId="67F96C06" w:rsidTr="00265DCB">
        <w:tc>
          <w:tcPr>
            <w:tcW w:w="1710" w:type="dxa"/>
          </w:tcPr>
          <w:p w14:paraId="02C95E96" w14:textId="49B5B0D4" w:rsidR="009D510B" w:rsidRPr="00265DCB" w:rsidRDefault="009D510B" w:rsidP="00A1039E">
            <w:pPr>
              <w:pStyle w:val="ListParagraph"/>
              <w:numPr>
                <w:ilvl w:val="0"/>
                <w:numId w:val="1"/>
              </w:numPr>
              <w:spacing w:before="60" w:after="60" w:line="240" w:lineRule="auto"/>
              <w:ind w:left="246" w:hanging="246"/>
              <w:jc w:val="both"/>
              <w:rPr>
                <w:rFonts w:ascii="Times New Roman" w:hAnsi="Times New Roman" w:cs="Times New Roman"/>
              </w:rPr>
            </w:pPr>
            <w:r w:rsidRPr="00265DCB">
              <w:rPr>
                <w:rFonts w:ascii="Times New Roman" w:hAnsi="Times New Roman" w:cs="Times New Roman"/>
              </w:rPr>
              <w:t xml:space="preserve">P </w:t>
            </w:r>
          </w:p>
        </w:tc>
        <w:tc>
          <w:tcPr>
            <w:tcW w:w="1819" w:type="dxa"/>
          </w:tcPr>
          <w:p w14:paraId="023E55EC" w14:textId="68C242A8" w:rsidR="009D510B" w:rsidRPr="00265DCB" w:rsidRDefault="009D510B" w:rsidP="00A1039E">
            <w:pPr>
              <w:spacing w:before="60" w:after="60"/>
              <w:jc w:val="center"/>
            </w:pPr>
            <w:r w:rsidRPr="00265DCB">
              <w:t>0.24</w:t>
            </w:r>
            <w:r w:rsidRPr="00265DCB">
              <w:rPr>
                <w:vertAlign w:val="superscript"/>
              </w:rPr>
              <w:t>bc</w:t>
            </w:r>
            <w:r w:rsidRPr="00265DCB">
              <w:t>±0.06</w:t>
            </w:r>
          </w:p>
        </w:tc>
        <w:tc>
          <w:tcPr>
            <w:tcW w:w="1980" w:type="dxa"/>
          </w:tcPr>
          <w:p w14:paraId="2C72DF68" w14:textId="7F84232F" w:rsidR="009D510B" w:rsidRPr="00265DCB" w:rsidRDefault="009D510B" w:rsidP="00A1039E">
            <w:pPr>
              <w:spacing w:before="60" w:after="60"/>
              <w:jc w:val="center"/>
            </w:pPr>
            <w:r w:rsidRPr="00265DCB">
              <w:t>0.09</w:t>
            </w:r>
            <w:r w:rsidRPr="00265DCB">
              <w:rPr>
                <w:vertAlign w:val="superscript"/>
              </w:rPr>
              <w:t>d</w:t>
            </w:r>
            <w:r w:rsidRPr="00265DCB">
              <w:t>±0.02</w:t>
            </w:r>
          </w:p>
        </w:tc>
        <w:tc>
          <w:tcPr>
            <w:tcW w:w="1800" w:type="dxa"/>
          </w:tcPr>
          <w:p w14:paraId="4DF16ABF" w14:textId="0B46C175" w:rsidR="009D510B" w:rsidRPr="00265DCB" w:rsidRDefault="009D510B" w:rsidP="00A1039E">
            <w:pPr>
              <w:spacing w:before="60" w:after="60"/>
              <w:jc w:val="center"/>
            </w:pPr>
            <w:r w:rsidRPr="00265DCB">
              <w:t>0.36</w:t>
            </w:r>
            <w:r w:rsidRPr="00265DCB">
              <w:rPr>
                <w:vertAlign w:val="superscript"/>
              </w:rPr>
              <w:t>a</w:t>
            </w:r>
            <w:r w:rsidRPr="00265DCB">
              <w:t>±0.05</w:t>
            </w:r>
          </w:p>
        </w:tc>
        <w:tc>
          <w:tcPr>
            <w:tcW w:w="1800" w:type="dxa"/>
          </w:tcPr>
          <w:p w14:paraId="41990F02" w14:textId="06C3F4D4" w:rsidR="009D510B" w:rsidRPr="00265DCB" w:rsidRDefault="009D510B" w:rsidP="00A1039E">
            <w:pPr>
              <w:spacing w:before="60" w:after="60"/>
              <w:jc w:val="center"/>
            </w:pPr>
            <w:r w:rsidRPr="00265DCB">
              <w:t>0.31</w:t>
            </w:r>
            <w:r w:rsidRPr="00265DCB">
              <w:rPr>
                <w:vertAlign w:val="superscript"/>
              </w:rPr>
              <w:t>ab</w:t>
            </w:r>
            <w:r w:rsidRPr="00265DCB">
              <w:t>±0.06</w:t>
            </w:r>
          </w:p>
        </w:tc>
        <w:tc>
          <w:tcPr>
            <w:tcW w:w="1819" w:type="dxa"/>
          </w:tcPr>
          <w:p w14:paraId="27E18F9A" w14:textId="26940CC2" w:rsidR="009D510B" w:rsidRPr="00265DCB" w:rsidRDefault="009D510B" w:rsidP="00A1039E">
            <w:pPr>
              <w:spacing w:before="60" w:after="60"/>
              <w:jc w:val="center"/>
            </w:pPr>
            <w:r w:rsidRPr="00265DCB">
              <w:t>0.22</w:t>
            </w:r>
            <w:r w:rsidRPr="00265DCB">
              <w:rPr>
                <w:vertAlign w:val="superscript"/>
              </w:rPr>
              <w:t>c</w:t>
            </w:r>
            <w:r w:rsidRPr="00265DCB">
              <w:t>±0.05</w:t>
            </w:r>
          </w:p>
        </w:tc>
        <w:tc>
          <w:tcPr>
            <w:tcW w:w="1350" w:type="dxa"/>
          </w:tcPr>
          <w:p w14:paraId="0E6BD4DE" w14:textId="4EC1E812" w:rsidR="009D510B" w:rsidRPr="00265DCB" w:rsidRDefault="009D510B" w:rsidP="00A1039E">
            <w:pPr>
              <w:spacing w:before="60" w:after="60"/>
              <w:jc w:val="center"/>
            </w:pPr>
            <w:r w:rsidRPr="00265DCB">
              <w:t>&lt; 0.25</w:t>
            </w:r>
          </w:p>
        </w:tc>
        <w:tc>
          <w:tcPr>
            <w:tcW w:w="1350" w:type="dxa"/>
          </w:tcPr>
          <w:p w14:paraId="66B20682" w14:textId="0C8A57CA" w:rsidR="009D510B" w:rsidRPr="00265DCB" w:rsidRDefault="009D510B" w:rsidP="00A1039E">
            <w:pPr>
              <w:spacing w:before="60" w:after="60"/>
              <w:jc w:val="center"/>
            </w:pPr>
          </w:p>
        </w:tc>
      </w:tr>
      <w:tr w:rsidR="009D510B" w:rsidRPr="00265DCB" w14:paraId="26A44D82" w14:textId="56B08B62" w:rsidTr="00265DCB">
        <w:tc>
          <w:tcPr>
            <w:tcW w:w="1710" w:type="dxa"/>
          </w:tcPr>
          <w:p w14:paraId="51F02943" w14:textId="09AFF3D2" w:rsidR="009D510B" w:rsidRPr="00265DCB" w:rsidRDefault="009D510B" w:rsidP="00A1039E">
            <w:pPr>
              <w:pStyle w:val="ListParagraph"/>
              <w:numPr>
                <w:ilvl w:val="0"/>
                <w:numId w:val="1"/>
              </w:numPr>
              <w:spacing w:before="60" w:after="60" w:line="240" w:lineRule="auto"/>
              <w:ind w:left="246" w:hanging="246"/>
              <w:jc w:val="both"/>
              <w:rPr>
                <w:rFonts w:ascii="Times New Roman" w:hAnsi="Times New Roman" w:cs="Times New Roman"/>
              </w:rPr>
            </w:pPr>
            <w:r w:rsidRPr="00265DCB">
              <w:rPr>
                <w:rFonts w:ascii="Times New Roman" w:hAnsi="Times New Roman" w:cs="Times New Roman"/>
              </w:rPr>
              <w:t xml:space="preserve">Mg </w:t>
            </w:r>
          </w:p>
        </w:tc>
        <w:tc>
          <w:tcPr>
            <w:tcW w:w="1819" w:type="dxa"/>
          </w:tcPr>
          <w:p w14:paraId="056BD878" w14:textId="5D6EEC0E" w:rsidR="009D510B" w:rsidRPr="00265DCB" w:rsidRDefault="009D510B" w:rsidP="00A1039E">
            <w:pPr>
              <w:spacing w:before="60" w:after="60"/>
              <w:jc w:val="center"/>
            </w:pPr>
            <w:r w:rsidRPr="00265DCB">
              <w:t>0.39</w:t>
            </w:r>
            <w:r w:rsidRPr="00265DCB">
              <w:rPr>
                <w:vertAlign w:val="superscript"/>
              </w:rPr>
              <w:t>a</w:t>
            </w:r>
            <w:r w:rsidRPr="00265DCB">
              <w:t>±0.06</w:t>
            </w:r>
          </w:p>
        </w:tc>
        <w:tc>
          <w:tcPr>
            <w:tcW w:w="1980" w:type="dxa"/>
          </w:tcPr>
          <w:p w14:paraId="155C2101" w14:textId="0362CC73" w:rsidR="009D510B" w:rsidRPr="00265DCB" w:rsidRDefault="009D510B" w:rsidP="00A1039E">
            <w:pPr>
              <w:spacing w:before="60" w:after="60"/>
              <w:jc w:val="center"/>
            </w:pPr>
            <w:r w:rsidRPr="00265DCB">
              <w:t>0.26</w:t>
            </w:r>
            <w:r w:rsidRPr="00265DCB">
              <w:rPr>
                <w:vertAlign w:val="superscript"/>
              </w:rPr>
              <w:t>c</w:t>
            </w:r>
            <w:r w:rsidRPr="00265DCB">
              <w:t>±0.02</w:t>
            </w:r>
          </w:p>
        </w:tc>
        <w:tc>
          <w:tcPr>
            <w:tcW w:w="1800" w:type="dxa"/>
          </w:tcPr>
          <w:p w14:paraId="0A6AD9B1" w14:textId="35A6D6E1" w:rsidR="009D510B" w:rsidRPr="00265DCB" w:rsidRDefault="009D510B" w:rsidP="00A1039E">
            <w:pPr>
              <w:spacing w:before="60" w:after="60"/>
              <w:jc w:val="center"/>
            </w:pPr>
            <w:r w:rsidRPr="00265DCB">
              <w:t>0.36</w:t>
            </w:r>
            <w:r w:rsidRPr="00265DCB">
              <w:rPr>
                <w:vertAlign w:val="superscript"/>
              </w:rPr>
              <w:t>ab</w:t>
            </w:r>
            <w:r w:rsidRPr="00265DCB">
              <w:t>±0.02</w:t>
            </w:r>
          </w:p>
        </w:tc>
        <w:tc>
          <w:tcPr>
            <w:tcW w:w="1800" w:type="dxa"/>
          </w:tcPr>
          <w:p w14:paraId="402E02DD" w14:textId="79CED2B8" w:rsidR="009D510B" w:rsidRPr="00265DCB" w:rsidRDefault="009D510B" w:rsidP="00A1039E">
            <w:pPr>
              <w:spacing w:before="60" w:after="60"/>
              <w:jc w:val="center"/>
            </w:pPr>
            <w:r w:rsidRPr="00265DCB">
              <w:t>0.29</w:t>
            </w:r>
            <w:r w:rsidRPr="00265DCB">
              <w:rPr>
                <w:vertAlign w:val="superscript"/>
              </w:rPr>
              <w:t>abc</w:t>
            </w:r>
            <w:r w:rsidRPr="00265DCB">
              <w:t>±0.03</w:t>
            </w:r>
          </w:p>
        </w:tc>
        <w:tc>
          <w:tcPr>
            <w:tcW w:w="1819" w:type="dxa"/>
          </w:tcPr>
          <w:p w14:paraId="4030AE87" w14:textId="7FDFF48D" w:rsidR="009D510B" w:rsidRPr="00265DCB" w:rsidRDefault="009D510B" w:rsidP="00A1039E">
            <w:pPr>
              <w:spacing w:before="60" w:after="60"/>
              <w:jc w:val="center"/>
            </w:pPr>
            <w:r w:rsidRPr="00265DCB">
              <w:t>0.26</w:t>
            </w:r>
            <w:r w:rsidRPr="00265DCB">
              <w:rPr>
                <w:vertAlign w:val="superscript"/>
              </w:rPr>
              <w:t>bc</w:t>
            </w:r>
            <w:r w:rsidRPr="00265DCB">
              <w:t>±0.07</w:t>
            </w:r>
          </w:p>
        </w:tc>
        <w:tc>
          <w:tcPr>
            <w:tcW w:w="1350" w:type="dxa"/>
          </w:tcPr>
          <w:p w14:paraId="68B0BE90" w14:textId="7FF0E7DB" w:rsidR="009D510B" w:rsidRPr="00265DCB" w:rsidRDefault="009D510B" w:rsidP="00A1039E">
            <w:pPr>
              <w:spacing w:before="60" w:after="60"/>
              <w:jc w:val="center"/>
            </w:pPr>
            <w:r w:rsidRPr="00265DCB">
              <w:t>&lt; 0.10</w:t>
            </w:r>
          </w:p>
        </w:tc>
        <w:tc>
          <w:tcPr>
            <w:tcW w:w="1350" w:type="dxa"/>
          </w:tcPr>
          <w:p w14:paraId="4DE0067E" w14:textId="186860B4" w:rsidR="009D510B" w:rsidRPr="00265DCB" w:rsidRDefault="009D510B" w:rsidP="00A1039E">
            <w:pPr>
              <w:spacing w:before="60" w:after="60"/>
              <w:jc w:val="center"/>
            </w:pPr>
            <w:r w:rsidRPr="00265DCB">
              <w:t>0.</w:t>
            </w:r>
            <w:r w:rsidR="00747493" w:rsidRPr="00265DCB">
              <w:t>40</w:t>
            </w:r>
          </w:p>
        </w:tc>
      </w:tr>
      <w:tr w:rsidR="009D510B" w:rsidRPr="00265DCB" w14:paraId="1EAAB442" w14:textId="2665EC16" w:rsidTr="00265DCB">
        <w:tc>
          <w:tcPr>
            <w:tcW w:w="1710" w:type="dxa"/>
          </w:tcPr>
          <w:p w14:paraId="083E2D40" w14:textId="56CD0702" w:rsidR="009D510B" w:rsidRPr="00265DCB" w:rsidRDefault="009D510B" w:rsidP="00A1039E">
            <w:pPr>
              <w:pStyle w:val="ListParagraph"/>
              <w:numPr>
                <w:ilvl w:val="0"/>
                <w:numId w:val="1"/>
              </w:numPr>
              <w:spacing w:before="60" w:after="60" w:line="240" w:lineRule="auto"/>
              <w:ind w:left="246" w:hanging="246"/>
              <w:jc w:val="both"/>
              <w:rPr>
                <w:rFonts w:ascii="Times New Roman" w:hAnsi="Times New Roman" w:cs="Times New Roman"/>
              </w:rPr>
            </w:pPr>
            <w:r w:rsidRPr="00265DCB">
              <w:rPr>
                <w:rFonts w:ascii="Times New Roman" w:hAnsi="Times New Roman" w:cs="Times New Roman"/>
              </w:rPr>
              <w:t>K</w:t>
            </w:r>
          </w:p>
        </w:tc>
        <w:tc>
          <w:tcPr>
            <w:tcW w:w="1819" w:type="dxa"/>
          </w:tcPr>
          <w:p w14:paraId="545AAC7E" w14:textId="18BA3A9B" w:rsidR="009D510B" w:rsidRPr="00265DCB" w:rsidRDefault="009D510B" w:rsidP="00A1039E">
            <w:pPr>
              <w:spacing w:before="60" w:after="60"/>
              <w:jc w:val="center"/>
            </w:pPr>
            <w:r w:rsidRPr="00265DCB">
              <w:t>3.12</w:t>
            </w:r>
            <w:r w:rsidRPr="00265DCB">
              <w:rPr>
                <w:vertAlign w:val="superscript"/>
              </w:rPr>
              <w:t>b</w:t>
            </w:r>
            <w:r w:rsidRPr="00265DCB">
              <w:t>±0.41</w:t>
            </w:r>
          </w:p>
        </w:tc>
        <w:tc>
          <w:tcPr>
            <w:tcW w:w="1980" w:type="dxa"/>
          </w:tcPr>
          <w:p w14:paraId="3598391D" w14:textId="3B6714C4" w:rsidR="009D510B" w:rsidRPr="00265DCB" w:rsidRDefault="009D510B" w:rsidP="00A1039E">
            <w:pPr>
              <w:spacing w:before="60" w:after="60"/>
              <w:jc w:val="center"/>
            </w:pPr>
            <w:r w:rsidRPr="00265DCB">
              <w:t>1.55</w:t>
            </w:r>
            <w:r w:rsidRPr="00265DCB">
              <w:rPr>
                <w:vertAlign w:val="superscript"/>
              </w:rPr>
              <w:t>c</w:t>
            </w:r>
            <w:r w:rsidRPr="00265DCB">
              <w:t>±0.33</w:t>
            </w:r>
          </w:p>
        </w:tc>
        <w:tc>
          <w:tcPr>
            <w:tcW w:w="1800" w:type="dxa"/>
          </w:tcPr>
          <w:p w14:paraId="2BD3D11F" w14:textId="7C946F7A" w:rsidR="009D510B" w:rsidRPr="00265DCB" w:rsidRDefault="009D510B" w:rsidP="00A1039E">
            <w:pPr>
              <w:spacing w:before="60" w:after="60"/>
              <w:jc w:val="center"/>
            </w:pPr>
            <w:r w:rsidRPr="00265DCB">
              <w:t>4.21</w:t>
            </w:r>
            <w:r w:rsidRPr="00265DCB">
              <w:rPr>
                <w:vertAlign w:val="superscript"/>
              </w:rPr>
              <w:t>a</w:t>
            </w:r>
            <w:r w:rsidRPr="00265DCB">
              <w:t>±0.82</w:t>
            </w:r>
          </w:p>
        </w:tc>
        <w:tc>
          <w:tcPr>
            <w:tcW w:w="1800" w:type="dxa"/>
          </w:tcPr>
          <w:p w14:paraId="780A65F4" w14:textId="65859813" w:rsidR="009D510B" w:rsidRPr="00265DCB" w:rsidRDefault="009D510B" w:rsidP="00A1039E">
            <w:pPr>
              <w:spacing w:before="60" w:after="60"/>
              <w:jc w:val="center"/>
            </w:pPr>
            <w:r w:rsidRPr="00265DCB">
              <w:t>3.00</w:t>
            </w:r>
            <w:r w:rsidRPr="00265DCB">
              <w:rPr>
                <w:vertAlign w:val="superscript"/>
              </w:rPr>
              <w:t>b</w:t>
            </w:r>
            <w:r w:rsidRPr="00265DCB">
              <w:t>±0.45</w:t>
            </w:r>
          </w:p>
        </w:tc>
        <w:tc>
          <w:tcPr>
            <w:tcW w:w="1819" w:type="dxa"/>
          </w:tcPr>
          <w:p w14:paraId="41F63DB9" w14:textId="5127FB60" w:rsidR="009D510B" w:rsidRPr="00265DCB" w:rsidRDefault="009D510B" w:rsidP="00A1039E">
            <w:pPr>
              <w:spacing w:before="60" w:after="60"/>
              <w:jc w:val="center"/>
            </w:pPr>
            <w:r w:rsidRPr="00265DCB">
              <w:t>2.49</w:t>
            </w:r>
            <w:r w:rsidRPr="00265DCB">
              <w:rPr>
                <w:vertAlign w:val="superscript"/>
              </w:rPr>
              <w:t>b</w:t>
            </w:r>
            <w:r w:rsidRPr="00265DCB">
              <w:t>±0.47</w:t>
            </w:r>
          </w:p>
        </w:tc>
        <w:tc>
          <w:tcPr>
            <w:tcW w:w="1350" w:type="dxa"/>
          </w:tcPr>
          <w:p w14:paraId="045E290F" w14:textId="5D30FD8E" w:rsidR="009D510B" w:rsidRPr="00265DCB" w:rsidRDefault="009D510B" w:rsidP="00A1039E">
            <w:pPr>
              <w:spacing w:before="60" w:after="60"/>
              <w:jc w:val="center"/>
            </w:pPr>
            <w:r w:rsidRPr="00265DCB">
              <w:t>&lt; 0.5</w:t>
            </w:r>
          </w:p>
        </w:tc>
        <w:tc>
          <w:tcPr>
            <w:tcW w:w="1350" w:type="dxa"/>
          </w:tcPr>
          <w:p w14:paraId="2F1ED971" w14:textId="7CA5C1CA" w:rsidR="009D510B" w:rsidRPr="00265DCB" w:rsidRDefault="00747493" w:rsidP="00A1039E">
            <w:pPr>
              <w:spacing w:before="60" w:after="60"/>
              <w:jc w:val="center"/>
            </w:pPr>
            <w:r w:rsidRPr="00265DCB">
              <w:t>3.00</w:t>
            </w:r>
          </w:p>
        </w:tc>
      </w:tr>
      <w:tr w:rsidR="009D510B" w:rsidRPr="00265DCB" w14:paraId="019B0E64" w14:textId="4D888889" w:rsidTr="00265DCB">
        <w:tc>
          <w:tcPr>
            <w:tcW w:w="1710" w:type="dxa"/>
          </w:tcPr>
          <w:p w14:paraId="15D1F77C" w14:textId="673A7CF7" w:rsidR="009D510B" w:rsidRPr="00265DCB" w:rsidRDefault="009D510B" w:rsidP="00A1039E">
            <w:pPr>
              <w:pStyle w:val="ListParagraph"/>
              <w:numPr>
                <w:ilvl w:val="0"/>
                <w:numId w:val="1"/>
              </w:numPr>
              <w:spacing w:before="60" w:after="60" w:line="240" w:lineRule="auto"/>
              <w:ind w:left="246" w:hanging="246"/>
              <w:jc w:val="both"/>
              <w:rPr>
                <w:rFonts w:ascii="Times New Roman" w:hAnsi="Times New Roman" w:cs="Times New Roman"/>
              </w:rPr>
            </w:pPr>
            <w:r w:rsidRPr="00265DCB">
              <w:rPr>
                <w:rFonts w:ascii="Times New Roman" w:hAnsi="Times New Roman" w:cs="Times New Roman"/>
              </w:rPr>
              <w:t>Na</w:t>
            </w:r>
          </w:p>
        </w:tc>
        <w:tc>
          <w:tcPr>
            <w:tcW w:w="1819" w:type="dxa"/>
          </w:tcPr>
          <w:p w14:paraId="331009AB" w14:textId="0A65E6B1" w:rsidR="009D510B" w:rsidRPr="00265DCB" w:rsidRDefault="009D510B" w:rsidP="00A1039E">
            <w:pPr>
              <w:spacing w:before="60" w:after="60"/>
              <w:jc w:val="center"/>
            </w:pPr>
            <w:r w:rsidRPr="00265DCB">
              <w:t>0.03±0.01</w:t>
            </w:r>
          </w:p>
        </w:tc>
        <w:tc>
          <w:tcPr>
            <w:tcW w:w="1980" w:type="dxa"/>
          </w:tcPr>
          <w:p w14:paraId="094FB2C0" w14:textId="2F653CDF" w:rsidR="009D510B" w:rsidRPr="00265DCB" w:rsidRDefault="009D510B" w:rsidP="00A1039E">
            <w:pPr>
              <w:spacing w:before="60" w:after="60"/>
              <w:jc w:val="center"/>
            </w:pPr>
            <w:r w:rsidRPr="00265DCB">
              <w:t>0.04±0.02</w:t>
            </w:r>
          </w:p>
        </w:tc>
        <w:tc>
          <w:tcPr>
            <w:tcW w:w="1800" w:type="dxa"/>
          </w:tcPr>
          <w:p w14:paraId="51892A1E" w14:textId="2BCBAD97" w:rsidR="009D510B" w:rsidRPr="00265DCB" w:rsidRDefault="009D510B" w:rsidP="00A1039E">
            <w:pPr>
              <w:spacing w:before="60" w:after="60"/>
              <w:jc w:val="center"/>
            </w:pPr>
            <w:r w:rsidRPr="00265DCB">
              <w:t>0.05±0.04</w:t>
            </w:r>
          </w:p>
        </w:tc>
        <w:tc>
          <w:tcPr>
            <w:tcW w:w="1800" w:type="dxa"/>
          </w:tcPr>
          <w:p w14:paraId="1621ADD9" w14:textId="188A1E1B" w:rsidR="009D510B" w:rsidRPr="00265DCB" w:rsidRDefault="009D510B" w:rsidP="00A1039E">
            <w:pPr>
              <w:spacing w:before="60" w:after="60"/>
              <w:jc w:val="center"/>
            </w:pPr>
            <w:r w:rsidRPr="00265DCB">
              <w:t>0.02±0.01</w:t>
            </w:r>
          </w:p>
        </w:tc>
        <w:tc>
          <w:tcPr>
            <w:tcW w:w="1819" w:type="dxa"/>
          </w:tcPr>
          <w:p w14:paraId="2517155B" w14:textId="30DF72F2" w:rsidR="009D510B" w:rsidRPr="00265DCB" w:rsidRDefault="009D510B" w:rsidP="00A1039E">
            <w:pPr>
              <w:spacing w:before="60" w:after="60"/>
              <w:jc w:val="center"/>
            </w:pPr>
            <w:r w:rsidRPr="00265DCB">
              <w:t>0.02±0.01</w:t>
            </w:r>
          </w:p>
        </w:tc>
        <w:tc>
          <w:tcPr>
            <w:tcW w:w="1350" w:type="dxa"/>
          </w:tcPr>
          <w:p w14:paraId="30D18FDE" w14:textId="2124A71F" w:rsidR="009D510B" w:rsidRPr="00265DCB" w:rsidRDefault="009D510B" w:rsidP="00A1039E">
            <w:pPr>
              <w:spacing w:before="60" w:after="60"/>
              <w:jc w:val="center"/>
            </w:pPr>
            <w:r w:rsidRPr="00265DCB">
              <w:t>&lt; 0.06</w:t>
            </w:r>
          </w:p>
        </w:tc>
        <w:tc>
          <w:tcPr>
            <w:tcW w:w="1350" w:type="dxa"/>
          </w:tcPr>
          <w:p w14:paraId="09EACA5D" w14:textId="7E08668E" w:rsidR="009D510B" w:rsidRPr="00265DCB" w:rsidRDefault="009D510B" w:rsidP="00A1039E">
            <w:pPr>
              <w:spacing w:before="60" w:after="60"/>
              <w:jc w:val="center"/>
            </w:pPr>
          </w:p>
        </w:tc>
      </w:tr>
      <w:tr w:rsidR="009D510B" w:rsidRPr="00265DCB" w14:paraId="2C4E136F" w14:textId="0F61F60E" w:rsidTr="00265DCB">
        <w:tc>
          <w:tcPr>
            <w:tcW w:w="1710" w:type="dxa"/>
            <w:tcBorders>
              <w:bottom w:val="single" w:sz="4" w:space="0" w:color="auto"/>
            </w:tcBorders>
          </w:tcPr>
          <w:p w14:paraId="3483CCFF" w14:textId="0D58AC07" w:rsidR="009D510B" w:rsidRPr="00265DCB" w:rsidRDefault="009D510B" w:rsidP="00A1039E">
            <w:pPr>
              <w:pStyle w:val="ListParagraph"/>
              <w:numPr>
                <w:ilvl w:val="0"/>
                <w:numId w:val="1"/>
              </w:numPr>
              <w:spacing w:before="60" w:after="60" w:line="240" w:lineRule="auto"/>
              <w:ind w:left="246" w:hanging="246"/>
              <w:jc w:val="both"/>
              <w:rPr>
                <w:rFonts w:ascii="Times New Roman" w:hAnsi="Times New Roman" w:cs="Times New Roman"/>
              </w:rPr>
            </w:pPr>
            <w:r w:rsidRPr="00265DCB">
              <w:rPr>
                <w:rFonts w:ascii="Times New Roman" w:hAnsi="Times New Roman" w:cs="Times New Roman"/>
              </w:rPr>
              <w:t xml:space="preserve">S </w:t>
            </w:r>
          </w:p>
        </w:tc>
        <w:tc>
          <w:tcPr>
            <w:tcW w:w="1819" w:type="dxa"/>
            <w:tcBorders>
              <w:bottom w:val="single" w:sz="4" w:space="0" w:color="auto"/>
            </w:tcBorders>
          </w:tcPr>
          <w:p w14:paraId="3F5C3518" w14:textId="4DB5D289" w:rsidR="009D510B" w:rsidRPr="00265DCB" w:rsidRDefault="009D510B" w:rsidP="00A1039E">
            <w:pPr>
              <w:spacing w:before="60" w:after="60"/>
              <w:jc w:val="center"/>
            </w:pPr>
            <w:r w:rsidRPr="00265DCB">
              <w:t>0.14</w:t>
            </w:r>
            <w:r w:rsidRPr="00265DCB">
              <w:rPr>
                <w:vertAlign w:val="superscript"/>
              </w:rPr>
              <w:t>c</w:t>
            </w:r>
            <w:r w:rsidRPr="00265DCB">
              <w:t>±0.02</w:t>
            </w:r>
          </w:p>
        </w:tc>
        <w:tc>
          <w:tcPr>
            <w:tcW w:w="1980" w:type="dxa"/>
            <w:tcBorders>
              <w:bottom w:val="single" w:sz="4" w:space="0" w:color="auto"/>
            </w:tcBorders>
          </w:tcPr>
          <w:p w14:paraId="4F6DB29F" w14:textId="535AC1C9" w:rsidR="009D510B" w:rsidRPr="00265DCB" w:rsidRDefault="009D510B" w:rsidP="00A1039E">
            <w:pPr>
              <w:spacing w:before="60" w:after="60"/>
              <w:jc w:val="center"/>
            </w:pPr>
            <w:r w:rsidRPr="00265DCB">
              <w:t>0.12</w:t>
            </w:r>
            <w:r w:rsidRPr="00265DCB">
              <w:rPr>
                <w:vertAlign w:val="superscript"/>
              </w:rPr>
              <w:t>c</w:t>
            </w:r>
            <w:r w:rsidRPr="00265DCB">
              <w:t>±0.04</w:t>
            </w:r>
          </w:p>
        </w:tc>
        <w:tc>
          <w:tcPr>
            <w:tcW w:w="1800" w:type="dxa"/>
            <w:tcBorders>
              <w:bottom w:val="single" w:sz="4" w:space="0" w:color="auto"/>
            </w:tcBorders>
          </w:tcPr>
          <w:p w14:paraId="3E6A5847" w14:textId="5BC92B10" w:rsidR="009D510B" w:rsidRPr="00265DCB" w:rsidRDefault="009D510B" w:rsidP="00A1039E">
            <w:pPr>
              <w:spacing w:before="60" w:after="60"/>
              <w:jc w:val="center"/>
            </w:pPr>
            <w:r w:rsidRPr="00265DCB">
              <w:t>0.35</w:t>
            </w:r>
            <w:r w:rsidRPr="00265DCB">
              <w:rPr>
                <w:vertAlign w:val="superscript"/>
              </w:rPr>
              <w:t>b</w:t>
            </w:r>
            <w:r w:rsidRPr="00265DCB">
              <w:t>±0.10</w:t>
            </w:r>
          </w:p>
        </w:tc>
        <w:tc>
          <w:tcPr>
            <w:tcW w:w="1800" w:type="dxa"/>
            <w:tcBorders>
              <w:bottom w:val="single" w:sz="4" w:space="0" w:color="auto"/>
            </w:tcBorders>
          </w:tcPr>
          <w:p w14:paraId="10C95F75" w14:textId="5ED531AA" w:rsidR="009D510B" w:rsidRPr="00265DCB" w:rsidRDefault="009D510B" w:rsidP="00A1039E">
            <w:pPr>
              <w:spacing w:before="60" w:after="60"/>
              <w:jc w:val="center"/>
            </w:pPr>
            <w:r w:rsidRPr="00265DCB">
              <w:t>0.16</w:t>
            </w:r>
            <w:r w:rsidRPr="00265DCB">
              <w:rPr>
                <w:vertAlign w:val="superscript"/>
              </w:rPr>
              <w:t>bc</w:t>
            </w:r>
            <w:r w:rsidRPr="00265DCB">
              <w:t>±0.04</w:t>
            </w:r>
          </w:p>
        </w:tc>
        <w:tc>
          <w:tcPr>
            <w:tcW w:w="1819" w:type="dxa"/>
            <w:tcBorders>
              <w:bottom w:val="single" w:sz="4" w:space="0" w:color="auto"/>
            </w:tcBorders>
          </w:tcPr>
          <w:p w14:paraId="185FBFCE" w14:textId="33DF3248" w:rsidR="009D510B" w:rsidRPr="00265DCB" w:rsidRDefault="009D510B" w:rsidP="00A1039E">
            <w:pPr>
              <w:spacing w:before="60" w:after="60"/>
              <w:jc w:val="center"/>
            </w:pPr>
            <w:r w:rsidRPr="00265DCB">
              <w:t>0.65</w:t>
            </w:r>
            <w:r w:rsidRPr="00265DCB">
              <w:rPr>
                <w:vertAlign w:val="superscript"/>
              </w:rPr>
              <w:t>a</w:t>
            </w:r>
            <w:r w:rsidRPr="00265DCB">
              <w:t>±0.19</w:t>
            </w:r>
          </w:p>
        </w:tc>
        <w:tc>
          <w:tcPr>
            <w:tcW w:w="1350" w:type="dxa"/>
            <w:tcBorders>
              <w:bottom w:val="single" w:sz="4" w:space="0" w:color="auto"/>
            </w:tcBorders>
          </w:tcPr>
          <w:p w14:paraId="0B0CCCA7" w14:textId="6D2ABFA8" w:rsidR="009D510B" w:rsidRPr="00265DCB" w:rsidRDefault="009D510B" w:rsidP="00A1039E">
            <w:pPr>
              <w:spacing w:before="60" w:after="60"/>
              <w:jc w:val="center"/>
            </w:pPr>
            <w:r w:rsidRPr="00265DCB">
              <w:t>&lt; 0.08</w:t>
            </w:r>
          </w:p>
        </w:tc>
        <w:tc>
          <w:tcPr>
            <w:tcW w:w="1350" w:type="dxa"/>
            <w:tcBorders>
              <w:bottom w:val="single" w:sz="4" w:space="0" w:color="auto"/>
            </w:tcBorders>
          </w:tcPr>
          <w:p w14:paraId="3C292744" w14:textId="0A8B8552" w:rsidR="009D510B" w:rsidRPr="00265DCB" w:rsidRDefault="009D510B" w:rsidP="00A1039E">
            <w:pPr>
              <w:spacing w:before="60" w:after="60"/>
              <w:jc w:val="center"/>
            </w:pPr>
            <w:r w:rsidRPr="00265DCB">
              <w:t>0.</w:t>
            </w:r>
            <w:r w:rsidR="00747493" w:rsidRPr="00265DCB">
              <w:t>50</w:t>
            </w:r>
          </w:p>
        </w:tc>
      </w:tr>
      <w:tr w:rsidR="00265DCB" w:rsidRPr="00265DCB" w14:paraId="683F2876" w14:textId="11D42DAE" w:rsidTr="00265DCB">
        <w:tc>
          <w:tcPr>
            <w:tcW w:w="5509" w:type="dxa"/>
            <w:gridSpan w:val="3"/>
            <w:tcBorders>
              <w:top w:val="single" w:sz="4" w:space="0" w:color="auto"/>
              <w:bottom w:val="nil"/>
            </w:tcBorders>
          </w:tcPr>
          <w:p w14:paraId="3A1F77AD" w14:textId="775D4AF6" w:rsidR="00265DCB" w:rsidRPr="00265DCB" w:rsidRDefault="00265DCB" w:rsidP="00A1039E">
            <w:pPr>
              <w:spacing w:before="60" w:after="60"/>
              <w:jc w:val="both"/>
            </w:pPr>
            <w:r w:rsidRPr="00265DCB">
              <w:t>Micro minerals:</w:t>
            </w:r>
          </w:p>
        </w:tc>
        <w:tc>
          <w:tcPr>
            <w:tcW w:w="1800" w:type="dxa"/>
            <w:tcBorders>
              <w:top w:val="single" w:sz="4" w:space="0" w:color="auto"/>
              <w:bottom w:val="nil"/>
            </w:tcBorders>
          </w:tcPr>
          <w:p w14:paraId="643EF77F" w14:textId="77777777" w:rsidR="00265DCB" w:rsidRPr="00265DCB" w:rsidRDefault="00265DCB" w:rsidP="00A1039E">
            <w:pPr>
              <w:spacing w:before="60" w:after="60"/>
              <w:jc w:val="both"/>
            </w:pPr>
          </w:p>
        </w:tc>
        <w:tc>
          <w:tcPr>
            <w:tcW w:w="1800" w:type="dxa"/>
            <w:tcBorders>
              <w:top w:val="single" w:sz="4" w:space="0" w:color="auto"/>
              <w:bottom w:val="nil"/>
            </w:tcBorders>
          </w:tcPr>
          <w:p w14:paraId="5EA9A032" w14:textId="77777777" w:rsidR="00265DCB" w:rsidRPr="00265DCB" w:rsidRDefault="00265DCB" w:rsidP="00A1039E">
            <w:pPr>
              <w:spacing w:before="60" w:after="60"/>
              <w:jc w:val="both"/>
            </w:pPr>
          </w:p>
        </w:tc>
        <w:tc>
          <w:tcPr>
            <w:tcW w:w="1819" w:type="dxa"/>
            <w:tcBorders>
              <w:top w:val="single" w:sz="4" w:space="0" w:color="auto"/>
              <w:bottom w:val="nil"/>
            </w:tcBorders>
          </w:tcPr>
          <w:p w14:paraId="2C738EEF" w14:textId="77777777" w:rsidR="00265DCB" w:rsidRPr="00265DCB" w:rsidRDefault="00265DCB" w:rsidP="00A1039E">
            <w:pPr>
              <w:spacing w:before="60" w:after="60"/>
              <w:jc w:val="both"/>
            </w:pPr>
          </w:p>
        </w:tc>
        <w:tc>
          <w:tcPr>
            <w:tcW w:w="1350" w:type="dxa"/>
            <w:tcBorders>
              <w:top w:val="single" w:sz="4" w:space="0" w:color="auto"/>
              <w:bottom w:val="nil"/>
            </w:tcBorders>
          </w:tcPr>
          <w:p w14:paraId="64FF9BA1" w14:textId="6DEAA466" w:rsidR="00265DCB" w:rsidRPr="00265DCB" w:rsidRDefault="00265DCB" w:rsidP="00A1039E">
            <w:pPr>
              <w:spacing w:before="60" w:after="60"/>
              <w:jc w:val="center"/>
            </w:pPr>
            <w:r w:rsidRPr="00265DCB">
              <w:t>(ppm)</w:t>
            </w:r>
          </w:p>
        </w:tc>
        <w:tc>
          <w:tcPr>
            <w:tcW w:w="1350" w:type="dxa"/>
            <w:tcBorders>
              <w:top w:val="single" w:sz="4" w:space="0" w:color="auto"/>
              <w:bottom w:val="nil"/>
            </w:tcBorders>
          </w:tcPr>
          <w:p w14:paraId="13E914C0" w14:textId="77777777" w:rsidR="00265DCB" w:rsidRPr="00265DCB" w:rsidRDefault="00265DCB" w:rsidP="00A1039E">
            <w:pPr>
              <w:spacing w:before="60" w:after="60"/>
              <w:jc w:val="center"/>
            </w:pPr>
          </w:p>
        </w:tc>
      </w:tr>
      <w:tr w:rsidR="009D510B" w:rsidRPr="00265DCB" w14:paraId="464DC330" w14:textId="6FCDC77D" w:rsidTr="00265DCB">
        <w:tc>
          <w:tcPr>
            <w:tcW w:w="1710" w:type="dxa"/>
            <w:tcBorders>
              <w:top w:val="nil"/>
            </w:tcBorders>
          </w:tcPr>
          <w:p w14:paraId="5A001533" w14:textId="77777777" w:rsidR="009D510B" w:rsidRPr="00265DCB" w:rsidRDefault="009D510B" w:rsidP="00A1039E">
            <w:pPr>
              <w:pStyle w:val="ListParagraph"/>
              <w:numPr>
                <w:ilvl w:val="0"/>
                <w:numId w:val="2"/>
              </w:numPr>
              <w:spacing w:before="60" w:after="60" w:line="240" w:lineRule="auto"/>
              <w:ind w:left="246" w:hanging="270"/>
              <w:jc w:val="both"/>
              <w:rPr>
                <w:rFonts w:ascii="Times New Roman" w:hAnsi="Times New Roman" w:cs="Times New Roman"/>
              </w:rPr>
            </w:pPr>
            <w:r w:rsidRPr="00265DCB">
              <w:rPr>
                <w:rFonts w:ascii="Times New Roman" w:hAnsi="Times New Roman" w:cs="Times New Roman"/>
              </w:rPr>
              <w:t>Fe (ppm)</w:t>
            </w:r>
          </w:p>
        </w:tc>
        <w:tc>
          <w:tcPr>
            <w:tcW w:w="1819" w:type="dxa"/>
            <w:tcBorders>
              <w:top w:val="nil"/>
            </w:tcBorders>
          </w:tcPr>
          <w:p w14:paraId="503A39AA" w14:textId="1498C0BC" w:rsidR="009D510B" w:rsidRPr="00265DCB" w:rsidRDefault="009D510B" w:rsidP="00A1039E">
            <w:pPr>
              <w:spacing w:before="60" w:after="60"/>
              <w:jc w:val="center"/>
            </w:pPr>
            <w:r w:rsidRPr="00265DCB">
              <w:t>108.56</w:t>
            </w:r>
            <w:r w:rsidRPr="00265DCB">
              <w:rPr>
                <w:vertAlign w:val="superscript"/>
              </w:rPr>
              <w:t>b</w:t>
            </w:r>
            <w:r w:rsidRPr="00265DCB">
              <w:t>±8.63</w:t>
            </w:r>
          </w:p>
        </w:tc>
        <w:tc>
          <w:tcPr>
            <w:tcW w:w="1980" w:type="dxa"/>
            <w:tcBorders>
              <w:top w:val="nil"/>
            </w:tcBorders>
          </w:tcPr>
          <w:p w14:paraId="64C31D6D" w14:textId="3F755671" w:rsidR="009D510B" w:rsidRPr="00265DCB" w:rsidRDefault="009D510B" w:rsidP="00A1039E">
            <w:pPr>
              <w:spacing w:before="60" w:after="60"/>
              <w:jc w:val="center"/>
            </w:pPr>
            <w:r w:rsidRPr="00265DCB">
              <w:t>270.51</w:t>
            </w:r>
            <w:r w:rsidRPr="00265DCB">
              <w:rPr>
                <w:vertAlign w:val="superscript"/>
              </w:rPr>
              <w:t>ab</w:t>
            </w:r>
            <w:r w:rsidRPr="00265DCB">
              <w:t>±152.86</w:t>
            </w:r>
          </w:p>
        </w:tc>
        <w:tc>
          <w:tcPr>
            <w:tcW w:w="1800" w:type="dxa"/>
            <w:tcBorders>
              <w:top w:val="nil"/>
            </w:tcBorders>
          </w:tcPr>
          <w:p w14:paraId="2C4CC34E" w14:textId="64A60178" w:rsidR="009D510B" w:rsidRPr="00265DCB" w:rsidRDefault="009D510B" w:rsidP="00A1039E">
            <w:pPr>
              <w:spacing w:before="60" w:after="60"/>
              <w:jc w:val="center"/>
            </w:pPr>
            <w:r w:rsidRPr="00265DCB">
              <w:t>208.94</w:t>
            </w:r>
            <w:r w:rsidRPr="00265DCB">
              <w:rPr>
                <w:vertAlign w:val="superscript"/>
              </w:rPr>
              <w:t>ab</w:t>
            </w:r>
            <w:r w:rsidRPr="00265DCB">
              <w:t>±31.60</w:t>
            </w:r>
          </w:p>
        </w:tc>
        <w:tc>
          <w:tcPr>
            <w:tcW w:w="1800" w:type="dxa"/>
            <w:tcBorders>
              <w:top w:val="nil"/>
            </w:tcBorders>
          </w:tcPr>
          <w:p w14:paraId="17ED3F9C" w14:textId="4F93423E" w:rsidR="009D510B" w:rsidRPr="00265DCB" w:rsidRDefault="009D510B" w:rsidP="00A1039E">
            <w:pPr>
              <w:spacing w:before="60" w:after="60"/>
              <w:jc w:val="center"/>
            </w:pPr>
            <w:r w:rsidRPr="00265DCB">
              <w:t>307.58</w:t>
            </w:r>
            <w:r w:rsidRPr="00265DCB">
              <w:rPr>
                <w:vertAlign w:val="superscript"/>
              </w:rPr>
              <w:t>a</w:t>
            </w:r>
            <w:r w:rsidRPr="00265DCB">
              <w:t>±77.41</w:t>
            </w:r>
          </w:p>
        </w:tc>
        <w:tc>
          <w:tcPr>
            <w:tcW w:w="1819" w:type="dxa"/>
            <w:tcBorders>
              <w:top w:val="nil"/>
            </w:tcBorders>
          </w:tcPr>
          <w:p w14:paraId="03AE06F6" w14:textId="2C7D5FF5" w:rsidR="009D510B" w:rsidRPr="00265DCB" w:rsidRDefault="009D510B" w:rsidP="00A1039E">
            <w:pPr>
              <w:spacing w:before="60" w:after="60"/>
              <w:jc w:val="center"/>
            </w:pPr>
            <w:r w:rsidRPr="00265DCB">
              <w:t>192.42</w:t>
            </w:r>
            <w:r w:rsidRPr="00265DCB">
              <w:rPr>
                <w:vertAlign w:val="superscript"/>
              </w:rPr>
              <w:t>ab</w:t>
            </w:r>
            <w:r w:rsidRPr="00265DCB">
              <w:t>±116.46</w:t>
            </w:r>
          </w:p>
        </w:tc>
        <w:tc>
          <w:tcPr>
            <w:tcW w:w="1350" w:type="dxa"/>
            <w:tcBorders>
              <w:top w:val="nil"/>
            </w:tcBorders>
          </w:tcPr>
          <w:p w14:paraId="1E2B1184" w14:textId="5518D2DF" w:rsidR="009D510B" w:rsidRPr="00265DCB" w:rsidRDefault="009D510B" w:rsidP="00A1039E">
            <w:pPr>
              <w:spacing w:before="60" w:after="60"/>
              <w:jc w:val="center"/>
            </w:pPr>
            <w:r w:rsidRPr="00265DCB">
              <w:t>&lt; 50</w:t>
            </w:r>
          </w:p>
        </w:tc>
        <w:tc>
          <w:tcPr>
            <w:tcW w:w="1350" w:type="dxa"/>
            <w:tcBorders>
              <w:top w:val="nil"/>
            </w:tcBorders>
          </w:tcPr>
          <w:p w14:paraId="446AFA06" w14:textId="68EED450" w:rsidR="009D510B" w:rsidRPr="00265DCB" w:rsidRDefault="00747493" w:rsidP="00A1039E">
            <w:pPr>
              <w:spacing w:before="60" w:after="60"/>
              <w:jc w:val="center"/>
            </w:pPr>
            <w:r w:rsidRPr="00265DCB">
              <w:t>500</w:t>
            </w:r>
          </w:p>
        </w:tc>
      </w:tr>
      <w:tr w:rsidR="009D510B" w:rsidRPr="00265DCB" w14:paraId="21C2AAAB" w14:textId="57069C82" w:rsidTr="00265DCB">
        <w:tc>
          <w:tcPr>
            <w:tcW w:w="1710" w:type="dxa"/>
          </w:tcPr>
          <w:p w14:paraId="3045EEA4" w14:textId="77777777" w:rsidR="009D510B" w:rsidRPr="00265DCB" w:rsidRDefault="009D510B" w:rsidP="00A1039E">
            <w:pPr>
              <w:pStyle w:val="ListParagraph"/>
              <w:numPr>
                <w:ilvl w:val="0"/>
                <w:numId w:val="2"/>
              </w:numPr>
              <w:spacing w:before="60" w:after="60" w:line="240" w:lineRule="auto"/>
              <w:ind w:left="246" w:hanging="270"/>
              <w:jc w:val="both"/>
              <w:rPr>
                <w:rFonts w:ascii="Times New Roman" w:hAnsi="Times New Roman" w:cs="Times New Roman"/>
              </w:rPr>
            </w:pPr>
            <w:r w:rsidRPr="00265DCB">
              <w:rPr>
                <w:rFonts w:ascii="Times New Roman" w:hAnsi="Times New Roman" w:cs="Times New Roman"/>
              </w:rPr>
              <w:t>Zn (ppm)</w:t>
            </w:r>
          </w:p>
        </w:tc>
        <w:tc>
          <w:tcPr>
            <w:tcW w:w="1819" w:type="dxa"/>
          </w:tcPr>
          <w:p w14:paraId="05E0DA21" w14:textId="39F6875F" w:rsidR="009D510B" w:rsidRPr="00265DCB" w:rsidRDefault="009D510B" w:rsidP="00A1039E">
            <w:pPr>
              <w:spacing w:before="60" w:after="60"/>
              <w:jc w:val="center"/>
            </w:pPr>
            <w:r w:rsidRPr="00265DCB">
              <w:t>71.48±23.57</w:t>
            </w:r>
          </w:p>
        </w:tc>
        <w:tc>
          <w:tcPr>
            <w:tcW w:w="1980" w:type="dxa"/>
          </w:tcPr>
          <w:p w14:paraId="1E1CE195" w14:textId="3E3C58BF" w:rsidR="009D510B" w:rsidRPr="00265DCB" w:rsidRDefault="009D510B" w:rsidP="00A1039E">
            <w:pPr>
              <w:spacing w:before="60" w:after="60"/>
              <w:jc w:val="center"/>
            </w:pPr>
            <w:r w:rsidRPr="00265DCB">
              <w:t>50.30±21.01</w:t>
            </w:r>
          </w:p>
        </w:tc>
        <w:tc>
          <w:tcPr>
            <w:tcW w:w="1800" w:type="dxa"/>
          </w:tcPr>
          <w:p w14:paraId="5506D071" w14:textId="4EE498E0" w:rsidR="009D510B" w:rsidRPr="00265DCB" w:rsidRDefault="009D510B" w:rsidP="00A1039E">
            <w:pPr>
              <w:spacing w:before="60" w:after="60"/>
              <w:jc w:val="center"/>
            </w:pPr>
            <w:r w:rsidRPr="00265DCB">
              <w:t>68.38±13.59</w:t>
            </w:r>
          </w:p>
        </w:tc>
        <w:tc>
          <w:tcPr>
            <w:tcW w:w="1800" w:type="dxa"/>
          </w:tcPr>
          <w:p w14:paraId="01776B8D" w14:textId="458C2918" w:rsidR="009D510B" w:rsidRPr="00265DCB" w:rsidRDefault="009D510B" w:rsidP="00A1039E">
            <w:pPr>
              <w:spacing w:before="60" w:after="60"/>
              <w:jc w:val="center"/>
            </w:pPr>
            <w:r w:rsidRPr="00265DCB">
              <w:t>68.67±13.85</w:t>
            </w:r>
          </w:p>
        </w:tc>
        <w:tc>
          <w:tcPr>
            <w:tcW w:w="1819" w:type="dxa"/>
          </w:tcPr>
          <w:p w14:paraId="5D65B44C" w14:textId="4D9D6017" w:rsidR="009D510B" w:rsidRPr="00265DCB" w:rsidRDefault="009D510B" w:rsidP="00A1039E">
            <w:pPr>
              <w:spacing w:before="60" w:after="60"/>
              <w:jc w:val="center"/>
            </w:pPr>
            <w:r w:rsidRPr="00265DCB">
              <w:t>85.81±16.15</w:t>
            </w:r>
          </w:p>
        </w:tc>
        <w:tc>
          <w:tcPr>
            <w:tcW w:w="1350" w:type="dxa"/>
          </w:tcPr>
          <w:p w14:paraId="728955A1" w14:textId="0753738E" w:rsidR="009D510B" w:rsidRPr="00265DCB" w:rsidRDefault="009D510B" w:rsidP="00A1039E">
            <w:pPr>
              <w:spacing w:before="60" w:after="60"/>
              <w:jc w:val="center"/>
            </w:pPr>
            <w:r w:rsidRPr="00265DCB">
              <w:t>&lt; 30</w:t>
            </w:r>
          </w:p>
        </w:tc>
        <w:tc>
          <w:tcPr>
            <w:tcW w:w="1350" w:type="dxa"/>
          </w:tcPr>
          <w:p w14:paraId="33AF0962" w14:textId="30D95990" w:rsidR="009D510B" w:rsidRPr="00265DCB" w:rsidRDefault="00747493" w:rsidP="00A1039E">
            <w:pPr>
              <w:spacing w:before="60" w:after="60"/>
              <w:jc w:val="center"/>
            </w:pPr>
            <w:r w:rsidRPr="00265DCB">
              <w:t>500</w:t>
            </w:r>
          </w:p>
        </w:tc>
      </w:tr>
      <w:tr w:rsidR="009D510B" w:rsidRPr="00265DCB" w14:paraId="74E0A239" w14:textId="5D07CC7E" w:rsidTr="00265DCB">
        <w:tc>
          <w:tcPr>
            <w:tcW w:w="1710" w:type="dxa"/>
          </w:tcPr>
          <w:p w14:paraId="441A2602" w14:textId="77777777" w:rsidR="009D510B" w:rsidRPr="00265DCB" w:rsidRDefault="009D510B" w:rsidP="00A1039E">
            <w:pPr>
              <w:pStyle w:val="ListParagraph"/>
              <w:numPr>
                <w:ilvl w:val="0"/>
                <w:numId w:val="2"/>
              </w:numPr>
              <w:spacing w:before="60" w:after="60" w:line="240" w:lineRule="auto"/>
              <w:ind w:left="246" w:hanging="270"/>
              <w:jc w:val="both"/>
              <w:rPr>
                <w:rFonts w:ascii="Times New Roman" w:hAnsi="Times New Roman" w:cs="Times New Roman"/>
              </w:rPr>
            </w:pPr>
            <w:r w:rsidRPr="00265DCB">
              <w:rPr>
                <w:rFonts w:ascii="Times New Roman" w:hAnsi="Times New Roman" w:cs="Times New Roman"/>
              </w:rPr>
              <w:t>Cu (ppm)</w:t>
            </w:r>
          </w:p>
        </w:tc>
        <w:tc>
          <w:tcPr>
            <w:tcW w:w="1819" w:type="dxa"/>
          </w:tcPr>
          <w:p w14:paraId="3A30E3EF" w14:textId="1B6B2CF1" w:rsidR="009D510B" w:rsidRPr="00265DCB" w:rsidRDefault="009D510B" w:rsidP="00A1039E">
            <w:pPr>
              <w:spacing w:before="60" w:after="60"/>
              <w:jc w:val="center"/>
            </w:pPr>
            <w:r w:rsidRPr="00265DCB">
              <w:t>167.82</w:t>
            </w:r>
            <w:r w:rsidRPr="00265DCB">
              <w:rPr>
                <w:vertAlign w:val="superscript"/>
              </w:rPr>
              <w:t>ab</w:t>
            </w:r>
            <w:r w:rsidRPr="00265DCB">
              <w:t>±167.</w:t>
            </w:r>
            <w:r w:rsidR="00536FC6" w:rsidRPr="00265DCB">
              <w:t>30</w:t>
            </w:r>
          </w:p>
        </w:tc>
        <w:tc>
          <w:tcPr>
            <w:tcW w:w="1980" w:type="dxa"/>
          </w:tcPr>
          <w:p w14:paraId="00A50D10" w14:textId="531CB3A9" w:rsidR="009D510B" w:rsidRPr="00265DCB" w:rsidRDefault="009D510B" w:rsidP="00A1039E">
            <w:pPr>
              <w:spacing w:before="60" w:after="60"/>
              <w:jc w:val="center"/>
            </w:pPr>
            <w:r w:rsidRPr="00265DCB">
              <w:t>19.22</w:t>
            </w:r>
            <w:r w:rsidRPr="00265DCB">
              <w:rPr>
                <w:vertAlign w:val="superscript"/>
              </w:rPr>
              <w:t>b</w:t>
            </w:r>
            <w:r w:rsidRPr="00265DCB">
              <w:t>±17.41</w:t>
            </w:r>
          </w:p>
        </w:tc>
        <w:tc>
          <w:tcPr>
            <w:tcW w:w="1800" w:type="dxa"/>
          </w:tcPr>
          <w:p w14:paraId="56F2CBFE" w14:textId="20BC3A32" w:rsidR="009D510B" w:rsidRPr="00265DCB" w:rsidRDefault="009D510B" w:rsidP="00A1039E">
            <w:pPr>
              <w:spacing w:before="60" w:after="60"/>
              <w:jc w:val="center"/>
            </w:pPr>
            <w:r w:rsidRPr="00265DCB">
              <w:t>55.03</w:t>
            </w:r>
            <w:r w:rsidRPr="00265DCB">
              <w:rPr>
                <w:vertAlign w:val="superscript"/>
              </w:rPr>
              <w:t>ab</w:t>
            </w:r>
            <w:r w:rsidRPr="00265DCB">
              <w:t>±16.76</w:t>
            </w:r>
          </w:p>
        </w:tc>
        <w:tc>
          <w:tcPr>
            <w:tcW w:w="1800" w:type="dxa"/>
          </w:tcPr>
          <w:p w14:paraId="3B88BD6B" w14:textId="701159AB" w:rsidR="009D510B" w:rsidRPr="00265DCB" w:rsidRDefault="009D510B" w:rsidP="00A1039E">
            <w:pPr>
              <w:spacing w:before="60" w:after="60"/>
              <w:jc w:val="center"/>
            </w:pPr>
            <w:r w:rsidRPr="00265DCB">
              <w:t>211.64</w:t>
            </w:r>
            <w:r w:rsidRPr="00265DCB">
              <w:rPr>
                <w:vertAlign w:val="superscript"/>
              </w:rPr>
              <w:t>a</w:t>
            </w:r>
            <w:r w:rsidRPr="00265DCB">
              <w:t>±71.46</w:t>
            </w:r>
          </w:p>
        </w:tc>
        <w:tc>
          <w:tcPr>
            <w:tcW w:w="1819" w:type="dxa"/>
          </w:tcPr>
          <w:p w14:paraId="07D797A1" w14:textId="64A9D63A" w:rsidR="009D510B" w:rsidRPr="00265DCB" w:rsidRDefault="009D510B" w:rsidP="00A1039E">
            <w:pPr>
              <w:spacing w:before="60" w:after="60"/>
              <w:jc w:val="center"/>
            </w:pPr>
            <w:r w:rsidRPr="00265DCB">
              <w:t>9.71</w:t>
            </w:r>
            <w:r w:rsidRPr="00265DCB">
              <w:rPr>
                <w:vertAlign w:val="superscript"/>
              </w:rPr>
              <w:t>b</w:t>
            </w:r>
            <w:r w:rsidRPr="00265DCB">
              <w:t>±3.16</w:t>
            </w:r>
          </w:p>
        </w:tc>
        <w:tc>
          <w:tcPr>
            <w:tcW w:w="1350" w:type="dxa"/>
          </w:tcPr>
          <w:p w14:paraId="36E775D3" w14:textId="2AEA936D" w:rsidR="009D510B" w:rsidRPr="00265DCB" w:rsidRDefault="009D510B" w:rsidP="00A1039E">
            <w:pPr>
              <w:spacing w:before="60" w:after="60"/>
              <w:jc w:val="center"/>
            </w:pPr>
            <w:r w:rsidRPr="00265DCB">
              <w:t>&lt; 8</w:t>
            </w:r>
          </w:p>
        </w:tc>
        <w:tc>
          <w:tcPr>
            <w:tcW w:w="1350" w:type="dxa"/>
          </w:tcPr>
          <w:p w14:paraId="0F3CDA17" w14:textId="79FD8319" w:rsidR="009D510B" w:rsidRPr="00265DCB" w:rsidRDefault="00747493" w:rsidP="00A1039E">
            <w:pPr>
              <w:spacing w:before="60" w:after="60"/>
              <w:jc w:val="center"/>
            </w:pPr>
            <w:r w:rsidRPr="00265DCB">
              <w:t>40</w:t>
            </w:r>
          </w:p>
        </w:tc>
      </w:tr>
      <w:tr w:rsidR="009D510B" w:rsidRPr="00265DCB" w14:paraId="7873EBBD" w14:textId="2C874F71" w:rsidTr="00265DCB">
        <w:tc>
          <w:tcPr>
            <w:tcW w:w="1710" w:type="dxa"/>
          </w:tcPr>
          <w:p w14:paraId="68BC6163" w14:textId="77777777" w:rsidR="009D510B" w:rsidRPr="00265DCB" w:rsidRDefault="009D510B" w:rsidP="00A1039E">
            <w:pPr>
              <w:pStyle w:val="ListParagraph"/>
              <w:numPr>
                <w:ilvl w:val="0"/>
                <w:numId w:val="2"/>
              </w:numPr>
              <w:spacing w:before="60" w:after="60" w:line="240" w:lineRule="auto"/>
              <w:ind w:left="246" w:hanging="270"/>
              <w:jc w:val="both"/>
              <w:rPr>
                <w:rFonts w:ascii="Times New Roman" w:hAnsi="Times New Roman" w:cs="Times New Roman"/>
              </w:rPr>
            </w:pPr>
            <w:r w:rsidRPr="00265DCB">
              <w:rPr>
                <w:rFonts w:ascii="Times New Roman" w:hAnsi="Times New Roman" w:cs="Times New Roman"/>
              </w:rPr>
              <w:t>Mn (ppm)</w:t>
            </w:r>
          </w:p>
        </w:tc>
        <w:tc>
          <w:tcPr>
            <w:tcW w:w="1819" w:type="dxa"/>
          </w:tcPr>
          <w:p w14:paraId="1DF0F666" w14:textId="60D70A8D" w:rsidR="009D510B" w:rsidRPr="00265DCB" w:rsidRDefault="009D510B" w:rsidP="00A1039E">
            <w:pPr>
              <w:spacing w:before="60" w:after="60"/>
              <w:jc w:val="center"/>
            </w:pPr>
            <w:r w:rsidRPr="00265DCB">
              <w:t>74.91</w:t>
            </w:r>
            <w:r w:rsidRPr="00265DCB">
              <w:rPr>
                <w:vertAlign w:val="superscript"/>
              </w:rPr>
              <w:t>b</w:t>
            </w:r>
            <w:r w:rsidRPr="00265DCB">
              <w:t>±65.64</w:t>
            </w:r>
          </w:p>
        </w:tc>
        <w:tc>
          <w:tcPr>
            <w:tcW w:w="1980" w:type="dxa"/>
          </w:tcPr>
          <w:p w14:paraId="40295BF4" w14:textId="34BCA72E" w:rsidR="009D510B" w:rsidRPr="00265DCB" w:rsidRDefault="009D510B" w:rsidP="00A1039E">
            <w:pPr>
              <w:spacing w:before="60" w:after="60"/>
              <w:jc w:val="center"/>
            </w:pPr>
            <w:r w:rsidRPr="00265DCB">
              <w:t>186.34</w:t>
            </w:r>
            <w:r w:rsidRPr="00265DCB">
              <w:rPr>
                <w:vertAlign w:val="superscript"/>
              </w:rPr>
              <w:t>a</w:t>
            </w:r>
            <w:r w:rsidRPr="00265DCB">
              <w:t>±83.94</w:t>
            </w:r>
          </w:p>
        </w:tc>
        <w:tc>
          <w:tcPr>
            <w:tcW w:w="1800" w:type="dxa"/>
          </w:tcPr>
          <w:p w14:paraId="0DB982A0" w14:textId="44664F07" w:rsidR="009D510B" w:rsidRPr="00265DCB" w:rsidRDefault="009D510B" w:rsidP="00A1039E">
            <w:pPr>
              <w:spacing w:before="60" w:after="60"/>
              <w:jc w:val="center"/>
            </w:pPr>
            <w:r w:rsidRPr="00265DCB">
              <w:t>61.57</w:t>
            </w:r>
            <w:r w:rsidRPr="00265DCB">
              <w:rPr>
                <w:vertAlign w:val="superscript"/>
              </w:rPr>
              <w:t>b</w:t>
            </w:r>
            <w:r w:rsidRPr="00265DCB">
              <w:t>±33.24</w:t>
            </w:r>
          </w:p>
        </w:tc>
        <w:tc>
          <w:tcPr>
            <w:tcW w:w="1800" w:type="dxa"/>
          </w:tcPr>
          <w:p w14:paraId="20D4E594" w14:textId="23F285AE" w:rsidR="009D510B" w:rsidRPr="00265DCB" w:rsidRDefault="009D510B" w:rsidP="00A1039E">
            <w:pPr>
              <w:spacing w:before="60" w:after="60"/>
              <w:jc w:val="center"/>
            </w:pPr>
            <w:r w:rsidRPr="00265DCB">
              <w:t>30.34</w:t>
            </w:r>
            <w:r w:rsidRPr="00265DCB">
              <w:rPr>
                <w:vertAlign w:val="superscript"/>
              </w:rPr>
              <w:t>b</w:t>
            </w:r>
            <w:r w:rsidRPr="00265DCB">
              <w:t>±3.43</w:t>
            </w:r>
          </w:p>
        </w:tc>
        <w:tc>
          <w:tcPr>
            <w:tcW w:w="1819" w:type="dxa"/>
          </w:tcPr>
          <w:p w14:paraId="2278341C" w14:textId="29FF184A" w:rsidR="009D510B" w:rsidRPr="00265DCB" w:rsidRDefault="009D510B" w:rsidP="00A1039E">
            <w:pPr>
              <w:spacing w:before="60" w:after="60"/>
              <w:jc w:val="center"/>
            </w:pPr>
            <w:r w:rsidRPr="00265DCB">
              <w:t>182.89</w:t>
            </w:r>
            <w:r w:rsidRPr="00265DCB">
              <w:rPr>
                <w:vertAlign w:val="superscript"/>
              </w:rPr>
              <w:t>a</w:t>
            </w:r>
            <w:r w:rsidRPr="00265DCB">
              <w:t>±47.37</w:t>
            </w:r>
          </w:p>
        </w:tc>
        <w:tc>
          <w:tcPr>
            <w:tcW w:w="1350" w:type="dxa"/>
          </w:tcPr>
          <w:p w14:paraId="5B2214BB" w14:textId="09EAC166" w:rsidR="009D510B" w:rsidRPr="00265DCB" w:rsidRDefault="009D510B" w:rsidP="00A1039E">
            <w:pPr>
              <w:spacing w:before="60" w:after="60"/>
              <w:jc w:val="center"/>
            </w:pPr>
            <w:r w:rsidRPr="00265DCB">
              <w:t>&lt;40</w:t>
            </w:r>
          </w:p>
        </w:tc>
        <w:tc>
          <w:tcPr>
            <w:tcW w:w="1350" w:type="dxa"/>
          </w:tcPr>
          <w:p w14:paraId="5DFF6689" w14:textId="550B79CA" w:rsidR="009D510B" w:rsidRPr="00265DCB" w:rsidRDefault="00747493" w:rsidP="00A1039E">
            <w:pPr>
              <w:spacing w:before="60" w:after="60"/>
              <w:jc w:val="center"/>
            </w:pPr>
            <w:r w:rsidRPr="00265DCB">
              <w:t>1000</w:t>
            </w:r>
          </w:p>
        </w:tc>
      </w:tr>
      <w:tr w:rsidR="009D510B" w:rsidRPr="00265DCB" w14:paraId="7F32F6D4" w14:textId="2A0D705C" w:rsidTr="00265DCB">
        <w:tc>
          <w:tcPr>
            <w:tcW w:w="1710" w:type="dxa"/>
          </w:tcPr>
          <w:p w14:paraId="12279C23" w14:textId="77777777" w:rsidR="009D510B" w:rsidRPr="00265DCB" w:rsidRDefault="009D510B" w:rsidP="00A1039E">
            <w:pPr>
              <w:pStyle w:val="ListParagraph"/>
              <w:numPr>
                <w:ilvl w:val="0"/>
                <w:numId w:val="2"/>
              </w:numPr>
              <w:spacing w:before="60" w:after="60" w:line="240" w:lineRule="auto"/>
              <w:ind w:left="246" w:hanging="270"/>
              <w:jc w:val="both"/>
              <w:rPr>
                <w:rFonts w:ascii="Times New Roman" w:hAnsi="Times New Roman" w:cs="Times New Roman"/>
              </w:rPr>
            </w:pPr>
            <w:r w:rsidRPr="00265DCB">
              <w:rPr>
                <w:rFonts w:ascii="Times New Roman" w:hAnsi="Times New Roman" w:cs="Times New Roman"/>
              </w:rPr>
              <w:t>Co (ppm)</w:t>
            </w:r>
          </w:p>
        </w:tc>
        <w:tc>
          <w:tcPr>
            <w:tcW w:w="1819" w:type="dxa"/>
          </w:tcPr>
          <w:p w14:paraId="149DA28A" w14:textId="628C587E" w:rsidR="009D510B" w:rsidRPr="00265DCB" w:rsidRDefault="009D510B" w:rsidP="00A1039E">
            <w:pPr>
              <w:spacing w:before="60" w:after="60"/>
              <w:jc w:val="center"/>
            </w:pPr>
            <w:r w:rsidRPr="00265DCB">
              <w:t>9.48</w:t>
            </w:r>
            <w:r w:rsidRPr="00265DCB">
              <w:rPr>
                <w:vertAlign w:val="superscript"/>
              </w:rPr>
              <w:t>b</w:t>
            </w:r>
            <w:r w:rsidRPr="00265DCB">
              <w:t>±0.41</w:t>
            </w:r>
          </w:p>
        </w:tc>
        <w:tc>
          <w:tcPr>
            <w:tcW w:w="1980" w:type="dxa"/>
          </w:tcPr>
          <w:p w14:paraId="7E7147F8" w14:textId="3D2BC96B" w:rsidR="009D510B" w:rsidRPr="00265DCB" w:rsidRDefault="009D510B" w:rsidP="00A1039E">
            <w:pPr>
              <w:spacing w:before="60" w:after="60"/>
              <w:jc w:val="center"/>
            </w:pPr>
            <w:r w:rsidRPr="00265DCB">
              <w:t>11.22</w:t>
            </w:r>
            <w:r w:rsidRPr="00265DCB">
              <w:rPr>
                <w:vertAlign w:val="superscript"/>
              </w:rPr>
              <w:t>a</w:t>
            </w:r>
            <w:r w:rsidRPr="00265DCB">
              <w:t>±0.71</w:t>
            </w:r>
          </w:p>
        </w:tc>
        <w:tc>
          <w:tcPr>
            <w:tcW w:w="1800" w:type="dxa"/>
          </w:tcPr>
          <w:p w14:paraId="5AE2EC01" w14:textId="53DADA13" w:rsidR="009D510B" w:rsidRPr="00265DCB" w:rsidRDefault="009D510B" w:rsidP="00A1039E">
            <w:pPr>
              <w:spacing w:before="60" w:after="60"/>
              <w:jc w:val="center"/>
            </w:pPr>
            <w:r w:rsidRPr="00265DCB">
              <w:t>11.19</w:t>
            </w:r>
            <w:r w:rsidRPr="00265DCB">
              <w:rPr>
                <w:vertAlign w:val="superscript"/>
              </w:rPr>
              <w:t>a</w:t>
            </w:r>
            <w:r w:rsidRPr="00265DCB">
              <w:t>±0.78</w:t>
            </w:r>
          </w:p>
        </w:tc>
        <w:tc>
          <w:tcPr>
            <w:tcW w:w="1800" w:type="dxa"/>
          </w:tcPr>
          <w:p w14:paraId="4E84C664" w14:textId="0DECDA54" w:rsidR="009D510B" w:rsidRPr="00265DCB" w:rsidRDefault="009D510B" w:rsidP="00A1039E">
            <w:pPr>
              <w:spacing w:before="60" w:after="60"/>
              <w:jc w:val="center"/>
            </w:pPr>
            <w:r w:rsidRPr="00265DCB">
              <w:t>10.69</w:t>
            </w:r>
            <w:r w:rsidRPr="00265DCB">
              <w:rPr>
                <w:vertAlign w:val="superscript"/>
              </w:rPr>
              <w:t>a</w:t>
            </w:r>
            <w:r w:rsidRPr="00265DCB">
              <w:t>±0.40</w:t>
            </w:r>
          </w:p>
        </w:tc>
        <w:tc>
          <w:tcPr>
            <w:tcW w:w="1819" w:type="dxa"/>
          </w:tcPr>
          <w:p w14:paraId="56BBD6F9" w14:textId="528090AC" w:rsidR="009D510B" w:rsidRPr="00265DCB" w:rsidRDefault="009D510B" w:rsidP="00A1039E">
            <w:pPr>
              <w:spacing w:before="60" w:after="60"/>
              <w:jc w:val="center"/>
            </w:pPr>
            <w:r w:rsidRPr="00265DCB">
              <w:t>11.64</w:t>
            </w:r>
            <w:r w:rsidRPr="00265DCB">
              <w:rPr>
                <w:vertAlign w:val="superscript"/>
              </w:rPr>
              <w:t>a</w:t>
            </w:r>
            <w:r w:rsidRPr="00265DCB">
              <w:t>±0.20</w:t>
            </w:r>
          </w:p>
        </w:tc>
        <w:tc>
          <w:tcPr>
            <w:tcW w:w="1350" w:type="dxa"/>
          </w:tcPr>
          <w:p w14:paraId="2DBFC7CD" w14:textId="2E3CC3EA" w:rsidR="009D510B" w:rsidRPr="00265DCB" w:rsidRDefault="009D510B" w:rsidP="00A1039E">
            <w:pPr>
              <w:spacing w:before="60" w:after="60"/>
              <w:jc w:val="center"/>
            </w:pPr>
            <w:r w:rsidRPr="00265DCB">
              <w:t>&lt; 0.10</w:t>
            </w:r>
          </w:p>
        </w:tc>
        <w:tc>
          <w:tcPr>
            <w:tcW w:w="1350" w:type="dxa"/>
          </w:tcPr>
          <w:p w14:paraId="609C440C" w14:textId="01FC838D" w:rsidR="009D510B" w:rsidRPr="00265DCB" w:rsidRDefault="00747493" w:rsidP="00A1039E">
            <w:pPr>
              <w:spacing w:before="60" w:after="60"/>
              <w:jc w:val="center"/>
            </w:pPr>
            <w:r w:rsidRPr="00265DCB">
              <w:t>25</w:t>
            </w:r>
          </w:p>
        </w:tc>
      </w:tr>
      <w:tr w:rsidR="009D510B" w:rsidRPr="00265DCB" w14:paraId="32ADBAB9" w14:textId="65EB7D43" w:rsidTr="00265DCB">
        <w:tc>
          <w:tcPr>
            <w:tcW w:w="1710" w:type="dxa"/>
          </w:tcPr>
          <w:p w14:paraId="61342431" w14:textId="77777777" w:rsidR="009D510B" w:rsidRPr="00265DCB" w:rsidRDefault="009D510B" w:rsidP="00A1039E">
            <w:pPr>
              <w:pStyle w:val="ListParagraph"/>
              <w:numPr>
                <w:ilvl w:val="0"/>
                <w:numId w:val="2"/>
              </w:numPr>
              <w:spacing w:before="60" w:after="60" w:line="240" w:lineRule="auto"/>
              <w:ind w:left="246" w:hanging="270"/>
              <w:jc w:val="both"/>
              <w:rPr>
                <w:rFonts w:ascii="Times New Roman" w:hAnsi="Times New Roman" w:cs="Times New Roman"/>
              </w:rPr>
            </w:pPr>
            <w:r w:rsidRPr="00265DCB">
              <w:rPr>
                <w:rFonts w:ascii="Times New Roman" w:hAnsi="Times New Roman" w:cs="Times New Roman"/>
              </w:rPr>
              <w:t>Se (µg/100 g)</w:t>
            </w:r>
          </w:p>
        </w:tc>
        <w:tc>
          <w:tcPr>
            <w:tcW w:w="1819" w:type="dxa"/>
          </w:tcPr>
          <w:p w14:paraId="285D4B56" w14:textId="293AED41" w:rsidR="009D510B" w:rsidRPr="00265DCB" w:rsidRDefault="009D510B" w:rsidP="00A1039E">
            <w:pPr>
              <w:spacing w:before="60" w:after="60"/>
              <w:jc w:val="center"/>
            </w:pPr>
            <w:r w:rsidRPr="00265DCB">
              <w:t>1.01</w:t>
            </w:r>
            <w:r w:rsidRPr="00265DCB">
              <w:rPr>
                <w:vertAlign w:val="superscript"/>
              </w:rPr>
              <w:t>c</w:t>
            </w:r>
            <w:r w:rsidRPr="00265DCB">
              <w:t>±0.04</w:t>
            </w:r>
          </w:p>
        </w:tc>
        <w:tc>
          <w:tcPr>
            <w:tcW w:w="1980" w:type="dxa"/>
          </w:tcPr>
          <w:p w14:paraId="1E1FEC6C" w14:textId="54AC9720" w:rsidR="009D510B" w:rsidRPr="00265DCB" w:rsidRDefault="009D510B" w:rsidP="00A1039E">
            <w:pPr>
              <w:spacing w:before="60" w:after="60"/>
              <w:jc w:val="center"/>
            </w:pPr>
            <w:r w:rsidRPr="00265DCB">
              <w:t>1.33</w:t>
            </w:r>
            <w:r w:rsidRPr="00265DCB">
              <w:rPr>
                <w:vertAlign w:val="superscript"/>
              </w:rPr>
              <w:t>b</w:t>
            </w:r>
            <w:r w:rsidRPr="00265DCB">
              <w:t>±0.08</w:t>
            </w:r>
          </w:p>
        </w:tc>
        <w:tc>
          <w:tcPr>
            <w:tcW w:w="1800" w:type="dxa"/>
          </w:tcPr>
          <w:p w14:paraId="49BDBE54" w14:textId="7C2E8F85" w:rsidR="009D510B" w:rsidRPr="00265DCB" w:rsidRDefault="009D510B" w:rsidP="00A1039E">
            <w:pPr>
              <w:spacing w:before="60" w:after="60"/>
              <w:jc w:val="center"/>
            </w:pPr>
            <w:r w:rsidRPr="00265DCB">
              <w:t>0.83</w:t>
            </w:r>
            <w:r w:rsidRPr="00265DCB">
              <w:rPr>
                <w:vertAlign w:val="superscript"/>
              </w:rPr>
              <w:t>d</w:t>
            </w:r>
            <w:r w:rsidRPr="00265DCB">
              <w:t>±0.02</w:t>
            </w:r>
          </w:p>
        </w:tc>
        <w:tc>
          <w:tcPr>
            <w:tcW w:w="1800" w:type="dxa"/>
          </w:tcPr>
          <w:p w14:paraId="0F3B8738" w14:textId="2144ECE9" w:rsidR="009D510B" w:rsidRPr="00265DCB" w:rsidRDefault="009D510B" w:rsidP="00A1039E">
            <w:pPr>
              <w:spacing w:before="60" w:after="60"/>
              <w:jc w:val="center"/>
            </w:pPr>
            <w:r w:rsidRPr="00265DCB">
              <w:t>1.10</w:t>
            </w:r>
            <w:r w:rsidRPr="00265DCB">
              <w:rPr>
                <w:vertAlign w:val="superscript"/>
              </w:rPr>
              <w:t>c</w:t>
            </w:r>
            <w:r w:rsidRPr="00265DCB">
              <w:t>±0.08</w:t>
            </w:r>
          </w:p>
        </w:tc>
        <w:tc>
          <w:tcPr>
            <w:tcW w:w="1819" w:type="dxa"/>
          </w:tcPr>
          <w:p w14:paraId="79BF15A1" w14:textId="6C416967" w:rsidR="009D510B" w:rsidRPr="00265DCB" w:rsidRDefault="009D510B" w:rsidP="00A1039E">
            <w:pPr>
              <w:spacing w:before="60" w:after="60"/>
              <w:jc w:val="center"/>
            </w:pPr>
            <w:r w:rsidRPr="00265DCB">
              <w:t>1.71</w:t>
            </w:r>
            <w:r w:rsidRPr="00265DCB">
              <w:rPr>
                <w:vertAlign w:val="superscript"/>
              </w:rPr>
              <w:t>a</w:t>
            </w:r>
            <w:r w:rsidRPr="00265DCB">
              <w:t>±0.06</w:t>
            </w:r>
          </w:p>
        </w:tc>
        <w:tc>
          <w:tcPr>
            <w:tcW w:w="1350" w:type="dxa"/>
          </w:tcPr>
          <w:p w14:paraId="685FA28A" w14:textId="6C34B6F1" w:rsidR="009D510B" w:rsidRPr="00265DCB" w:rsidRDefault="009D510B" w:rsidP="00A1039E">
            <w:pPr>
              <w:spacing w:before="60" w:after="60"/>
              <w:jc w:val="center"/>
            </w:pPr>
            <w:r w:rsidRPr="00265DCB">
              <w:t>&lt;0.10</w:t>
            </w:r>
          </w:p>
        </w:tc>
        <w:tc>
          <w:tcPr>
            <w:tcW w:w="1350" w:type="dxa"/>
          </w:tcPr>
          <w:p w14:paraId="16316BAD" w14:textId="5441C073" w:rsidR="009D510B" w:rsidRPr="00265DCB" w:rsidRDefault="00747493" w:rsidP="00A1039E">
            <w:pPr>
              <w:spacing w:before="60" w:after="60"/>
              <w:jc w:val="center"/>
            </w:pPr>
            <w:r w:rsidRPr="00265DCB">
              <w:t>5</w:t>
            </w:r>
          </w:p>
        </w:tc>
      </w:tr>
    </w:tbl>
    <w:p w14:paraId="7623FD06" w14:textId="151B337D" w:rsidR="003901B1" w:rsidRPr="00265DCB" w:rsidRDefault="003901B1" w:rsidP="0072151C">
      <w:pPr>
        <w:jc w:val="both"/>
        <w:sectPr w:rsidR="003901B1" w:rsidRPr="00265DCB" w:rsidSect="00917ABA">
          <w:pgSz w:w="16838" w:h="11906" w:orient="landscape" w:code="9"/>
          <w:pgMar w:top="1440" w:right="1440" w:bottom="1440" w:left="1440" w:header="708" w:footer="708" w:gutter="0"/>
          <w:cols w:space="708"/>
          <w:docGrid w:linePitch="360"/>
        </w:sectPr>
      </w:pPr>
      <w:r w:rsidRPr="00265DCB">
        <w:rPr>
          <w:vertAlign w:val="superscript"/>
        </w:rPr>
        <w:t>*</w:t>
      </w:r>
      <w:r w:rsidRPr="00265DCB">
        <w:rPr>
          <w:sz w:val="18"/>
          <w:szCs w:val="18"/>
        </w:rPr>
        <w:t xml:space="preserve"> McDowell</w:t>
      </w:r>
      <w:r w:rsidRPr="00265DCB">
        <w:rPr>
          <w:color w:val="000000"/>
          <w:sz w:val="18"/>
          <w:szCs w:val="18"/>
        </w:rPr>
        <w:t xml:space="preserve"> (1997)</w:t>
      </w:r>
      <w:r w:rsidR="00730617" w:rsidRPr="00265DCB">
        <w:rPr>
          <w:color w:val="000000"/>
          <w:sz w:val="18"/>
          <w:szCs w:val="18"/>
        </w:rPr>
        <w:t xml:space="preserve"> and</w:t>
      </w:r>
      <w:r w:rsidR="005E6E87" w:rsidRPr="00265DCB">
        <w:rPr>
          <w:color w:val="000000"/>
          <w:sz w:val="18"/>
          <w:szCs w:val="18"/>
        </w:rPr>
        <w:t xml:space="preserve"> **)</w:t>
      </w:r>
      <w:r w:rsidR="00730617" w:rsidRPr="00265DCB">
        <w:rPr>
          <w:color w:val="000000"/>
          <w:sz w:val="18"/>
          <w:szCs w:val="18"/>
        </w:rPr>
        <w:t xml:space="preserve"> </w:t>
      </w:r>
      <w:r w:rsidR="00730617" w:rsidRPr="00265DCB">
        <w:rPr>
          <w:sz w:val="18"/>
          <w:szCs w:val="18"/>
        </w:rPr>
        <w:t>NRC</w:t>
      </w:r>
      <w:r w:rsidR="0032134E" w:rsidRPr="00265DCB">
        <w:rPr>
          <w:sz w:val="18"/>
          <w:szCs w:val="18"/>
        </w:rPr>
        <w:t xml:space="preserve"> (2000)</w:t>
      </w:r>
    </w:p>
    <w:p w14:paraId="5DEE7F10" w14:textId="5902F273" w:rsidR="00173EFE" w:rsidRPr="00265DCB" w:rsidRDefault="004D6C7C" w:rsidP="004D6C7C">
      <w:pPr>
        <w:jc w:val="center"/>
      </w:pPr>
      <w:r w:rsidRPr="00265DCB">
        <w:lastRenderedPageBreak/>
        <w:t xml:space="preserve">Table </w:t>
      </w:r>
      <w:r w:rsidR="006E00C1" w:rsidRPr="00265DCB">
        <w:t>4</w:t>
      </w:r>
      <w:r w:rsidRPr="00265DCB">
        <w:t xml:space="preserve">. Coefficient correlation (r) of </w:t>
      </w:r>
      <w:r w:rsidR="00C3057C" w:rsidRPr="00265DCB">
        <w:t xml:space="preserve">mineral concentration in </w:t>
      </w:r>
      <w:r w:rsidRPr="00265DCB">
        <w:t xml:space="preserve">soil and </w:t>
      </w:r>
      <w:r w:rsidR="00C3057C" w:rsidRPr="00265DCB">
        <w:t>forages</w:t>
      </w:r>
    </w:p>
    <w:tbl>
      <w:tblPr>
        <w:tblStyle w:val="TableGrid"/>
        <w:tblW w:w="0" w:type="auto"/>
        <w:tblInd w:w="2335" w:type="dxa"/>
        <w:tblLook w:val="04A0" w:firstRow="1" w:lastRow="0" w:firstColumn="1" w:lastColumn="0" w:noHBand="0" w:noVBand="1"/>
      </w:tblPr>
      <w:tblGrid>
        <w:gridCol w:w="2173"/>
        <w:gridCol w:w="1607"/>
      </w:tblGrid>
      <w:tr w:rsidR="004D6C7C" w:rsidRPr="00265DCB" w14:paraId="6919831F" w14:textId="77777777" w:rsidTr="004D6C7C">
        <w:tc>
          <w:tcPr>
            <w:tcW w:w="2173" w:type="dxa"/>
          </w:tcPr>
          <w:p w14:paraId="3AC5DCBC" w14:textId="2D1ED991" w:rsidR="004D6C7C" w:rsidRPr="00265DCB" w:rsidRDefault="004D6C7C" w:rsidP="004D6C7C">
            <w:pPr>
              <w:jc w:val="center"/>
            </w:pPr>
            <w:r w:rsidRPr="00265DCB">
              <w:t>Mineral</w:t>
            </w:r>
          </w:p>
        </w:tc>
        <w:tc>
          <w:tcPr>
            <w:tcW w:w="1607" w:type="dxa"/>
          </w:tcPr>
          <w:p w14:paraId="53B1DA88" w14:textId="40ABC9BB" w:rsidR="004D6C7C" w:rsidRPr="00265DCB" w:rsidRDefault="004D6C7C" w:rsidP="004D6C7C">
            <w:pPr>
              <w:jc w:val="center"/>
            </w:pPr>
            <w:r w:rsidRPr="00265DCB">
              <w:t>(r)</w:t>
            </w:r>
          </w:p>
        </w:tc>
      </w:tr>
      <w:tr w:rsidR="004D6C7C" w:rsidRPr="00265DCB" w14:paraId="02FE110B" w14:textId="77777777" w:rsidTr="004D6C7C">
        <w:tc>
          <w:tcPr>
            <w:tcW w:w="2173" w:type="dxa"/>
          </w:tcPr>
          <w:p w14:paraId="12C835CC" w14:textId="0E59F61B" w:rsidR="004D6C7C" w:rsidRPr="00265DCB" w:rsidRDefault="004D6C7C" w:rsidP="004D6C7C">
            <w:pPr>
              <w:jc w:val="center"/>
            </w:pPr>
            <w:r w:rsidRPr="00265DCB">
              <w:t>Macro mineral:</w:t>
            </w:r>
          </w:p>
        </w:tc>
        <w:tc>
          <w:tcPr>
            <w:tcW w:w="1607" w:type="dxa"/>
          </w:tcPr>
          <w:p w14:paraId="25C49E6A" w14:textId="70303857" w:rsidR="004D6C7C" w:rsidRPr="00265DCB" w:rsidRDefault="004D6C7C" w:rsidP="004D6C7C">
            <w:pPr>
              <w:jc w:val="center"/>
            </w:pPr>
          </w:p>
        </w:tc>
      </w:tr>
      <w:tr w:rsidR="004D6C7C" w:rsidRPr="00265DCB" w14:paraId="71782780" w14:textId="77777777" w:rsidTr="004D6C7C">
        <w:tc>
          <w:tcPr>
            <w:tcW w:w="2173" w:type="dxa"/>
          </w:tcPr>
          <w:p w14:paraId="67E07FE0" w14:textId="1966D9C3" w:rsidR="004D6C7C" w:rsidRPr="00265DCB" w:rsidRDefault="004D6C7C" w:rsidP="004D6C7C">
            <w:pPr>
              <w:jc w:val="center"/>
            </w:pPr>
            <w:r w:rsidRPr="00265DCB">
              <w:t>Ca</w:t>
            </w:r>
          </w:p>
        </w:tc>
        <w:tc>
          <w:tcPr>
            <w:tcW w:w="1607" w:type="dxa"/>
          </w:tcPr>
          <w:p w14:paraId="2A96AD03" w14:textId="0569CD64" w:rsidR="004D6C7C" w:rsidRPr="00265DCB" w:rsidRDefault="004D6C7C" w:rsidP="004D6C7C">
            <w:pPr>
              <w:jc w:val="center"/>
            </w:pPr>
            <w:r w:rsidRPr="00265DCB">
              <w:t>-0.31</w:t>
            </w:r>
          </w:p>
        </w:tc>
      </w:tr>
      <w:tr w:rsidR="004D6C7C" w:rsidRPr="00265DCB" w14:paraId="1B975D61" w14:textId="77777777" w:rsidTr="004D6C7C">
        <w:tc>
          <w:tcPr>
            <w:tcW w:w="2173" w:type="dxa"/>
          </w:tcPr>
          <w:p w14:paraId="29904A6B" w14:textId="19BCC49D" w:rsidR="004D6C7C" w:rsidRPr="00265DCB" w:rsidRDefault="004D6C7C" w:rsidP="004D6C7C">
            <w:pPr>
              <w:jc w:val="center"/>
            </w:pPr>
            <w:r w:rsidRPr="00265DCB">
              <w:t>P</w:t>
            </w:r>
          </w:p>
        </w:tc>
        <w:tc>
          <w:tcPr>
            <w:tcW w:w="1607" w:type="dxa"/>
          </w:tcPr>
          <w:p w14:paraId="1F83BA86" w14:textId="5D61122F" w:rsidR="004D6C7C" w:rsidRPr="00265DCB" w:rsidRDefault="004D6C7C" w:rsidP="004D6C7C">
            <w:pPr>
              <w:jc w:val="center"/>
            </w:pPr>
            <w:r w:rsidRPr="00265DCB">
              <w:t>0.70</w:t>
            </w:r>
          </w:p>
        </w:tc>
      </w:tr>
      <w:tr w:rsidR="004D6C7C" w:rsidRPr="00265DCB" w14:paraId="5B5AB719" w14:textId="77777777" w:rsidTr="004D6C7C">
        <w:tc>
          <w:tcPr>
            <w:tcW w:w="2173" w:type="dxa"/>
          </w:tcPr>
          <w:p w14:paraId="18E61CA5" w14:textId="79CF8C67" w:rsidR="004D6C7C" w:rsidRPr="00265DCB" w:rsidRDefault="004D6C7C" w:rsidP="004D6C7C">
            <w:pPr>
              <w:jc w:val="center"/>
            </w:pPr>
            <w:r w:rsidRPr="00265DCB">
              <w:t>Mg</w:t>
            </w:r>
          </w:p>
        </w:tc>
        <w:tc>
          <w:tcPr>
            <w:tcW w:w="1607" w:type="dxa"/>
          </w:tcPr>
          <w:p w14:paraId="4EE5A794" w14:textId="70038C35" w:rsidR="004D6C7C" w:rsidRPr="00265DCB" w:rsidRDefault="004D6C7C" w:rsidP="004D6C7C">
            <w:pPr>
              <w:jc w:val="center"/>
            </w:pPr>
            <w:r w:rsidRPr="00265DCB">
              <w:t>0.15</w:t>
            </w:r>
          </w:p>
        </w:tc>
      </w:tr>
      <w:tr w:rsidR="004D6C7C" w:rsidRPr="00265DCB" w14:paraId="3A1F9CCB" w14:textId="77777777" w:rsidTr="004D6C7C">
        <w:tc>
          <w:tcPr>
            <w:tcW w:w="2173" w:type="dxa"/>
          </w:tcPr>
          <w:p w14:paraId="422F2E39" w14:textId="1CFBA80A" w:rsidR="004D6C7C" w:rsidRPr="00265DCB" w:rsidRDefault="004D6C7C" w:rsidP="004D6C7C">
            <w:pPr>
              <w:jc w:val="center"/>
            </w:pPr>
            <w:r w:rsidRPr="00265DCB">
              <w:t>K</w:t>
            </w:r>
          </w:p>
        </w:tc>
        <w:tc>
          <w:tcPr>
            <w:tcW w:w="1607" w:type="dxa"/>
          </w:tcPr>
          <w:p w14:paraId="270D0904" w14:textId="5326C61D" w:rsidR="004D6C7C" w:rsidRPr="00265DCB" w:rsidRDefault="004D6C7C" w:rsidP="004D6C7C">
            <w:pPr>
              <w:jc w:val="center"/>
            </w:pPr>
            <w:r w:rsidRPr="00265DCB">
              <w:t>0.12</w:t>
            </w:r>
          </w:p>
        </w:tc>
      </w:tr>
      <w:tr w:rsidR="004D6C7C" w:rsidRPr="00265DCB" w14:paraId="703072A6" w14:textId="77777777" w:rsidTr="004D6C7C">
        <w:tc>
          <w:tcPr>
            <w:tcW w:w="2173" w:type="dxa"/>
          </w:tcPr>
          <w:p w14:paraId="69CEF661" w14:textId="7D6A4C1D" w:rsidR="004D6C7C" w:rsidRPr="00265DCB" w:rsidRDefault="004D6C7C" w:rsidP="004D6C7C">
            <w:pPr>
              <w:jc w:val="center"/>
            </w:pPr>
            <w:r w:rsidRPr="00265DCB">
              <w:t>Na</w:t>
            </w:r>
          </w:p>
        </w:tc>
        <w:tc>
          <w:tcPr>
            <w:tcW w:w="1607" w:type="dxa"/>
          </w:tcPr>
          <w:p w14:paraId="43CED0E3" w14:textId="118B1FEE" w:rsidR="004D6C7C" w:rsidRPr="00265DCB" w:rsidRDefault="004D6C7C" w:rsidP="004D6C7C">
            <w:pPr>
              <w:jc w:val="center"/>
            </w:pPr>
            <w:r w:rsidRPr="00265DCB">
              <w:t>-0.19</w:t>
            </w:r>
          </w:p>
        </w:tc>
      </w:tr>
      <w:tr w:rsidR="004D6C7C" w:rsidRPr="00265DCB" w14:paraId="1A4A2F0A" w14:textId="77777777" w:rsidTr="004D6C7C">
        <w:tc>
          <w:tcPr>
            <w:tcW w:w="2173" w:type="dxa"/>
          </w:tcPr>
          <w:p w14:paraId="10319A18" w14:textId="2A4A55AA" w:rsidR="004D6C7C" w:rsidRPr="00265DCB" w:rsidRDefault="004D6C7C" w:rsidP="004D6C7C">
            <w:pPr>
              <w:jc w:val="center"/>
            </w:pPr>
            <w:r w:rsidRPr="00265DCB">
              <w:t>S</w:t>
            </w:r>
          </w:p>
        </w:tc>
        <w:tc>
          <w:tcPr>
            <w:tcW w:w="1607" w:type="dxa"/>
          </w:tcPr>
          <w:p w14:paraId="59F154AC" w14:textId="21549553" w:rsidR="004D6C7C" w:rsidRPr="00265DCB" w:rsidRDefault="004D6C7C" w:rsidP="004D6C7C">
            <w:pPr>
              <w:jc w:val="center"/>
            </w:pPr>
            <w:r w:rsidRPr="00265DCB">
              <w:t>0.65</w:t>
            </w:r>
          </w:p>
        </w:tc>
      </w:tr>
      <w:tr w:rsidR="004D6C7C" w:rsidRPr="00265DCB" w14:paraId="720A9637" w14:textId="77777777" w:rsidTr="004D6C7C">
        <w:tc>
          <w:tcPr>
            <w:tcW w:w="2173" w:type="dxa"/>
          </w:tcPr>
          <w:p w14:paraId="2AFB6355" w14:textId="3FA27EF7" w:rsidR="004D6C7C" w:rsidRPr="00265DCB" w:rsidRDefault="004D6C7C" w:rsidP="004D6C7C">
            <w:pPr>
              <w:jc w:val="center"/>
            </w:pPr>
            <w:r w:rsidRPr="00265DCB">
              <w:t>Trace mineral:</w:t>
            </w:r>
          </w:p>
        </w:tc>
        <w:tc>
          <w:tcPr>
            <w:tcW w:w="1607" w:type="dxa"/>
          </w:tcPr>
          <w:p w14:paraId="091E7F69" w14:textId="77777777" w:rsidR="004D6C7C" w:rsidRPr="00265DCB" w:rsidRDefault="004D6C7C" w:rsidP="004D6C7C">
            <w:pPr>
              <w:jc w:val="center"/>
            </w:pPr>
          </w:p>
        </w:tc>
      </w:tr>
      <w:tr w:rsidR="004D6C7C" w:rsidRPr="00265DCB" w14:paraId="3E501A2E" w14:textId="77777777" w:rsidTr="004D6C7C">
        <w:tc>
          <w:tcPr>
            <w:tcW w:w="2173" w:type="dxa"/>
          </w:tcPr>
          <w:p w14:paraId="1B31A93A" w14:textId="658B16D7" w:rsidR="004D6C7C" w:rsidRPr="00265DCB" w:rsidRDefault="004D6C7C" w:rsidP="004D6C7C">
            <w:pPr>
              <w:jc w:val="center"/>
            </w:pPr>
            <w:r w:rsidRPr="00265DCB">
              <w:t>Fe</w:t>
            </w:r>
          </w:p>
        </w:tc>
        <w:tc>
          <w:tcPr>
            <w:tcW w:w="1607" w:type="dxa"/>
          </w:tcPr>
          <w:p w14:paraId="5B35E99D" w14:textId="5C1D9090" w:rsidR="004D6C7C" w:rsidRPr="00265DCB" w:rsidRDefault="004D6C7C" w:rsidP="004D6C7C">
            <w:pPr>
              <w:jc w:val="center"/>
            </w:pPr>
            <w:r w:rsidRPr="00265DCB">
              <w:t>-0.09</w:t>
            </w:r>
          </w:p>
        </w:tc>
      </w:tr>
      <w:tr w:rsidR="004D6C7C" w:rsidRPr="00265DCB" w14:paraId="6E19189C" w14:textId="77777777" w:rsidTr="004D6C7C">
        <w:tc>
          <w:tcPr>
            <w:tcW w:w="2173" w:type="dxa"/>
          </w:tcPr>
          <w:p w14:paraId="223F1715" w14:textId="028B72AA" w:rsidR="004D6C7C" w:rsidRPr="00265DCB" w:rsidRDefault="004D6C7C" w:rsidP="004D6C7C">
            <w:pPr>
              <w:jc w:val="center"/>
            </w:pPr>
            <w:r w:rsidRPr="00265DCB">
              <w:t>Zn</w:t>
            </w:r>
          </w:p>
        </w:tc>
        <w:tc>
          <w:tcPr>
            <w:tcW w:w="1607" w:type="dxa"/>
          </w:tcPr>
          <w:p w14:paraId="69654BC8" w14:textId="375C8874" w:rsidR="004D6C7C" w:rsidRPr="00265DCB" w:rsidRDefault="004D6C7C" w:rsidP="004D6C7C">
            <w:pPr>
              <w:jc w:val="center"/>
            </w:pPr>
            <w:r w:rsidRPr="00265DCB">
              <w:t>-0.03</w:t>
            </w:r>
          </w:p>
        </w:tc>
      </w:tr>
      <w:tr w:rsidR="004D6C7C" w:rsidRPr="00265DCB" w14:paraId="2B576E37" w14:textId="77777777" w:rsidTr="004D6C7C">
        <w:tc>
          <w:tcPr>
            <w:tcW w:w="2173" w:type="dxa"/>
          </w:tcPr>
          <w:p w14:paraId="53D21A86" w14:textId="555F27CB" w:rsidR="004D6C7C" w:rsidRPr="00265DCB" w:rsidRDefault="004D6C7C" w:rsidP="004D6C7C">
            <w:pPr>
              <w:jc w:val="center"/>
            </w:pPr>
            <w:r w:rsidRPr="00265DCB">
              <w:t>Cu</w:t>
            </w:r>
          </w:p>
        </w:tc>
        <w:tc>
          <w:tcPr>
            <w:tcW w:w="1607" w:type="dxa"/>
          </w:tcPr>
          <w:p w14:paraId="3E505847" w14:textId="3B99F23E" w:rsidR="004D6C7C" w:rsidRPr="00265DCB" w:rsidRDefault="004D6C7C" w:rsidP="004D6C7C">
            <w:pPr>
              <w:jc w:val="center"/>
            </w:pPr>
            <w:r w:rsidRPr="00265DCB">
              <w:t>-0.15</w:t>
            </w:r>
          </w:p>
        </w:tc>
      </w:tr>
      <w:tr w:rsidR="004D6C7C" w:rsidRPr="00265DCB" w14:paraId="48CC13B1" w14:textId="77777777" w:rsidTr="004D6C7C">
        <w:tc>
          <w:tcPr>
            <w:tcW w:w="2173" w:type="dxa"/>
          </w:tcPr>
          <w:p w14:paraId="542C0653" w14:textId="18DA1D51" w:rsidR="004D6C7C" w:rsidRPr="00265DCB" w:rsidRDefault="004D6C7C" w:rsidP="004D6C7C">
            <w:pPr>
              <w:jc w:val="center"/>
            </w:pPr>
            <w:r w:rsidRPr="00265DCB">
              <w:t>Mn</w:t>
            </w:r>
          </w:p>
        </w:tc>
        <w:tc>
          <w:tcPr>
            <w:tcW w:w="1607" w:type="dxa"/>
          </w:tcPr>
          <w:p w14:paraId="37FB8FE5" w14:textId="5D485729" w:rsidR="004D6C7C" w:rsidRPr="00265DCB" w:rsidRDefault="004D6C7C" w:rsidP="004D6C7C">
            <w:pPr>
              <w:jc w:val="center"/>
            </w:pPr>
            <w:r w:rsidRPr="00265DCB">
              <w:t>-0.30</w:t>
            </w:r>
          </w:p>
        </w:tc>
      </w:tr>
      <w:tr w:rsidR="004D6C7C" w:rsidRPr="00265DCB" w14:paraId="1314D5C7" w14:textId="77777777" w:rsidTr="004D6C7C">
        <w:tc>
          <w:tcPr>
            <w:tcW w:w="2173" w:type="dxa"/>
          </w:tcPr>
          <w:p w14:paraId="581C3C6D" w14:textId="7F898A2E" w:rsidR="004D6C7C" w:rsidRPr="00265DCB" w:rsidRDefault="004D6C7C" w:rsidP="004D6C7C">
            <w:pPr>
              <w:jc w:val="center"/>
            </w:pPr>
            <w:r w:rsidRPr="00265DCB">
              <w:t>Co</w:t>
            </w:r>
          </w:p>
        </w:tc>
        <w:tc>
          <w:tcPr>
            <w:tcW w:w="1607" w:type="dxa"/>
          </w:tcPr>
          <w:p w14:paraId="4E46F43E" w14:textId="7892E2C9" w:rsidR="004D6C7C" w:rsidRPr="00265DCB" w:rsidRDefault="004D6C7C" w:rsidP="004D6C7C">
            <w:pPr>
              <w:jc w:val="center"/>
            </w:pPr>
            <w:r w:rsidRPr="00265DCB">
              <w:t>0.48</w:t>
            </w:r>
          </w:p>
        </w:tc>
      </w:tr>
      <w:tr w:rsidR="004D6C7C" w:rsidRPr="00265DCB" w14:paraId="4120E1B6" w14:textId="77777777" w:rsidTr="004D6C7C">
        <w:tc>
          <w:tcPr>
            <w:tcW w:w="2173" w:type="dxa"/>
          </w:tcPr>
          <w:p w14:paraId="2159F24F" w14:textId="5971AFDA" w:rsidR="004D6C7C" w:rsidRPr="00265DCB" w:rsidRDefault="004D6C7C" w:rsidP="004D6C7C">
            <w:pPr>
              <w:jc w:val="center"/>
            </w:pPr>
            <w:r w:rsidRPr="00265DCB">
              <w:t>Se</w:t>
            </w:r>
          </w:p>
        </w:tc>
        <w:tc>
          <w:tcPr>
            <w:tcW w:w="1607" w:type="dxa"/>
          </w:tcPr>
          <w:p w14:paraId="12B19153" w14:textId="426950AA" w:rsidR="004D6C7C" w:rsidRPr="00265DCB" w:rsidRDefault="004D6C7C" w:rsidP="004D6C7C">
            <w:pPr>
              <w:jc w:val="center"/>
            </w:pPr>
            <w:r w:rsidRPr="00265DCB">
              <w:t>-0.13</w:t>
            </w:r>
          </w:p>
        </w:tc>
      </w:tr>
    </w:tbl>
    <w:p w14:paraId="716AAD3E" w14:textId="77777777" w:rsidR="00D1192B" w:rsidRPr="00265DCB" w:rsidRDefault="00D1192B" w:rsidP="00D1192B"/>
    <w:p w14:paraId="212E9A1D" w14:textId="77777777" w:rsidR="00D1192B" w:rsidRPr="00265DCB" w:rsidRDefault="00D1192B" w:rsidP="00D1192B"/>
    <w:p w14:paraId="53B4263C" w14:textId="77777777" w:rsidR="00D1192B" w:rsidRPr="00265DCB" w:rsidRDefault="00D1192B" w:rsidP="00D1192B"/>
    <w:p w14:paraId="040D1576" w14:textId="2CABDAB0" w:rsidR="00092333" w:rsidRPr="00265DCB" w:rsidRDefault="00E6769C" w:rsidP="00525BA3">
      <w:pPr>
        <w:spacing w:line="480" w:lineRule="auto"/>
        <w:jc w:val="center"/>
        <w:rPr>
          <w:b/>
          <w:bCs/>
        </w:rPr>
      </w:pPr>
      <w:r w:rsidRPr="00265DCB">
        <w:rPr>
          <w:b/>
          <w:bCs/>
        </w:rPr>
        <w:t>CONCLUSION</w:t>
      </w:r>
    </w:p>
    <w:p w14:paraId="1DC501CC" w14:textId="536E7CF5" w:rsidR="00C37F47" w:rsidRPr="00265DCB" w:rsidRDefault="00E40BED" w:rsidP="00525BA3">
      <w:pPr>
        <w:spacing w:line="480" w:lineRule="auto"/>
        <w:ind w:firstLine="720"/>
        <w:jc w:val="both"/>
      </w:pPr>
      <w:r w:rsidRPr="00265DCB">
        <w:t>The essential mineral concentration of volcanic soils and forages in the eruption-impacted areas varied amongst the volcanoes. Except for P and S, there are fewer minerals correlated in forages with minerals in the volcanic soils. This variation in mineral concentrations of forages could have significant implications for the nutritional status of grazing cattle. Considering mineral requirements for cattle, forage plants exceeded tolerable levels of high K, S, and Cu content; they were favorable to Ca, Mg, Zn, Co, and Se concentrations but were deficient in P and Na. It is suggested that the essential minerals most likely to limit cattle productivity in the eruption-impacted areas are P, Na, K, S, and Cu.</w:t>
      </w:r>
      <w:r w:rsidR="00525BA3" w:rsidRPr="00265DCB">
        <w:t xml:space="preserve"> </w:t>
      </w:r>
      <w:r w:rsidR="00C37F47" w:rsidRPr="00265DCB">
        <w:t>Consequently, grazing</w:t>
      </w:r>
      <w:r w:rsidR="00525BA3" w:rsidRPr="00265DCB">
        <w:t xml:space="preserve"> </w:t>
      </w:r>
      <w:r w:rsidR="00C37F47" w:rsidRPr="00265DCB">
        <w:t xml:space="preserve">animals at this location </w:t>
      </w:r>
      <w:r w:rsidR="00FB6652">
        <w:t xml:space="preserve">need continued mineral supplementation </w:t>
      </w:r>
      <w:r w:rsidR="004709E4">
        <w:t xml:space="preserve">to prevent diseases caused by nutrient deficiency and </w:t>
      </w:r>
      <w:r w:rsidR="00C37F47" w:rsidRPr="00265DCB">
        <w:t>support optimum animal productivity.</w:t>
      </w:r>
    </w:p>
    <w:p w14:paraId="7BE34439" w14:textId="77777777" w:rsidR="00092333" w:rsidRPr="00265DCB" w:rsidRDefault="00092333" w:rsidP="002E015E">
      <w:pPr>
        <w:spacing w:line="360" w:lineRule="auto"/>
      </w:pPr>
    </w:p>
    <w:p w14:paraId="5133E312" w14:textId="275C795E" w:rsidR="004F294B" w:rsidRPr="00265DCB" w:rsidRDefault="002F0502" w:rsidP="002F0502">
      <w:pPr>
        <w:spacing w:line="360" w:lineRule="auto"/>
        <w:rPr>
          <w:b/>
          <w:bCs/>
        </w:rPr>
      </w:pPr>
      <w:r w:rsidRPr="00265DCB">
        <w:rPr>
          <w:b/>
          <w:bCs/>
        </w:rPr>
        <w:t>ACKNOWLEDGMENTS</w:t>
      </w:r>
    </w:p>
    <w:p w14:paraId="48B424EA" w14:textId="21A8CAC4" w:rsidR="00395244" w:rsidRDefault="00395244" w:rsidP="00395244">
      <w:pPr>
        <w:tabs>
          <w:tab w:val="num" w:pos="720"/>
        </w:tabs>
        <w:spacing w:line="480" w:lineRule="auto"/>
        <w:jc w:val="both"/>
      </w:pPr>
      <w:r w:rsidRPr="00265DCB">
        <w:tab/>
      </w:r>
      <w:r w:rsidR="004F294B" w:rsidRPr="00265DCB">
        <w:t xml:space="preserve">We </w:t>
      </w:r>
      <w:r w:rsidR="004709E4">
        <w:t>thank</w:t>
      </w:r>
      <w:r w:rsidR="004F294B" w:rsidRPr="00265DCB">
        <w:t xml:space="preserve"> </w:t>
      </w:r>
      <w:r w:rsidRPr="00265DCB">
        <w:t xml:space="preserve">the </w:t>
      </w:r>
      <w:r w:rsidR="00834643" w:rsidRPr="00265DCB">
        <w:t>Ministry</w:t>
      </w:r>
      <w:r w:rsidRPr="00265DCB">
        <w:t xml:space="preserve"> of Education, Culture, Research, and Technology and the Center for Research and Community Service (LPPM) of </w:t>
      </w:r>
      <w:proofErr w:type="spellStart"/>
      <w:r w:rsidRPr="00265DCB">
        <w:t>Andalas</w:t>
      </w:r>
      <w:proofErr w:type="spellEnd"/>
      <w:r w:rsidRPr="00265DCB">
        <w:t xml:space="preserve"> University, which financially supported the research project. The present study is part of the </w:t>
      </w:r>
      <w:r w:rsidR="00A1039E" w:rsidRPr="00265DCB">
        <w:t>project</w:t>
      </w:r>
      <w:r w:rsidRPr="00265DCB">
        <w:t xml:space="preserve"> titled: (1). Design of </w:t>
      </w:r>
      <w:r w:rsidRPr="00265DCB">
        <w:lastRenderedPageBreak/>
        <w:t xml:space="preserve">Livestock Farming System Based on Mineral Status, Botanical Composition, and Biomass Production of Forages for Land and Economic Restoration in the High-risk Volcanic areas in Indonesia (Research Scheme: </w:t>
      </w:r>
      <w:proofErr w:type="spellStart"/>
      <w:r w:rsidRPr="00265DCB">
        <w:t>Kerja</w:t>
      </w:r>
      <w:proofErr w:type="spellEnd"/>
      <w:r w:rsidRPr="00265DCB">
        <w:t xml:space="preserve"> </w:t>
      </w:r>
      <w:proofErr w:type="spellStart"/>
      <w:r w:rsidRPr="00265DCB">
        <w:t>Sama</w:t>
      </w:r>
      <w:proofErr w:type="spellEnd"/>
      <w:r w:rsidRPr="00265DCB">
        <w:t xml:space="preserve"> </w:t>
      </w:r>
      <w:proofErr w:type="spellStart"/>
      <w:r w:rsidRPr="00265DCB">
        <w:t>Dalam</w:t>
      </w:r>
      <w:proofErr w:type="spellEnd"/>
      <w:r w:rsidRPr="00265DCB">
        <w:t xml:space="preserve"> </w:t>
      </w:r>
      <w:proofErr w:type="spellStart"/>
      <w:r w:rsidRPr="00265DCB">
        <w:t>Negeri</w:t>
      </w:r>
      <w:proofErr w:type="spellEnd"/>
      <w:r w:rsidRPr="00265DCB">
        <w:t xml:space="preserve"> </w:t>
      </w:r>
      <w:proofErr w:type="spellStart"/>
      <w:r w:rsidRPr="00265DCB">
        <w:t>Tahun</w:t>
      </w:r>
      <w:proofErr w:type="spellEnd"/>
      <w:r w:rsidRPr="00265DCB">
        <w:t xml:space="preserve"> 2023;  grant number: 115/E5/PG.02.00.PL/2023 and 88/UN16.19/PT.01.03./2023), (2) Design of feed formula to improve the mineral and nutritional status of cattle in the eruption-impacted areas of Mount Marapi, West Sumatra (Research scheme: </w:t>
      </w:r>
      <w:proofErr w:type="spellStart"/>
      <w:r w:rsidRPr="00265DCB">
        <w:t>Penilitian</w:t>
      </w:r>
      <w:proofErr w:type="spellEnd"/>
      <w:r w:rsidRPr="00265DCB">
        <w:t xml:space="preserve"> </w:t>
      </w:r>
      <w:proofErr w:type="spellStart"/>
      <w:r w:rsidRPr="00265DCB">
        <w:t>Unggulan</w:t>
      </w:r>
      <w:proofErr w:type="spellEnd"/>
      <w:r w:rsidRPr="00265DCB">
        <w:t xml:space="preserve"> </w:t>
      </w:r>
      <w:proofErr w:type="spellStart"/>
      <w:r w:rsidRPr="00265DCB">
        <w:t>Jalur</w:t>
      </w:r>
      <w:proofErr w:type="spellEnd"/>
      <w:r w:rsidRPr="00265DCB">
        <w:t xml:space="preserve"> </w:t>
      </w:r>
      <w:proofErr w:type="spellStart"/>
      <w:r w:rsidRPr="00265DCB">
        <w:t>Kepapakaran</w:t>
      </w:r>
      <w:proofErr w:type="spellEnd"/>
      <w:r w:rsidRPr="00265DCB">
        <w:t xml:space="preserve"> (PUJK) Batch I; grant number: 351/UN16.19/PT.01.03/PUJK/2024 </w:t>
      </w:r>
      <w:proofErr w:type="spellStart"/>
      <w:r w:rsidRPr="00265DCB">
        <w:t>Tahun</w:t>
      </w:r>
      <w:proofErr w:type="spellEnd"/>
      <w:r w:rsidRPr="00265DCB">
        <w:t xml:space="preserve"> </w:t>
      </w:r>
      <w:proofErr w:type="spellStart"/>
      <w:r w:rsidRPr="00265DCB">
        <w:t>Anggaran</w:t>
      </w:r>
      <w:proofErr w:type="spellEnd"/>
      <w:r w:rsidRPr="00265DCB">
        <w:t xml:space="preserve"> 2024)</w:t>
      </w:r>
      <w:r w:rsidR="00F32718">
        <w:t>.</w:t>
      </w:r>
    </w:p>
    <w:p w14:paraId="7F5CE3D7" w14:textId="77777777" w:rsidR="00F32718" w:rsidRDefault="00F32718" w:rsidP="00395244">
      <w:pPr>
        <w:tabs>
          <w:tab w:val="num" w:pos="720"/>
        </w:tabs>
        <w:spacing w:line="480" w:lineRule="auto"/>
        <w:jc w:val="both"/>
      </w:pPr>
    </w:p>
    <w:p w14:paraId="71383F85" w14:textId="1337CA8E" w:rsidR="00F32718" w:rsidRPr="00B76F13" w:rsidRDefault="002F0502" w:rsidP="00F32718">
      <w:pPr>
        <w:pStyle w:val="Default"/>
        <w:spacing w:line="480" w:lineRule="auto"/>
        <w:jc w:val="both"/>
        <w:rPr>
          <w:rFonts w:ascii="Times New Roman" w:hAnsi="Times New Roman" w:cs="Times New Roman"/>
          <w:b/>
          <w:bCs/>
        </w:rPr>
      </w:pPr>
      <w:r w:rsidRPr="00B76F13">
        <w:rPr>
          <w:rFonts w:ascii="Times New Roman" w:hAnsi="Times New Roman" w:cs="Times New Roman"/>
          <w:b/>
          <w:bCs/>
        </w:rPr>
        <w:t>AUTHOR CONTRIBUTIONS</w:t>
      </w:r>
    </w:p>
    <w:p w14:paraId="15E9D3C5" w14:textId="5D0E7E84" w:rsidR="00F32718" w:rsidRPr="00B76F13" w:rsidRDefault="00F32718" w:rsidP="00F32718">
      <w:pPr>
        <w:pStyle w:val="Default"/>
        <w:spacing w:line="480" w:lineRule="auto"/>
        <w:ind w:firstLine="720"/>
        <w:jc w:val="both"/>
        <w:rPr>
          <w:rFonts w:ascii="Times New Roman" w:hAnsi="Times New Roman" w:cs="Times New Roman"/>
        </w:rPr>
      </w:pPr>
      <w:r>
        <w:rPr>
          <w:rFonts w:ascii="Times New Roman" w:hAnsi="Times New Roman" w:cs="Times New Roman"/>
        </w:rPr>
        <w:t>Designed the study:</w:t>
      </w:r>
      <w:r w:rsidRPr="00B76F13">
        <w:rPr>
          <w:rFonts w:ascii="Times New Roman" w:hAnsi="Times New Roman" w:cs="Times New Roman"/>
        </w:rPr>
        <w:t xml:space="preserve"> Khalil</w:t>
      </w:r>
      <w:r w:rsidR="00142FC9">
        <w:rPr>
          <w:rFonts w:ascii="Times New Roman" w:hAnsi="Times New Roman" w:cs="Times New Roman"/>
        </w:rPr>
        <w:t xml:space="preserve"> </w:t>
      </w:r>
      <w:r w:rsidRPr="00B76F13">
        <w:rPr>
          <w:rFonts w:ascii="Times New Roman" w:hAnsi="Times New Roman" w:cs="Times New Roman"/>
        </w:rPr>
        <w:t xml:space="preserve">and </w:t>
      </w:r>
      <w:proofErr w:type="spellStart"/>
      <w:r>
        <w:rPr>
          <w:rFonts w:ascii="Times New Roman" w:hAnsi="Times New Roman" w:cs="Times New Roman"/>
        </w:rPr>
        <w:t>Joelal</w:t>
      </w:r>
      <w:proofErr w:type="spellEnd"/>
      <w:r>
        <w:rPr>
          <w:rFonts w:ascii="Times New Roman" w:hAnsi="Times New Roman" w:cs="Times New Roman"/>
        </w:rPr>
        <w:t xml:space="preserve"> </w:t>
      </w:r>
      <w:proofErr w:type="spellStart"/>
      <w:r>
        <w:rPr>
          <w:rFonts w:ascii="Times New Roman" w:hAnsi="Times New Roman" w:cs="Times New Roman"/>
        </w:rPr>
        <w:t>Achmadi</w:t>
      </w:r>
      <w:proofErr w:type="spellEnd"/>
      <w:r>
        <w:rPr>
          <w:rFonts w:ascii="Times New Roman" w:hAnsi="Times New Roman" w:cs="Times New Roman"/>
        </w:rPr>
        <w:t>;</w:t>
      </w:r>
      <w:r w:rsidRPr="00B76F13">
        <w:rPr>
          <w:rFonts w:ascii="Times New Roman" w:hAnsi="Times New Roman" w:cs="Times New Roman"/>
        </w:rPr>
        <w:t xml:space="preserve"> data collecting and analyzing: </w:t>
      </w:r>
      <w:proofErr w:type="spellStart"/>
      <w:r w:rsidRPr="00B76F13">
        <w:rPr>
          <w:rFonts w:ascii="Times New Roman" w:hAnsi="Times New Roman" w:cs="Times New Roman"/>
        </w:rPr>
        <w:t>Dwi</w:t>
      </w:r>
      <w:proofErr w:type="spellEnd"/>
      <w:r w:rsidRPr="00B76F13">
        <w:rPr>
          <w:rFonts w:ascii="Times New Roman" w:hAnsi="Times New Roman" w:cs="Times New Roman"/>
        </w:rPr>
        <w:t xml:space="preserve"> Ananta</w:t>
      </w:r>
      <w:r w:rsidR="00142FC9">
        <w:rPr>
          <w:rFonts w:ascii="Times New Roman" w:hAnsi="Times New Roman" w:cs="Times New Roman"/>
        </w:rPr>
        <w:t xml:space="preserve">, </w:t>
      </w:r>
      <w:proofErr w:type="spellStart"/>
      <w:r w:rsidR="00142FC9">
        <w:rPr>
          <w:rFonts w:ascii="Times New Roman" w:hAnsi="Times New Roman" w:cs="Times New Roman"/>
        </w:rPr>
        <w:t>Suyitman</w:t>
      </w:r>
      <w:proofErr w:type="spellEnd"/>
      <w:r w:rsidR="00142FC9">
        <w:rPr>
          <w:rFonts w:ascii="Times New Roman" w:hAnsi="Times New Roman" w:cs="Times New Roman"/>
        </w:rPr>
        <w:t>,</w:t>
      </w:r>
      <w:r w:rsidRPr="00B76F13">
        <w:rPr>
          <w:rFonts w:ascii="Times New Roman" w:hAnsi="Times New Roman" w:cs="Times New Roman"/>
        </w:rPr>
        <w:t xml:space="preserve"> and </w:t>
      </w:r>
      <w:r>
        <w:rPr>
          <w:rFonts w:ascii="Times New Roman" w:hAnsi="Times New Roman" w:cs="Times New Roman"/>
        </w:rPr>
        <w:t xml:space="preserve">Reni </w:t>
      </w:r>
      <w:proofErr w:type="spellStart"/>
      <w:r>
        <w:rPr>
          <w:rFonts w:ascii="Times New Roman" w:hAnsi="Times New Roman" w:cs="Times New Roman"/>
        </w:rPr>
        <w:t>Novia</w:t>
      </w:r>
      <w:proofErr w:type="spellEnd"/>
      <w:r w:rsidR="00142FC9">
        <w:rPr>
          <w:rFonts w:ascii="Times New Roman" w:hAnsi="Times New Roman" w:cs="Times New Roman"/>
        </w:rPr>
        <w:t xml:space="preserve">; wrote the first draft: Khalil; Review and editing: </w:t>
      </w:r>
      <w:proofErr w:type="spellStart"/>
      <w:r w:rsidR="00142FC9">
        <w:rPr>
          <w:rFonts w:ascii="Times New Roman" w:hAnsi="Times New Roman" w:cs="Times New Roman"/>
        </w:rPr>
        <w:t>Suyitman</w:t>
      </w:r>
      <w:proofErr w:type="spellEnd"/>
      <w:r w:rsidR="00142FC9">
        <w:rPr>
          <w:rFonts w:ascii="Times New Roman" w:hAnsi="Times New Roman" w:cs="Times New Roman"/>
        </w:rPr>
        <w:t xml:space="preserve"> and </w:t>
      </w:r>
      <w:proofErr w:type="spellStart"/>
      <w:r w:rsidR="00142FC9">
        <w:rPr>
          <w:rFonts w:ascii="Times New Roman" w:hAnsi="Times New Roman" w:cs="Times New Roman"/>
        </w:rPr>
        <w:t>Joelal</w:t>
      </w:r>
      <w:proofErr w:type="spellEnd"/>
      <w:r w:rsidR="00142FC9">
        <w:rPr>
          <w:rFonts w:ascii="Times New Roman" w:hAnsi="Times New Roman" w:cs="Times New Roman"/>
        </w:rPr>
        <w:t xml:space="preserve"> Ahmadi</w:t>
      </w:r>
      <w:r w:rsidRPr="00B76F13">
        <w:rPr>
          <w:rFonts w:ascii="Times New Roman" w:hAnsi="Times New Roman" w:cs="Times New Roman"/>
        </w:rPr>
        <w:t>. All authors have read, commented, and agreed on the final draft of the manuscript.</w:t>
      </w:r>
    </w:p>
    <w:p w14:paraId="466DE92F" w14:textId="5B8D875C" w:rsidR="00F32718" w:rsidRPr="00B76F13" w:rsidRDefault="002F0502" w:rsidP="00F32718">
      <w:pPr>
        <w:pStyle w:val="Default"/>
        <w:spacing w:line="480" w:lineRule="auto"/>
        <w:jc w:val="both"/>
        <w:rPr>
          <w:rFonts w:ascii="Times New Roman" w:hAnsi="Times New Roman" w:cs="Times New Roman"/>
        </w:rPr>
      </w:pPr>
      <w:r w:rsidRPr="00B76F13">
        <w:rPr>
          <w:rFonts w:ascii="Times New Roman" w:hAnsi="Times New Roman" w:cs="Times New Roman"/>
          <w:b/>
          <w:bCs/>
        </w:rPr>
        <w:t>CONFLICTS OF INTEREST</w:t>
      </w:r>
      <w:r w:rsidRPr="00B76F13">
        <w:rPr>
          <w:rFonts w:ascii="Times New Roman" w:hAnsi="Times New Roman" w:cs="Times New Roman"/>
        </w:rPr>
        <w:t xml:space="preserve">: </w:t>
      </w:r>
      <w:r w:rsidR="00F32718" w:rsidRPr="00B76F13">
        <w:rPr>
          <w:rFonts w:ascii="Times New Roman" w:hAnsi="Times New Roman" w:cs="Times New Roman"/>
        </w:rPr>
        <w:t>The authors declare no conflict of interest.</w:t>
      </w:r>
    </w:p>
    <w:p w14:paraId="2E60281A" w14:textId="77777777" w:rsidR="00092333" w:rsidRPr="00265DCB" w:rsidRDefault="00092333" w:rsidP="00D1192B"/>
    <w:p w14:paraId="5EFDD086" w14:textId="77777777" w:rsidR="00572A78" w:rsidRPr="00265DCB" w:rsidRDefault="00572A78" w:rsidP="00D1192B"/>
    <w:p w14:paraId="43CE80C1" w14:textId="68A57401" w:rsidR="00D1192B" w:rsidRPr="00F32718" w:rsidRDefault="00D1192B" w:rsidP="004D4750">
      <w:pPr>
        <w:spacing w:line="480" w:lineRule="auto"/>
        <w:jc w:val="center"/>
        <w:rPr>
          <w:b/>
          <w:bCs/>
        </w:rPr>
      </w:pPr>
      <w:bookmarkStart w:id="2" w:name="_Hlk186981671"/>
      <w:r w:rsidRPr="00F32718">
        <w:rPr>
          <w:b/>
          <w:bCs/>
        </w:rPr>
        <w:t>REFERENCES</w:t>
      </w:r>
    </w:p>
    <w:bookmarkEnd w:id="2"/>
    <w:p w14:paraId="4F40220D" w14:textId="77777777" w:rsidR="003C1B24" w:rsidRPr="003C1B24" w:rsidRDefault="003C1B24" w:rsidP="003C1B24">
      <w:pPr>
        <w:spacing w:line="480" w:lineRule="auto"/>
        <w:ind w:left="630" w:hanging="630"/>
        <w:jc w:val="both"/>
      </w:pPr>
      <w:r w:rsidRPr="003C1B24">
        <w:t xml:space="preserve">Aini, L., B. </w:t>
      </w:r>
      <w:proofErr w:type="spellStart"/>
      <w:r w:rsidRPr="003C1B24">
        <w:t>Soenarminto</w:t>
      </w:r>
      <w:proofErr w:type="spellEnd"/>
      <w:r w:rsidRPr="003C1B24">
        <w:t xml:space="preserve">, E. </w:t>
      </w:r>
      <w:proofErr w:type="spellStart"/>
      <w:r w:rsidRPr="003C1B24">
        <w:t>Hanudin</w:t>
      </w:r>
      <w:proofErr w:type="spellEnd"/>
      <w:r w:rsidRPr="003C1B24">
        <w:t xml:space="preserve"> and J. </w:t>
      </w:r>
      <w:proofErr w:type="spellStart"/>
      <w:r w:rsidRPr="003C1B24">
        <w:t>Sartohadi</w:t>
      </w:r>
      <w:proofErr w:type="spellEnd"/>
      <w:r w:rsidRPr="003C1B24">
        <w:t>. 2019. Plant nutritional potency of recent volcanic materials from the southern flank of mt. Merapi, Indonesia. Bulgarian Journal of Agricultural Science, 25(3), 527–533.</w:t>
      </w:r>
    </w:p>
    <w:p w14:paraId="6A673DF0" w14:textId="77777777" w:rsidR="003C1B24" w:rsidRPr="003C1B24" w:rsidRDefault="003C1B24" w:rsidP="003C1B24">
      <w:pPr>
        <w:autoSpaceDE w:val="0"/>
        <w:autoSpaceDN w:val="0"/>
        <w:adjustRightInd w:val="0"/>
        <w:spacing w:line="480" w:lineRule="auto"/>
        <w:ind w:left="720" w:hanging="720"/>
        <w:jc w:val="both"/>
      </w:pPr>
      <w:r w:rsidRPr="003C1B24">
        <w:t>Association of Official Agricultural Chemists (AOAC). 2016</w:t>
      </w:r>
      <w:r w:rsidRPr="003C1B24">
        <w:rPr>
          <w:b/>
          <w:bCs/>
        </w:rPr>
        <w:t>.</w:t>
      </w:r>
      <w:r w:rsidRPr="003C1B24">
        <w:t xml:space="preserve"> Official methods of analysis of AOAC. International 20th Ed Maryland USA.</w:t>
      </w:r>
    </w:p>
    <w:p w14:paraId="15C00BA3" w14:textId="77777777" w:rsidR="003C1B24" w:rsidRPr="003C1B24" w:rsidRDefault="003C1B24" w:rsidP="003C1B24">
      <w:pPr>
        <w:autoSpaceDE w:val="0"/>
        <w:autoSpaceDN w:val="0"/>
        <w:adjustRightInd w:val="0"/>
        <w:spacing w:line="480" w:lineRule="auto"/>
        <w:ind w:left="720" w:hanging="720"/>
        <w:jc w:val="both"/>
      </w:pPr>
      <w:r w:rsidRPr="003C1B24">
        <w:t>Atomic Absorption Spectrophotometer (AAS)</w:t>
      </w:r>
      <w:r w:rsidRPr="003C1B24">
        <w:rPr>
          <w:b/>
          <w:bCs/>
        </w:rPr>
        <w:t>,</w:t>
      </w:r>
      <w:r w:rsidRPr="003C1B24">
        <w:t xml:space="preserve"> Analytical Methods for Atomic-Absorption Spectrophotometry. Perkin-Elmer Corporation Norwalk Connecticut, USA. 1980.</w:t>
      </w:r>
    </w:p>
    <w:p w14:paraId="038B31D4" w14:textId="0C2A8EAD" w:rsidR="003C1B24" w:rsidRPr="003C1B24" w:rsidRDefault="003C1B24" w:rsidP="003C1B24">
      <w:pPr>
        <w:spacing w:line="480" w:lineRule="auto"/>
        <w:ind w:left="630" w:hanging="630"/>
        <w:jc w:val="both"/>
      </w:pPr>
      <w:proofErr w:type="spellStart"/>
      <w:r w:rsidRPr="003C1B24">
        <w:t>Christia</w:t>
      </w:r>
      <w:proofErr w:type="spellEnd"/>
      <w:r w:rsidRPr="003C1B24">
        <w:t xml:space="preserve">, M. 2012. Experiences of people affected Merapi eruption in 2010: a qualitative study conducted in </w:t>
      </w:r>
      <w:proofErr w:type="spellStart"/>
      <w:r w:rsidRPr="003C1B24">
        <w:t>Krinjing</w:t>
      </w:r>
      <w:proofErr w:type="spellEnd"/>
      <w:r w:rsidRPr="003C1B24">
        <w:t xml:space="preserve"> village Indonesia. Master Thesis. University of Oslo. The Faculty </w:t>
      </w:r>
      <w:r w:rsidRPr="003C1B24">
        <w:lastRenderedPageBreak/>
        <w:t xml:space="preserve">of Medicine Institute of Health and Society Department of Community Medicine. Available at: </w:t>
      </w:r>
      <w:hyperlink r:id="rId11" w:history="1">
        <w:r w:rsidRPr="003C1B24">
          <w:rPr>
            <w:rStyle w:val="Hyperlink"/>
          </w:rPr>
          <w:t>https://www.duo.uio.no/bitstream/handle/10852/30048/melliaxchristia.pdf?sequence=1&amp;isAllowed=y</w:t>
        </w:r>
      </w:hyperlink>
      <w:r w:rsidRPr="003C1B24">
        <w:t xml:space="preserve"> (</w:t>
      </w:r>
      <w:r w:rsidR="00110DAD">
        <w:t xml:space="preserve">Accessed: </w:t>
      </w:r>
      <w:r w:rsidRPr="003C1B24">
        <w:t>23.12.2424).</w:t>
      </w:r>
    </w:p>
    <w:p w14:paraId="0E033BAE" w14:textId="272FB6BA" w:rsidR="003C1B24" w:rsidRPr="003C1B24" w:rsidRDefault="003C1B24" w:rsidP="003C1B24">
      <w:pPr>
        <w:spacing w:line="480" w:lineRule="auto"/>
        <w:ind w:left="630" w:hanging="630"/>
        <w:jc w:val="both"/>
      </w:pPr>
      <w:r w:rsidRPr="003C1B24">
        <w:t xml:space="preserve">Devi, S., S. </w:t>
      </w:r>
      <w:proofErr w:type="spellStart"/>
      <w:r w:rsidRPr="003C1B24">
        <w:t>Bijaksana</w:t>
      </w:r>
      <w:proofErr w:type="spellEnd"/>
      <w:r w:rsidRPr="003C1B24">
        <w:t xml:space="preserve">, S.J. </w:t>
      </w:r>
      <w:proofErr w:type="spellStart"/>
      <w:r w:rsidRPr="003C1B24">
        <w:t>Fajar</w:t>
      </w:r>
      <w:proofErr w:type="spellEnd"/>
      <w:r w:rsidRPr="003C1B24">
        <w:t xml:space="preserve"> and N.A. Santoso. 2019. Characterization of volcanic ash from the 2017 Agung eruption, Bali, Indonesia. 2nd Southeast Asian Conference on Geophysics. IOP Conf. Series: Earth and Environmental Science 318 (2019) 012014.  D</w:t>
      </w:r>
      <w:r w:rsidR="00110DAD">
        <w:t>OI</w:t>
      </w:r>
      <w:r w:rsidRPr="003C1B24">
        <w:t>:10.1088/1755-1315/318/1/</w:t>
      </w:r>
      <w:proofErr w:type="gramStart"/>
      <w:r w:rsidRPr="003C1B24">
        <w:t>012014 .</w:t>
      </w:r>
      <w:proofErr w:type="gramEnd"/>
      <w:r w:rsidRPr="003C1B24">
        <w:t xml:space="preserve"> IOP Publishing.</w:t>
      </w:r>
    </w:p>
    <w:p w14:paraId="2D153563" w14:textId="77777777" w:rsidR="003C1B24" w:rsidRPr="003C1B24" w:rsidRDefault="003C1B24" w:rsidP="003C1B24">
      <w:pPr>
        <w:autoSpaceDE w:val="0"/>
        <w:autoSpaceDN w:val="0"/>
        <w:adjustRightInd w:val="0"/>
        <w:spacing w:line="480" w:lineRule="auto"/>
        <w:ind w:left="720" w:hanging="720"/>
        <w:jc w:val="both"/>
        <w:rPr>
          <w:color w:val="000000"/>
        </w:rPr>
      </w:pPr>
      <w:proofErr w:type="spellStart"/>
      <w:r w:rsidRPr="003C1B24">
        <w:rPr>
          <w:color w:val="000000"/>
        </w:rPr>
        <w:t>Eviati</w:t>
      </w:r>
      <w:proofErr w:type="spellEnd"/>
      <w:r w:rsidRPr="003C1B24">
        <w:rPr>
          <w:color w:val="000000"/>
        </w:rPr>
        <w:t xml:space="preserve"> and </w:t>
      </w:r>
      <w:proofErr w:type="spellStart"/>
      <w:r w:rsidRPr="003C1B24">
        <w:rPr>
          <w:color w:val="000000"/>
        </w:rPr>
        <w:t>Sulaeman</w:t>
      </w:r>
      <w:proofErr w:type="spellEnd"/>
      <w:r w:rsidRPr="003C1B24">
        <w:rPr>
          <w:color w:val="000000"/>
        </w:rPr>
        <w:t>. 2012. Technical Guide Issue II Chemical Analysis of Soil, Plants, Water, and Fertilizer. Agency for Agricultural Research and Development, Ministry of Agriculture Republic Indonesia.</w:t>
      </w:r>
    </w:p>
    <w:p w14:paraId="21ADF321" w14:textId="77777777" w:rsidR="003C1B24" w:rsidRPr="003C1B24" w:rsidRDefault="003C1B24" w:rsidP="003C1B24">
      <w:pPr>
        <w:autoSpaceDE w:val="0"/>
        <w:autoSpaceDN w:val="0"/>
        <w:adjustRightInd w:val="0"/>
        <w:spacing w:line="480" w:lineRule="auto"/>
        <w:ind w:left="630" w:hanging="630"/>
        <w:jc w:val="both"/>
      </w:pPr>
      <w:r w:rsidRPr="003C1B24">
        <w:t xml:space="preserve">Harish, V., S. Aslam, S. Chouhan, Y. Pratap and S. </w:t>
      </w:r>
      <w:proofErr w:type="spellStart"/>
      <w:r w:rsidRPr="003C1B24">
        <w:t>Lalotra</w:t>
      </w:r>
      <w:proofErr w:type="spellEnd"/>
      <w:r w:rsidRPr="003C1B24">
        <w:t>. 2023. Iron toxicity in plants: A review. Int. J. Environ. Clim. Chang. 2023, 13, 1894–1900.</w:t>
      </w:r>
    </w:p>
    <w:p w14:paraId="2954FC80" w14:textId="3CF5F500" w:rsidR="003C1B24" w:rsidRPr="003C1B24" w:rsidRDefault="003C1B24" w:rsidP="003C1B24">
      <w:pPr>
        <w:spacing w:line="480" w:lineRule="auto"/>
        <w:ind w:left="720" w:hanging="720"/>
        <w:jc w:val="both"/>
        <w:rPr>
          <w:rStyle w:val="Hyperlink"/>
        </w:rPr>
      </w:pPr>
      <w:proofErr w:type="spellStart"/>
      <w:r w:rsidRPr="003C1B24">
        <w:rPr>
          <w:color w:val="000000"/>
        </w:rPr>
        <w:t>Hariyono</w:t>
      </w:r>
      <w:proofErr w:type="spellEnd"/>
      <w:r w:rsidRPr="003C1B24">
        <w:rPr>
          <w:color w:val="000000"/>
        </w:rPr>
        <w:t xml:space="preserve"> E and S. </w:t>
      </w:r>
      <w:proofErr w:type="spellStart"/>
      <w:r w:rsidRPr="003C1B24">
        <w:rPr>
          <w:color w:val="000000"/>
        </w:rPr>
        <w:t>Liliasari</w:t>
      </w:r>
      <w:proofErr w:type="spellEnd"/>
      <w:r w:rsidRPr="003C1B24">
        <w:rPr>
          <w:color w:val="000000"/>
        </w:rPr>
        <w:t xml:space="preserve">. 2017. The characteristics of volcanic eruption in Indonesia. In: Volcanoes, from their geological and geophysical setting to their impact on human health. Edited by Gemma Aiello. </w:t>
      </w:r>
      <w:proofErr w:type="spellStart"/>
      <w:r w:rsidRPr="003C1B24">
        <w:rPr>
          <w:color w:val="000000"/>
        </w:rPr>
        <w:t>IntechOpen</w:t>
      </w:r>
      <w:proofErr w:type="spellEnd"/>
      <w:r w:rsidRPr="003C1B24">
        <w:rPr>
          <w:color w:val="000000"/>
        </w:rPr>
        <w:t xml:space="preserve">. </w:t>
      </w:r>
      <w:r w:rsidR="00110DAD">
        <w:rPr>
          <w:color w:val="000000"/>
        </w:rPr>
        <w:t xml:space="preserve">DOI: </w:t>
      </w:r>
      <w:hyperlink r:id="rId12" w:history="1">
        <w:r w:rsidR="00110DAD" w:rsidRPr="00BE141A">
          <w:rPr>
            <w:rStyle w:val="Hyperlink"/>
          </w:rPr>
          <w:t>http://dx.doi.org/10.5772/intechopen.71449</w:t>
        </w:r>
      </w:hyperlink>
      <w:r w:rsidRPr="003C1B24">
        <w:rPr>
          <w:rStyle w:val="Hyperlink"/>
        </w:rPr>
        <w:t>.</w:t>
      </w:r>
    </w:p>
    <w:p w14:paraId="3C67873A" w14:textId="77777777" w:rsidR="003C1B24" w:rsidRPr="003C1B24" w:rsidRDefault="003C1B24" w:rsidP="003C1B24">
      <w:pPr>
        <w:pStyle w:val="Default"/>
        <w:spacing w:line="480" w:lineRule="auto"/>
        <w:ind w:left="630" w:hanging="630"/>
        <w:jc w:val="both"/>
        <w:rPr>
          <w:rFonts w:ascii="Times New Roman" w:hAnsi="Times New Roman" w:cs="Times New Roman"/>
        </w:rPr>
      </w:pPr>
      <w:r w:rsidRPr="003C1B24">
        <w:rPr>
          <w:rFonts w:ascii="Times New Roman" w:hAnsi="Times New Roman" w:cs="Times New Roman"/>
        </w:rPr>
        <w:t xml:space="preserve">Hartati, L., F. </w:t>
      </w:r>
      <w:proofErr w:type="spellStart"/>
      <w:r w:rsidRPr="003C1B24">
        <w:rPr>
          <w:rFonts w:ascii="Times New Roman" w:hAnsi="Times New Roman" w:cs="Times New Roman"/>
        </w:rPr>
        <w:t>Syarifudin</w:t>
      </w:r>
      <w:proofErr w:type="spellEnd"/>
      <w:r w:rsidRPr="003C1B24">
        <w:rPr>
          <w:rFonts w:ascii="Times New Roman" w:hAnsi="Times New Roman" w:cs="Times New Roman"/>
        </w:rPr>
        <w:t xml:space="preserve">, P.B. </w:t>
      </w:r>
      <w:proofErr w:type="spellStart"/>
      <w:r w:rsidRPr="003C1B24">
        <w:rPr>
          <w:rFonts w:ascii="Times New Roman" w:hAnsi="Times New Roman" w:cs="Times New Roman"/>
        </w:rPr>
        <w:t>Pramono</w:t>
      </w:r>
      <w:proofErr w:type="spellEnd"/>
      <w:r w:rsidRPr="003C1B24">
        <w:rPr>
          <w:rFonts w:ascii="Times New Roman" w:hAnsi="Times New Roman" w:cs="Times New Roman"/>
        </w:rPr>
        <w:t xml:space="preserve">, N. Hidayah, D. </w:t>
      </w:r>
      <w:proofErr w:type="spellStart"/>
      <w:r w:rsidRPr="003C1B24">
        <w:rPr>
          <w:rFonts w:ascii="Times New Roman" w:hAnsi="Times New Roman" w:cs="Times New Roman"/>
        </w:rPr>
        <w:t>Suhendra</w:t>
      </w:r>
      <w:proofErr w:type="spellEnd"/>
      <w:r w:rsidRPr="003C1B24">
        <w:rPr>
          <w:rFonts w:ascii="Times New Roman" w:hAnsi="Times New Roman" w:cs="Times New Roman"/>
        </w:rPr>
        <w:t xml:space="preserve"> and M. Arifin. 2023. Adequacy of micromineral content (Fe, Zn, Cu) of Napier grass </w:t>
      </w:r>
      <w:r w:rsidRPr="003C1B24">
        <w:rPr>
          <w:rFonts w:ascii="Times New Roman" w:hAnsi="Times New Roman" w:cs="Times New Roman"/>
          <w:i/>
          <w:iCs/>
        </w:rPr>
        <w:t xml:space="preserve">(Pennisetum purpureum) </w:t>
      </w:r>
      <w:r w:rsidRPr="003C1B24">
        <w:rPr>
          <w:rFonts w:ascii="Times New Roman" w:hAnsi="Times New Roman" w:cs="Times New Roman"/>
        </w:rPr>
        <w:t xml:space="preserve">as beef cattle feed in Merapi volcanic slopes of </w:t>
      </w:r>
      <w:proofErr w:type="spellStart"/>
      <w:r w:rsidRPr="003C1B24">
        <w:rPr>
          <w:rFonts w:ascii="Times New Roman" w:hAnsi="Times New Roman" w:cs="Times New Roman"/>
        </w:rPr>
        <w:t>Magelang</w:t>
      </w:r>
      <w:proofErr w:type="spellEnd"/>
      <w:r w:rsidRPr="003C1B24">
        <w:rPr>
          <w:rFonts w:ascii="Times New Roman" w:hAnsi="Times New Roman" w:cs="Times New Roman"/>
        </w:rPr>
        <w:t xml:space="preserve"> Regency, Indonesia.  J. </w:t>
      </w:r>
      <w:proofErr w:type="spellStart"/>
      <w:r w:rsidRPr="003C1B24">
        <w:rPr>
          <w:rFonts w:ascii="Times New Roman" w:hAnsi="Times New Roman" w:cs="Times New Roman"/>
        </w:rPr>
        <w:t>Ilmu</w:t>
      </w:r>
      <w:proofErr w:type="spellEnd"/>
      <w:r w:rsidRPr="003C1B24">
        <w:rPr>
          <w:rFonts w:ascii="Times New Roman" w:hAnsi="Times New Roman" w:cs="Times New Roman"/>
        </w:rPr>
        <w:t xml:space="preserve"> </w:t>
      </w:r>
      <w:proofErr w:type="spellStart"/>
      <w:r w:rsidRPr="003C1B24">
        <w:rPr>
          <w:rFonts w:ascii="Times New Roman" w:hAnsi="Times New Roman" w:cs="Times New Roman"/>
        </w:rPr>
        <w:t>Nutrisi</w:t>
      </w:r>
      <w:proofErr w:type="spellEnd"/>
      <w:r w:rsidRPr="003C1B24">
        <w:rPr>
          <w:rFonts w:ascii="Times New Roman" w:hAnsi="Times New Roman" w:cs="Times New Roman"/>
        </w:rPr>
        <w:t xml:space="preserve"> </w:t>
      </w:r>
      <w:proofErr w:type="spellStart"/>
      <w:r w:rsidRPr="003C1B24">
        <w:rPr>
          <w:rFonts w:ascii="Times New Roman" w:hAnsi="Times New Roman" w:cs="Times New Roman"/>
        </w:rPr>
        <w:t>dan</w:t>
      </w:r>
      <w:proofErr w:type="spellEnd"/>
      <w:r w:rsidRPr="003C1B24">
        <w:rPr>
          <w:rFonts w:ascii="Times New Roman" w:hAnsi="Times New Roman" w:cs="Times New Roman"/>
        </w:rPr>
        <w:t xml:space="preserve"> </w:t>
      </w:r>
      <w:proofErr w:type="spellStart"/>
      <w:r w:rsidRPr="003C1B24">
        <w:rPr>
          <w:rFonts w:ascii="Times New Roman" w:hAnsi="Times New Roman" w:cs="Times New Roman"/>
        </w:rPr>
        <w:t>Teknologi</w:t>
      </w:r>
      <w:proofErr w:type="spellEnd"/>
      <w:r w:rsidRPr="003C1B24">
        <w:rPr>
          <w:rFonts w:ascii="Times New Roman" w:hAnsi="Times New Roman" w:cs="Times New Roman"/>
        </w:rPr>
        <w:t xml:space="preserve"> Pakan (JINTP), 21 (3): 208-211. DOI: http://dx.doi.org/10.29244/jintp.21.3. 208-211.</w:t>
      </w:r>
    </w:p>
    <w:p w14:paraId="6ABB95E8" w14:textId="77777777" w:rsidR="003C1B24" w:rsidRPr="003C1B24" w:rsidRDefault="003C1B24" w:rsidP="003C1B24">
      <w:pPr>
        <w:spacing w:line="480" w:lineRule="auto"/>
        <w:ind w:left="630" w:hanging="630"/>
        <w:jc w:val="both"/>
      </w:pPr>
      <w:r w:rsidRPr="003C1B24">
        <w:t xml:space="preserve">Hidayat, A., </w:t>
      </w:r>
      <w:proofErr w:type="spellStart"/>
      <w:r w:rsidRPr="003C1B24">
        <w:t>Suryanto</w:t>
      </w:r>
      <w:proofErr w:type="spellEnd"/>
      <w:r w:rsidRPr="003C1B24">
        <w:t xml:space="preserve">, R. </w:t>
      </w:r>
      <w:proofErr w:type="spellStart"/>
      <w:r w:rsidRPr="003C1B24">
        <w:t>Utomowati</w:t>
      </w:r>
      <w:proofErr w:type="spellEnd"/>
      <w:r w:rsidRPr="003C1B24">
        <w:t xml:space="preserve"> and J.V. </w:t>
      </w:r>
      <w:proofErr w:type="spellStart"/>
      <w:r w:rsidRPr="003C1B24">
        <w:t>Setiawan</w:t>
      </w:r>
      <w:proofErr w:type="spellEnd"/>
      <w:r w:rsidRPr="003C1B24">
        <w:t xml:space="preserve">. 2023. Assessment of the relationship between repose period and eruption magnitude of </w:t>
      </w:r>
      <w:proofErr w:type="spellStart"/>
      <w:r w:rsidRPr="003C1B24">
        <w:t>Gamalama</w:t>
      </w:r>
      <w:proofErr w:type="spellEnd"/>
      <w:r w:rsidRPr="003C1B24">
        <w:t xml:space="preserve"> volcano for community </w:t>
      </w:r>
      <w:r w:rsidRPr="003C1B24">
        <w:lastRenderedPageBreak/>
        <w:t xml:space="preserve">preparedness in Ternate Island – Indonesia. Int. J. Sustainable Dev. and Plan. 18 (3): 773-779. DOI: </w:t>
      </w:r>
      <w:hyperlink r:id="rId13" w:history="1">
        <w:r w:rsidRPr="003C1B24">
          <w:rPr>
            <w:rStyle w:val="Hyperlink"/>
          </w:rPr>
          <w:t>https://doi.org/10.18280/ijsdp.180313</w:t>
        </w:r>
      </w:hyperlink>
      <w:r w:rsidRPr="003C1B24">
        <w:t>.</w:t>
      </w:r>
    </w:p>
    <w:p w14:paraId="3972DD51" w14:textId="77777777" w:rsidR="003C1B24" w:rsidRPr="003C1B24" w:rsidRDefault="003C1B24" w:rsidP="003C1B24">
      <w:pPr>
        <w:spacing w:line="480" w:lineRule="auto"/>
        <w:ind w:left="720" w:hanging="720"/>
        <w:jc w:val="both"/>
        <w:rPr>
          <w:color w:val="000000"/>
        </w:rPr>
      </w:pPr>
      <w:r w:rsidRPr="003C1B24">
        <w:rPr>
          <w:color w:val="000000"/>
        </w:rPr>
        <w:t>ISRIC (International Soil Reference and Information Center). 2002. Procedures for soil analysis. ISRIC Technical Paper.</w:t>
      </w:r>
    </w:p>
    <w:p w14:paraId="06A145D2" w14:textId="1EA35B2D" w:rsidR="003C1B24" w:rsidRPr="003C1B24" w:rsidRDefault="003C1B24" w:rsidP="003C1B24">
      <w:pPr>
        <w:spacing w:line="480" w:lineRule="auto"/>
        <w:ind w:left="630" w:hanging="630"/>
        <w:jc w:val="both"/>
      </w:pPr>
      <w:proofErr w:type="spellStart"/>
      <w:r w:rsidRPr="003C1B24">
        <w:t>Kadavi</w:t>
      </w:r>
      <w:proofErr w:type="spellEnd"/>
      <w:r w:rsidRPr="003C1B24">
        <w:t xml:space="preserve">, P.R., W.J. Lee and C.W. Lee. 2017. Analysis of the pyroclastic flow deposits of mount Sinabung and Merapi using Landsat Imagery and the Artificial Neural Networks Approach. Appl. Sci. 7: 935. </w:t>
      </w:r>
      <w:r w:rsidR="00110DAD">
        <w:t>DOI</w:t>
      </w:r>
      <w:r w:rsidRPr="003C1B24">
        <w:t>:10.3390/app7090935.</w:t>
      </w:r>
    </w:p>
    <w:p w14:paraId="74003126" w14:textId="77777777" w:rsidR="003C1B24" w:rsidRPr="003C1B24" w:rsidRDefault="003C1B24" w:rsidP="003C1B24">
      <w:pPr>
        <w:spacing w:line="480" w:lineRule="auto"/>
        <w:ind w:left="630" w:hanging="630"/>
        <w:jc w:val="both"/>
      </w:pPr>
      <w:proofErr w:type="spellStart"/>
      <w:r w:rsidRPr="003C1B24">
        <w:t>Karisoh</w:t>
      </w:r>
      <w:proofErr w:type="spellEnd"/>
      <w:r w:rsidRPr="003C1B24">
        <w:t xml:space="preserve">, C.K., R.N. </w:t>
      </w:r>
      <w:proofErr w:type="spellStart"/>
      <w:r w:rsidRPr="003C1B24">
        <w:t>Palilingan</w:t>
      </w:r>
      <w:proofErr w:type="spellEnd"/>
      <w:r w:rsidRPr="003C1B24">
        <w:t xml:space="preserve"> and J. </w:t>
      </w:r>
      <w:proofErr w:type="spellStart"/>
      <w:r w:rsidRPr="003C1B24">
        <w:t>Polii</w:t>
      </w:r>
      <w:proofErr w:type="spellEnd"/>
      <w:r w:rsidRPr="003C1B24">
        <w:t xml:space="preserve">. 2024. Interpretation of the </w:t>
      </w:r>
      <w:proofErr w:type="spellStart"/>
      <w:r w:rsidRPr="003C1B24">
        <w:t>Lokon</w:t>
      </w:r>
      <w:proofErr w:type="spellEnd"/>
      <w:r w:rsidRPr="003C1B24">
        <w:t xml:space="preserve"> volcano eruption mechanism based on pre-eruption seismic activity 4–12 September 2014. J. </w:t>
      </w:r>
      <w:proofErr w:type="spellStart"/>
      <w:r w:rsidRPr="003C1B24">
        <w:t>FisTa</w:t>
      </w:r>
      <w:proofErr w:type="spellEnd"/>
      <w:r w:rsidRPr="003C1B24">
        <w:t>, 5 (1): 6-15.</w:t>
      </w:r>
    </w:p>
    <w:p w14:paraId="466A70EC" w14:textId="77777777" w:rsidR="003C1B24" w:rsidRPr="003C1B24" w:rsidRDefault="003C1B24" w:rsidP="003C1B24">
      <w:pPr>
        <w:spacing w:line="480" w:lineRule="auto"/>
        <w:ind w:left="720" w:hanging="720"/>
        <w:jc w:val="both"/>
      </w:pPr>
      <w:r w:rsidRPr="003C1B24">
        <w:t xml:space="preserve">Khalil, D. Ananta, R. </w:t>
      </w:r>
      <w:proofErr w:type="spellStart"/>
      <w:r w:rsidRPr="003C1B24">
        <w:t>Novia</w:t>
      </w:r>
      <w:proofErr w:type="spellEnd"/>
      <w:r w:rsidRPr="003C1B24">
        <w:t xml:space="preserve">, </w:t>
      </w:r>
      <w:proofErr w:type="spellStart"/>
      <w:r w:rsidRPr="003C1B24">
        <w:t>Suyitman</w:t>
      </w:r>
      <w:proofErr w:type="spellEnd"/>
      <w:r w:rsidRPr="003C1B24">
        <w:t xml:space="preserve"> and J. </w:t>
      </w:r>
      <w:proofErr w:type="spellStart"/>
      <w:r w:rsidRPr="003C1B24">
        <w:t>Achmadi</w:t>
      </w:r>
      <w:proofErr w:type="spellEnd"/>
      <w:r w:rsidRPr="003C1B24">
        <w:t xml:space="preserve">. 2024. Livestock farming sustainability and forage production in volcanic-hazard prone areas of Indonesia's active volcano. J. Indonesian Trop. Anim. Agric. 49(1):91-105.  DOI: 10.14710/jitaa.49.1. 91-105. </w:t>
      </w:r>
    </w:p>
    <w:p w14:paraId="7C7AD9C9" w14:textId="3EEA981D" w:rsidR="003C1B24" w:rsidRPr="003C1B24" w:rsidRDefault="003C1B24" w:rsidP="003C1B24">
      <w:pPr>
        <w:spacing w:line="480" w:lineRule="auto"/>
        <w:ind w:left="720" w:hanging="720"/>
        <w:jc w:val="both"/>
      </w:pPr>
      <w:r w:rsidRPr="003C1B24">
        <w:t xml:space="preserve">Khan, K., W. </w:t>
      </w:r>
      <w:proofErr w:type="spellStart"/>
      <w:r w:rsidRPr="003C1B24">
        <w:t>Wilopo</w:t>
      </w:r>
      <w:proofErr w:type="spellEnd"/>
      <w:r w:rsidRPr="003C1B24">
        <w:t xml:space="preserve">, R. </w:t>
      </w:r>
      <w:proofErr w:type="spellStart"/>
      <w:r w:rsidRPr="003C1B24">
        <w:t>Sadono</w:t>
      </w:r>
      <w:proofErr w:type="spellEnd"/>
      <w:r w:rsidRPr="003C1B24">
        <w:t xml:space="preserve"> and M.T.T. </w:t>
      </w:r>
      <w:proofErr w:type="spellStart"/>
      <w:r w:rsidRPr="003C1B24">
        <w:t>Hermawan</w:t>
      </w:r>
      <w:proofErr w:type="spellEnd"/>
      <w:r w:rsidRPr="003C1B24">
        <w:t xml:space="preserve">. 2024. The characteristics of soils impacted by the </w:t>
      </w:r>
      <w:proofErr w:type="spellStart"/>
      <w:r w:rsidRPr="003C1B24">
        <w:t>Merapi</w:t>
      </w:r>
      <w:proofErr w:type="spellEnd"/>
      <w:r w:rsidRPr="003C1B24">
        <w:t xml:space="preserve"> eruption in </w:t>
      </w:r>
      <w:proofErr w:type="spellStart"/>
      <w:r w:rsidRPr="003C1B24">
        <w:t>Plawangan</w:t>
      </w:r>
      <w:proofErr w:type="spellEnd"/>
      <w:r w:rsidRPr="003C1B24">
        <w:t xml:space="preserve"> Hill of Mount Merapi National Park, Yogyakarta, Indonesia. J. Degraded and Mining Lands Management 11(2):5361-5373</w:t>
      </w:r>
      <w:r w:rsidR="00110DAD">
        <w:t>. DOI</w:t>
      </w:r>
      <w:r w:rsidRPr="003C1B24">
        <w:t>:10.15243/jdmlm.2024.112.5361.</w:t>
      </w:r>
    </w:p>
    <w:p w14:paraId="1001DBE0" w14:textId="77777777" w:rsidR="003C1B24" w:rsidRPr="003C1B24" w:rsidRDefault="003C1B24" w:rsidP="003C1B24">
      <w:pPr>
        <w:spacing w:line="480" w:lineRule="auto"/>
        <w:ind w:left="720" w:hanging="720"/>
        <w:jc w:val="both"/>
      </w:pPr>
      <w:proofErr w:type="spellStart"/>
      <w:r w:rsidRPr="003C1B24">
        <w:t>Khusrizal</w:t>
      </w:r>
      <w:proofErr w:type="spellEnd"/>
      <w:r w:rsidRPr="003C1B24">
        <w:t xml:space="preserve">, </w:t>
      </w:r>
      <w:proofErr w:type="spellStart"/>
      <w:r w:rsidRPr="003C1B24">
        <w:t>Basyaruddin</w:t>
      </w:r>
      <w:proofErr w:type="spellEnd"/>
      <w:r w:rsidRPr="003C1B24">
        <w:t xml:space="preserve">, R.D.H. </w:t>
      </w:r>
      <w:proofErr w:type="spellStart"/>
      <w:r w:rsidRPr="003C1B24">
        <w:t>Rambe</w:t>
      </w:r>
      <w:proofErr w:type="spellEnd"/>
      <w:r w:rsidRPr="003C1B24">
        <w:t xml:space="preserve"> and I. Setiawan. 2017. Study of Mineralogy Composition, Total, and </w:t>
      </w:r>
      <w:proofErr w:type="spellStart"/>
      <w:r w:rsidRPr="003C1B24">
        <w:t>Exchangable</w:t>
      </w:r>
      <w:proofErr w:type="spellEnd"/>
      <w:r w:rsidRPr="003C1B24">
        <w:t xml:space="preserve"> Content of K, </w:t>
      </w:r>
      <w:proofErr w:type="spellStart"/>
      <w:r w:rsidRPr="003C1B24">
        <w:t>Ca</w:t>
      </w:r>
      <w:proofErr w:type="gramStart"/>
      <w:r w:rsidRPr="003C1B24">
        <w:t>,and</w:t>
      </w:r>
      <w:proofErr w:type="spellEnd"/>
      <w:proofErr w:type="gramEnd"/>
      <w:r w:rsidRPr="003C1B24">
        <w:t xml:space="preserve"> Mg </w:t>
      </w:r>
      <w:proofErr w:type="spellStart"/>
      <w:r w:rsidRPr="003C1B24">
        <w:t>ofVolcanicAsh</w:t>
      </w:r>
      <w:proofErr w:type="spellEnd"/>
      <w:r w:rsidRPr="003C1B24">
        <w:t xml:space="preserve"> </w:t>
      </w:r>
      <w:proofErr w:type="spellStart"/>
      <w:r w:rsidRPr="003C1B24">
        <w:t>fromSinabungMountainEruption</w:t>
      </w:r>
      <w:proofErr w:type="spellEnd"/>
      <w:r w:rsidRPr="003C1B24">
        <w:t xml:space="preserve"> in North </w:t>
      </w:r>
      <w:proofErr w:type="spellStart"/>
      <w:r w:rsidRPr="003C1B24">
        <w:t>Sumatera,Indonesia</w:t>
      </w:r>
      <w:proofErr w:type="spellEnd"/>
      <w:r w:rsidRPr="003C1B24">
        <w:t>. Emerald Reach Proceedings Series, 1: 199–207 Emerald Publishing Limited 2516-2853. DOI 10.1108/978-1-78756-793-1-00029.</w:t>
      </w:r>
    </w:p>
    <w:p w14:paraId="325CCA90" w14:textId="48DA5A7D" w:rsidR="003C1B24" w:rsidRPr="003C1B24" w:rsidRDefault="003C1B24" w:rsidP="003C1B24">
      <w:pPr>
        <w:spacing w:line="480" w:lineRule="auto"/>
        <w:ind w:left="630" w:hanging="630"/>
        <w:jc w:val="both"/>
      </w:pPr>
      <w:proofErr w:type="spellStart"/>
      <w:r w:rsidRPr="003C1B24">
        <w:t>Kriswati</w:t>
      </w:r>
      <w:proofErr w:type="spellEnd"/>
      <w:r w:rsidRPr="003C1B24">
        <w:t xml:space="preserve">, E, </w:t>
      </w:r>
      <w:proofErr w:type="spellStart"/>
      <w:r w:rsidRPr="003C1B24">
        <w:t>Meilano</w:t>
      </w:r>
      <w:proofErr w:type="spellEnd"/>
      <w:r w:rsidRPr="003C1B24">
        <w:t xml:space="preserve">, </w:t>
      </w:r>
      <w:proofErr w:type="spellStart"/>
      <w:r w:rsidRPr="003C1B24">
        <w:t>Suhartaman</w:t>
      </w:r>
      <w:proofErr w:type="spellEnd"/>
      <w:r w:rsidRPr="003C1B24">
        <w:t xml:space="preserve">, Y. Suparman1, H.Z. Abidin and T. Sinaga. 2012. Characteristic of </w:t>
      </w:r>
      <w:proofErr w:type="spellStart"/>
      <w:r w:rsidRPr="003C1B24">
        <w:t>Lokon</w:t>
      </w:r>
      <w:proofErr w:type="spellEnd"/>
      <w:r w:rsidRPr="003C1B24">
        <w:t xml:space="preserve"> volcano deformation of 2009 - 2011 based on GPS data. Indonesian J. of Geology, 7 (4): 199-209. </w:t>
      </w:r>
    </w:p>
    <w:p w14:paraId="2CD3B3E8" w14:textId="7A424CB7" w:rsidR="003C1B24" w:rsidRPr="003C1B24" w:rsidRDefault="003C1B24" w:rsidP="003C1B24">
      <w:pPr>
        <w:spacing w:line="480" w:lineRule="auto"/>
        <w:ind w:left="630" w:hanging="630"/>
        <w:jc w:val="both"/>
      </w:pPr>
      <w:r w:rsidRPr="003C1B24">
        <w:lastRenderedPageBreak/>
        <w:t xml:space="preserve">Linhares, D., A. Pimentel, P. Garcia and A. Rodrigues. 2021. Deficiency of essential elements in volcanic soils: potential harmful health effects on grazing cattle. </w:t>
      </w:r>
      <w:r w:rsidRPr="003C1B24">
        <w:rPr>
          <w:color w:val="000000"/>
        </w:rPr>
        <w:t>Environ. Geochem. Health.</w:t>
      </w:r>
      <w:r w:rsidRPr="003C1B24">
        <w:t xml:space="preserve"> 43:3883–3895.</w:t>
      </w:r>
      <w:r w:rsidRPr="003C1B24">
        <w:rPr>
          <w:color w:val="000000"/>
        </w:rPr>
        <w:t xml:space="preserve"> D</w:t>
      </w:r>
      <w:r w:rsidR="00110DAD">
        <w:rPr>
          <w:color w:val="000000"/>
        </w:rPr>
        <w:t>OI</w:t>
      </w:r>
      <w:r w:rsidRPr="003C1B24">
        <w:rPr>
          <w:color w:val="000000"/>
        </w:rPr>
        <w:t>: https://doi.org/10.1007/s10653-021-00874-6.</w:t>
      </w:r>
    </w:p>
    <w:p w14:paraId="50A98A98" w14:textId="3D2A3BA0" w:rsidR="003C1B24" w:rsidRPr="003C1B24" w:rsidRDefault="003C1B24" w:rsidP="003C1B24">
      <w:pPr>
        <w:spacing w:line="480" w:lineRule="auto"/>
        <w:ind w:left="630" w:hanging="630"/>
        <w:jc w:val="both"/>
      </w:pPr>
      <w:proofErr w:type="spellStart"/>
      <w:r w:rsidRPr="003C1B24">
        <w:t>Marfai</w:t>
      </w:r>
      <w:proofErr w:type="spellEnd"/>
      <w:r w:rsidRPr="003C1B24">
        <w:t xml:space="preserve">, M.A., B.W. </w:t>
      </w:r>
      <w:proofErr w:type="spellStart"/>
      <w:r w:rsidRPr="003C1B24">
        <w:t>Mutaqin</w:t>
      </w:r>
      <w:proofErr w:type="spellEnd"/>
      <w:r w:rsidRPr="003C1B24">
        <w:t xml:space="preserve">, D.S. </w:t>
      </w:r>
      <w:proofErr w:type="spellStart"/>
      <w:r w:rsidRPr="003C1B24">
        <w:t>Hadmoko</w:t>
      </w:r>
      <w:proofErr w:type="spellEnd"/>
      <w:r w:rsidRPr="003C1B24">
        <w:t xml:space="preserve">, H. </w:t>
      </w:r>
      <w:proofErr w:type="spellStart"/>
      <w:r w:rsidRPr="003C1B24">
        <w:t>Wijayanti</w:t>
      </w:r>
      <w:proofErr w:type="spellEnd"/>
      <w:r w:rsidRPr="003C1B24">
        <w:t xml:space="preserve">, F. Lavigne and A. Faral. 2012. The physical characteristics of the small volcanic island of </w:t>
      </w:r>
      <w:proofErr w:type="spellStart"/>
      <w:r w:rsidRPr="003C1B24">
        <w:t>Tidore</w:t>
      </w:r>
      <w:proofErr w:type="spellEnd"/>
      <w:r w:rsidRPr="003C1B24">
        <w:t xml:space="preserve"> and </w:t>
      </w:r>
      <w:proofErr w:type="spellStart"/>
      <w:r w:rsidRPr="003C1B24">
        <w:t>Hiri</w:t>
      </w:r>
      <w:proofErr w:type="spellEnd"/>
      <w:r w:rsidRPr="003C1B24">
        <w:t xml:space="preserve"> to support disaster management in Maluku. International Conference on Geological Engineering and Geosciences. IOP Conf. Series: Earth and Environmental Science 851 (2021) 012008 IOP Publishing</w:t>
      </w:r>
      <w:r w:rsidR="004709E4">
        <w:t>. DOI</w:t>
      </w:r>
      <w:r w:rsidRPr="003C1B24">
        <w:t>:10.1088/1755-1315/851/1/012008.</w:t>
      </w:r>
    </w:p>
    <w:p w14:paraId="1336D5B8" w14:textId="211EC759" w:rsidR="003C1B24" w:rsidRPr="003C1B24" w:rsidRDefault="003C1B24" w:rsidP="003C1B24">
      <w:pPr>
        <w:spacing w:line="480" w:lineRule="auto"/>
        <w:ind w:left="630" w:hanging="630"/>
        <w:jc w:val="both"/>
      </w:pPr>
      <w:proofErr w:type="spellStart"/>
      <w:r w:rsidRPr="003C1B24">
        <w:t>Martaulina</w:t>
      </w:r>
      <w:proofErr w:type="spellEnd"/>
      <w:r w:rsidRPr="003C1B24">
        <w:t xml:space="preserve">, S.D., S. </w:t>
      </w:r>
      <w:proofErr w:type="spellStart"/>
      <w:r w:rsidRPr="003C1B24">
        <w:t>Sianipar</w:t>
      </w:r>
      <w:proofErr w:type="spellEnd"/>
      <w:r w:rsidRPr="003C1B24">
        <w:t xml:space="preserve">, R. </w:t>
      </w:r>
      <w:proofErr w:type="spellStart"/>
      <w:r w:rsidRPr="003C1B24">
        <w:t>Harianja</w:t>
      </w:r>
      <w:proofErr w:type="spellEnd"/>
      <w:r w:rsidRPr="003C1B24">
        <w:t xml:space="preserve">, </w:t>
      </w:r>
      <w:proofErr w:type="spellStart"/>
      <w:r w:rsidRPr="003C1B24">
        <w:t>Lamhot</w:t>
      </w:r>
      <w:proofErr w:type="spellEnd"/>
      <w:r w:rsidRPr="003C1B24">
        <w:t xml:space="preserve">, T.S.T. </w:t>
      </w:r>
      <w:proofErr w:type="spellStart"/>
      <w:r w:rsidRPr="003C1B24">
        <w:t>Girsang</w:t>
      </w:r>
      <w:proofErr w:type="spellEnd"/>
      <w:r w:rsidRPr="003C1B24">
        <w:t xml:space="preserve">. 2024. Assistance for community groups impacted by the </w:t>
      </w:r>
      <w:proofErr w:type="spellStart"/>
      <w:r w:rsidRPr="003C1B24">
        <w:t>rruption</w:t>
      </w:r>
      <w:proofErr w:type="spellEnd"/>
      <w:r w:rsidRPr="003C1B24">
        <w:t xml:space="preserve"> of Mt. Sinabung in creating a creative economy in </w:t>
      </w:r>
      <w:proofErr w:type="spellStart"/>
      <w:r w:rsidRPr="003C1B24">
        <w:t>Sigarang-Garang</w:t>
      </w:r>
      <w:proofErr w:type="spellEnd"/>
      <w:r w:rsidRPr="003C1B24">
        <w:t xml:space="preserve"> </w:t>
      </w:r>
      <w:proofErr w:type="spellStart"/>
      <w:r w:rsidRPr="003C1B24">
        <w:t>illage</w:t>
      </w:r>
      <w:proofErr w:type="spellEnd"/>
      <w:r w:rsidRPr="003C1B24">
        <w:t xml:space="preserve">, </w:t>
      </w:r>
      <w:proofErr w:type="spellStart"/>
      <w:r w:rsidRPr="003C1B24">
        <w:t>Naman</w:t>
      </w:r>
      <w:proofErr w:type="spellEnd"/>
      <w:r w:rsidRPr="003C1B24">
        <w:t xml:space="preserve"> </w:t>
      </w:r>
      <w:proofErr w:type="spellStart"/>
      <w:r w:rsidRPr="003C1B24">
        <w:t>Teran</w:t>
      </w:r>
      <w:proofErr w:type="spellEnd"/>
      <w:r w:rsidRPr="003C1B24">
        <w:t xml:space="preserve"> district, Karo regency (In Indonesian language). </w:t>
      </w:r>
      <w:proofErr w:type="spellStart"/>
      <w:r w:rsidRPr="003C1B24">
        <w:t>Jumas</w:t>
      </w:r>
      <w:proofErr w:type="spellEnd"/>
      <w:r w:rsidRPr="003C1B24">
        <w:t xml:space="preserve">, 3 (2): 9-14. </w:t>
      </w:r>
      <w:proofErr w:type="gramStart"/>
      <w:r w:rsidRPr="003C1B24">
        <w:t>D</w:t>
      </w:r>
      <w:r w:rsidR="004709E4">
        <w:t>OI</w:t>
      </w:r>
      <w:r w:rsidRPr="003C1B24">
        <w:t xml:space="preserve"> :</w:t>
      </w:r>
      <w:proofErr w:type="gramEnd"/>
      <w:r w:rsidRPr="003C1B24">
        <w:t xml:space="preserve"> https://doi.org/10.54209/jumas.v3i02.94.</w:t>
      </w:r>
    </w:p>
    <w:p w14:paraId="39B1A7EB" w14:textId="77777777" w:rsidR="003C1B24" w:rsidRPr="003C1B24" w:rsidRDefault="003C1B24" w:rsidP="003C1B24">
      <w:pPr>
        <w:shd w:val="clear" w:color="auto" w:fill="FFFFFF"/>
        <w:spacing w:line="480" w:lineRule="auto"/>
        <w:ind w:left="720" w:hanging="720"/>
        <w:jc w:val="both"/>
        <w:rPr>
          <w:color w:val="000000"/>
        </w:rPr>
      </w:pPr>
      <w:r w:rsidRPr="003C1B24">
        <w:rPr>
          <w:color w:val="000000"/>
          <w:spacing w:val="1"/>
        </w:rPr>
        <w:t xml:space="preserve">McDowell, L.R. 1985. </w:t>
      </w:r>
      <w:r w:rsidRPr="003C1B24">
        <w:rPr>
          <w:rStyle w:val="ff5"/>
          <w:color w:val="000000"/>
        </w:rPr>
        <w:t>Nutrition of Grazing Ruminants in Warm Climates</w:t>
      </w:r>
      <w:r w:rsidRPr="003C1B24">
        <w:rPr>
          <w:rStyle w:val="lsa0"/>
          <w:color w:val="000000"/>
          <w:spacing w:val="1"/>
        </w:rPr>
        <w:t xml:space="preserve">. Academic Press </w:t>
      </w:r>
      <w:r w:rsidRPr="003C1B24">
        <w:rPr>
          <w:color w:val="000000"/>
        </w:rPr>
        <w:t>New York, pp-443.</w:t>
      </w:r>
    </w:p>
    <w:p w14:paraId="6F83C56C" w14:textId="77777777" w:rsidR="003C1B24" w:rsidRPr="003C1B24" w:rsidRDefault="003C1B24" w:rsidP="003C1B24">
      <w:pPr>
        <w:shd w:val="clear" w:color="auto" w:fill="FFFFFF"/>
        <w:spacing w:line="480" w:lineRule="auto"/>
        <w:ind w:left="720" w:hanging="720"/>
        <w:jc w:val="both"/>
        <w:rPr>
          <w:color w:val="000000"/>
        </w:rPr>
      </w:pPr>
      <w:r w:rsidRPr="003C1B24">
        <w:rPr>
          <w:color w:val="000000"/>
        </w:rPr>
        <w:t>McDowell, L.R. 1997. Minerals for Grazing Ruminants in Tropical Regions. 3rd Ed. Department of Animal Sciences, University of Florida, Gainesville. P. 81.</w:t>
      </w:r>
    </w:p>
    <w:p w14:paraId="2D39C562" w14:textId="77777777" w:rsidR="003C1B24" w:rsidRPr="003C1B24" w:rsidRDefault="003C1B24" w:rsidP="003C1B24">
      <w:pPr>
        <w:shd w:val="clear" w:color="auto" w:fill="FFFFFF"/>
        <w:spacing w:line="480" w:lineRule="auto"/>
        <w:ind w:left="720" w:hanging="720"/>
        <w:jc w:val="both"/>
        <w:rPr>
          <w:rStyle w:val="ff4"/>
          <w:color w:val="000000"/>
          <w:spacing w:val="1"/>
        </w:rPr>
      </w:pPr>
      <w:r w:rsidRPr="003C1B24">
        <w:rPr>
          <w:color w:val="000000"/>
          <w:spacing w:val="1"/>
        </w:rPr>
        <w:t>McDowell, L.R., J.H. Conr</w:t>
      </w:r>
      <w:r w:rsidRPr="003C1B24">
        <w:rPr>
          <w:rStyle w:val="lsa"/>
          <w:color w:val="000000"/>
        </w:rPr>
        <w:t xml:space="preserve">ad and F.G. Hembry. 1993. </w:t>
      </w:r>
      <w:r w:rsidRPr="003C1B24">
        <w:rPr>
          <w:rStyle w:val="ff5"/>
          <w:color w:val="000000"/>
        </w:rPr>
        <w:t xml:space="preserve">Mineral for Grazing Ruminants in Tropical </w:t>
      </w:r>
      <w:r w:rsidRPr="003C1B24">
        <w:rPr>
          <w:color w:val="000000"/>
          <w:spacing w:val="1"/>
        </w:rPr>
        <w:t>Regions</w:t>
      </w:r>
      <w:r w:rsidRPr="003C1B24">
        <w:rPr>
          <w:rStyle w:val="ff4"/>
          <w:color w:val="000000"/>
          <w:spacing w:val="1"/>
        </w:rPr>
        <w:t xml:space="preserve">. Univ. of Florida, Gainesville. </w:t>
      </w:r>
    </w:p>
    <w:p w14:paraId="1C5611E7" w14:textId="0FD2E69E" w:rsidR="003C1B24" w:rsidRPr="003C1B24" w:rsidRDefault="003C1B24" w:rsidP="003C1B24">
      <w:pPr>
        <w:autoSpaceDE w:val="0"/>
        <w:autoSpaceDN w:val="0"/>
        <w:adjustRightInd w:val="0"/>
        <w:spacing w:line="480" w:lineRule="auto"/>
        <w:ind w:left="630" w:hanging="630"/>
        <w:jc w:val="both"/>
      </w:pPr>
      <w:r w:rsidRPr="003C1B24">
        <w:t>Mihai, R.A., I.A. Espinoza-</w:t>
      </w:r>
      <w:proofErr w:type="spellStart"/>
      <w:r w:rsidRPr="003C1B24">
        <w:t>Caiza</w:t>
      </w:r>
      <w:proofErr w:type="spellEnd"/>
      <w:r w:rsidRPr="003C1B24">
        <w:t xml:space="preserve">, E.J. </w:t>
      </w:r>
      <w:proofErr w:type="spellStart"/>
      <w:r w:rsidRPr="003C1B24">
        <w:t>Melo</w:t>
      </w:r>
      <w:proofErr w:type="spellEnd"/>
      <w:r w:rsidRPr="003C1B24">
        <w:t xml:space="preserve">-Heras, N.S. </w:t>
      </w:r>
      <w:proofErr w:type="spellStart"/>
      <w:r w:rsidRPr="003C1B24">
        <w:t>Cubi-Insuaste</w:t>
      </w:r>
      <w:proofErr w:type="spellEnd"/>
      <w:r w:rsidRPr="003C1B24">
        <w:t>, E.A. Pinto-</w:t>
      </w:r>
      <w:proofErr w:type="spellStart"/>
      <w:r w:rsidRPr="003C1B24">
        <w:t>Valdiviezo</w:t>
      </w:r>
      <w:proofErr w:type="spellEnd"/>
      <w:r w:rsidRPr="003C1B24">
        <w:t xml:space="preserve"> and R.D. Catana. 2023. Does the mineral composition of volcanic ashes have a beneficial or detrimental impact on the soils and cultivated crops of Ecuador? Toxics, 11: 846. </w:t>
      </w:r>
      <w:r w:rsidR="004709E4">
        <w:t>DOI:</w:t>
      </w:r>
      <w:r w:rsidR="00110DAD">
        <w:t xml:space="preserve"> </w:t>
      </w:r>
      <w:hyperlink r:id="rId14" w:history="1">
        <w:r w:rsidR="00110DAD" w:rsidRPr="00BE141A">
          <w:rPr>
            <w:rStyle w:val="Hyperlink"/>
          </w:rPr>
          <w:t>https://doi.org/10.3390/toxics11100846</w:t>
        </w:r>
      </w:hyperlink>
      <w:r w:rsidRPr="003C1B24">
        <w:t>.</w:t>
      </w:r>
    </w:p>
    <w:p w14:paraId="2CF98178" w14:textId="77777777" w:rsidR="003C1B24" w:rsidRPr="003C1B24" w:rsidRDefault="003C1B24" w:rsidP="003C1B24">
      <w:pPr>
        <w:shd w:val="clear" w:color="auto" w:fill="FFFFFF"/>
        <w:spacing w:line="480" w:lineRule="auto"/>
        <w:ind w:left="720" w:hanging="720"/>
        <w:jc w:val="both"/>
        <w:rPr>
          <w:rStyle w:val="ff4"/>
          <w:color w:val="000000"/>
          <w:spacing w:val="1"/>
        </w:rPr>
      </w:pPr>
    </w:p>
    <w:p w14:paraId="7AE8950F" w14:textId="77777777" w:rsidR="003C1B24" w:rsidRPr="003C1B24" w:rsidRDefault="003C1B24" w:rsidP="003C1B24">
      <w:pPr>
        <w:spacing w:line="480" w:lineRule="auto"/>
        <w:ind w:left="630" w:hanging="630"/>
        <w:jc w:val="both"/>
      </w:pPr>
      <w:proofErr w:type="spellStart"/>
      <w:r w:rsidRPr="003C1B24">
        <w:lastRenderedPageBreak/>
        <w:t>Muzambiq</w:t>
      </w:r>
      <w:proofErr w:type="spellEnd"/>
      <w:r w:rsidRPr="003C1B24">
        <w:t xml:space="preserve">, S., </w:t>
      </w:r>
      <w:proofErr w:type="spellStart"/>
      <w:r w:rsidRPr="003C1B24">
        <w:t>Syafriadi</w:t>
      </w:r>
      <w:proofErr w:type="spellEnd"/>
      <w:r w:rsidRPr="003C1B24">
        <w:t xml:space="preserve">, B.S. </w:t>
      </w:r>
      <w:proofErr w:type="spellStart"/>
      <w:r w:rsidRPr="003C1B24">
        <w:t>Wijaksana</w:t>
      </w:r>
      <w:proofErr w:type="spellEnd"/>
      <w:r w:rsidRPr="003C1B24">
        <w:t xml:space="preserve"> and U. </w:t>
      </w:r>
      <w:proofErr w:type="spellStart"/>
      <w:r w:rsidRPr="003C1B24">
        <w:t>Rosaid</w:t>
      </w:r>
      <w:proofErr w:type="spellEnd"/>
      <w:r w:rsidRPr="003C1B24">
        <w:t>. 2017. Characteristic of Sinabung volcano deformation of 2011-2012 estimated based on GPS data. Aust. J. Basic &amp; Appl. Sci., 11(9): 59-71.</w:t>
      </w:r>
    </w:p>
    <w:p w14:paraId="47AB50B1" w14:textId="77777777" w:rsidR="003C1B24" w:rsidRPr="003C1B24" w:rsidRDefault="003C1B24" w:rsidP="003C1B24">
      <w:pPr>
        <w:spacing w:line="480" w:lineRule="auto"/>
        <w:ind w:left="720" w:hanging="720"/>
        <w:jc w:val="both"/>
      </w:pPr>
      <w:r w:rsidRPr="003C1B24">
        <w:t>National Research Council (NRC). 2000. Nutrient Requirements of Beef Cattle. 7th. Revised Edition. Washington: National Academy of Sciences, National Academic Press.</w:t>
      </w:r>
    </w:p>
    <w:p w14:paraId="1243740A" w14:textId="77777777" w:rsidR="003C1B24" w:rsidRPr="003C1B24" w:rsidRDefault="003C1B24" w:rsidP="003C1B24">
      <w:pPr>
        <w:spacing w:line="480" w:lineRule="auto"/>
        <w:ind w:left="630" w:hanging="630"/>
        <w:jc w:val="both"/>
      </w:pPr>
      <w:r w:rsidRPr="003C1B24">
        <w:t xml:space="preserve">Neall, V, 2009. Volcanic soils. In: Land Use, Land Cover, and Soil Science. Vol. VII, by Wh. </w:t>
      </w:r>
      <w:proofErr w:type="spellStart"/>
      <w:r w:rsidRPr="003C1B24">
        <w:t>Verheye</w:t>
      </w:r>
      <w:proofErr w:type="spellEnd"/>
      <w:r w:rsidRPr="003C1B24">
        <w:t>, EOLSS Publications.</w:t>
      </w:r>
    </w:p>
    <w:p w14:paraId="40C76006" w14:textId="77777777" w:rsidR="003C1B24" w:rsidRPr="003C1B24" w:rsidRDefault="003C1B24" w:rsidP="003C1B24">
      <w:pPr>
        <w:spacing w:line="480" w:lineRule="auto"/>
        <w:ind w:left="720" w:hanging="720"/>
        <w:jc w:val="both"/>
      </w:pPr>
      <w:r w:rsidRPr="003C1B24">
        <w:t xml:space="preserve">Newhall, C.G., S. </w:t>
      </w:r>
      <w:proofErr w:type="spellStart"/>
      <w:r w:rsidRPr="003C1B24">
        <w:t>Bronto</w:t>
      </w:r>
      <w:proofErr w:type="spellEnd"/>
      <w:r w:rsidRPr="003C1B24">
        <w:t xml:space="preserve">, B. Alloway, N.G. Banks, I. </w:t>
      </w:r>
      <w:proofErr w:type="spellStart"/>
      <w:r w:rsidRPr="003C1B24">
        <w:t>Bahar</w:t>
      </w:r>
      <w:proofErr w:type="spellEnd"/>
      <w:r w:rsidRPr="003C1B24">
        <w:t xml:space="preserve">, M.A. del </w:t>
      </w:r>
      <w:proofErr w:type="spellStart"/>
      <w:r w:rsidRPr="003C1B24">
        <w:t>Marmol</w:t>
      </w:r>
      <w:proofErr w:type="spellEnd"/>
      <w:r w:rsidRPr="003C1B24">
        <w:t xml:space="preserve">, R.D. </w:t>
      </w:r>
      <w:proofErr w:type="spellStart"/>
      <w:r w:rsidRPr="003C1B24">
        <w:t>Hadisantono</w:t>
      </w:r>
      <w:proofErr w:type="spellEnd"/>
      <w:r w:rsidRPr="003C1B24">
        <w:t xml:space="preserve">, R.T. Holcomb, J. </w:t>
      </w:r>
      <w:proofErr w:type="spellStart"/>
      <w:r w:rsidRPr="003C1B24">
        <w:t>McGeehin</w:t>
      </w:r>
      <w:proofErr w:type="spellEnd"/>
      <w:r w:rsidRPr="003C1B24">
        <w:t xml:space="preserve">, J.N. </w:t>
      </w:r>
      <w:proofErr w:type="spellStart"/>
      <w:r w:rsidRPr="003C1B24">
        <w:t>Miksic</w:t>
      </w:r>
      <w:proofErr w:type="spellEnd"/>
      <w:r w:rsidRPr="003C1B24">
        <w:t xml:space="preserve">, M. Rubin, S.D. </w:t>
      </w:r>
      <w:proofErr w:type="spellStart"/>
      <w:r w:rsidRPr="003C1B24">
        <w:t>Sayudi</w:t>
      </w:r>
      <w:proofErr w:type="spellEnd"/>
      <w:r w:rsidRPr="003C1B24">
        <w:t xml:space="preserve">, R. </w:t>
      </w:r>
      <w:proofErr w:type="spellStart"/>
      <w:r w:rsidRPr="003C1B24">
        <w:t>Sukhyar</w:t>
      </w:r>
      <w:proofErr w:type="spellEnd"/>
      <w:r w:rsidRPr="003C1B24">
        <w:t xml:space="preserve">, S. </w:t>
      </w:r>
      <w:proofErr w:type="spellStart"/>
      <w:r w:rsidRPr="003C1B24">
        <w:t>Andreastuti</w:t>
      </w:r>
      <w:proofErr w:type="spellEnd"/>
      <w:r w:rsidRPr="003C1B24">
        <w:t xml:space="preserve">, S. Tilling, R. Torley, R. Trimble and D. </w:t>
      </w:r>
      <w:proofErr w:type="spellStart"/>
      <w:r w:rsidRPr="003C1B24">
        <w:t>Wirakusumah</w:t>
      </w:r>
      <w:proofErr w:type="spellEnd"/>
      <w:r w:rsidRPr="003C1B24">
        <w:t xml:space="preserve">. 2000. </w:t>
      </w:r>
    </w:p>
    <w:p w14:paraId="3BBBAF74" w14:textId="77777777" w:rsidR="003C1B24" w:rsidRPr="003C1B24" w:rsidRDefault="003C1B24" w:rsidP="003C1B24">
      <w:pPr>
        <w:spacing w:line="480" w:lineRule="auto"/>
        <w:ind w:left="630" w:hanging="630"/>
        <w:jc w:val="both"/>
      </w:pPr>
      <w:proofErr w:type="spellStart"/>
      <w:r w:rsidRPr="003C1B24">
        <w:t>Nurwihastuti</w:t>
      </w:r>
      <w:proofErr w:type="spellEnd"/>
      <w:r w:rsidRPr="003C1B24">
        <w:t xml:space="preserve">, D.W., A.J.D. </w:t>
      </w:r>
      <w:proofErr w:type="spellStart"/>
      <w:r w:rsidRPr="003C1B24">
        <w:t>Astuti</w:t>
      </w:r>
      <w:proofErr w:type="spellEnd"/>
      <w:r w:rsidRPr="003C1B24">
        <w:t xml:space="preserve">, </w:t>
      </w:r>
      <w:proofErr w:type="spellStart"/>
      <w:r w:rsidRPr="003C1B24">
        <w:t>E.Yuniastuti</w:t>
      </w:r>
      <w:proofErr w:type="spellEnd"/>
      <w:r w:rsidRPr="003C1B24">
        <w:t xml:space="preserve">, R.B.B. </w:t>
      </w:r>
      <w:proofErr w:type="spellStart"/>
      <w:r w:rsidRPr="003C1B24">
        <w:t>Perangin-Angin</w:t>
      </w:r>
      <w:proofErr w:type="spellEnd"/>
      <w:r w:rsidRPr="003C1B24">
        <w:t xml:space="preserve"> and N.M. </w:t>
      </w:r>
      <w:proofErr w:type="spellStart"/>
      <w:r w:rsidRPr="003C1B24">
        <w:t>Simanungkalit</w:t>
      </w:r>
      <w:proofErr w:type="spellEnd"/>
      <w:r w:rsidRPr="003C1B24">
        <w:t>. 2019. Volcanic hazard analysis of Sinabung volcano eruption in Karo North Sumatra Indonesia. 1st International Conference on Advance and Scientific Innovation (ICASI) IOP Conf. Series: Journal of Physics: Conf. Series 1175 (2019) 012186 IOP Publishing. Doi:10.1088/1742-6596/1175/1/012186.</w:t>
      </w:r>
    </w:p>
    <w:p w14:paraId="7AAD1746" w14:textId="51E26602" w:rsidR="003C1B24" w:rsidRPr="003C1B24" w:rsidRDefault="003C1B24" w:rsidP="003C1B24">
      <w:pPr>
        <w:spacing w:line="480" w:lineRule="auto"/>
        <w:ind w:left="630" w:hanging="630"/>
        <w:jc w:val="both"/>
      </w:pPr>
      <w:proofErr w:type="spellStart"/>
      <w:r w:rsidRPr="003C1B24">
        <w:t>Ohba</w:t>
      </w:r>
      <w:proofErr w:type="spellEnd"/>
      <w:r w:rsidRPr="003C1B24">
        <w:t xml:space="preserve">, T. and M. Nakagawa. 2002. Minerals in volcanic ash 2: Non-magmatic minerals. Global Env. Res. 6(2):53-59. DOI: </w:t>
      </w:r>
      <w:hyperlink r:id="rId15" w:history="1">
        <w:r w:rsidRPr="003C1B24">
          <w:rPr>
            <w:rStyle w:val="Hyperlink"/>
          </w:rPr>
          <w:t>https://gbank.gsj.jp/ld/resource/geolis/200301135</w:t>
        </w:r>
      </w:hyperlink>
    </w:p>
    <w:p w14:paraId="5D62CD77" w14:textId="77777777" w:rsidR="003C1B24" w:rsidRPr="003C1B24" w:rsidRDefault="003C1B24" w:rsidP="003C1B24">
      <w:pPr>
        <w:spacing w:line="480" w:lineRule="auto"/>
        <w:ind w:left="630" w:hanging="630"/>
        <w:jc w:val="both"/>
      </w:pPr>
      <w:r w:rsidRPr="003C1B24">
        <w:t>Rhue, R.D. and D. Kidder. 1983. Analytical procedures used by the IFAS extension soil laboratory and the interpretation of results. Soil Sci Dept. Univ of Florida, Gainesville. USA. 1983.</w:t>
      </w:r>
    </w:p>
    <w:p w14:paraId="327143F2" w14:textId="773C5BB5" w:rsidR="003C1B24" w:rsidRPr="003C1B24" w:rsidRDefault="003C1B24" w:rsidP="003C1B24">
      <w:pPr>
        <w:spacing w:line="480" w:lineRule="auto"/>
        <w:ind w:left="567" w:hanging="567"/>
        <w:jc w:val="both"/>
        <w:rPr>
          <w:rStyle w:val="Hyperlink"/>
        </w:rPr>
      </w:pPr>
      <w:proofErr w:type="spellStart"/>
      <w:r w:rsidRPr="003C1B24">
        <w:t>Rozaki</w:t>
      </w:r>
      <w:proofErr w:type="spellEnd"/>
      <w:r w:rsidRPr="003C1B24">
        <w:t xml:space="preserve">, Z., N. Rahmawati, O. </w:t>
      </w:r>
      <w:proofErr w:type="spellStart"/>
      <w:r w:rsidRPr="003C1B24">
        <w:t>Wijaya</w:t>
      </w:r>
      <w:proofErr w:type="spellEnd"/>
      <w:r w:rsidRPr="003C1B24">
        <w:t xml:space="preserve">, S.N. </w:t>
      </w:r>
      <w:proofErr w:type="spellStart"/>
      <w:r w:rsidRPr="003C1B24">
        <w:t>Azizah</w:t>
      </w:r>
      <w:proofErr w:type="spellEnd"/>
      <w:r w:rsidRPr="003C1B24">
        <w:t xml:space="preserve">, A.C. </w:t>
      </w:r>
      <w:proofErr w:type="spellStart"/>
      <w:r w:rsidRPr="003C1B24">
        <w:t>Pratama</w:t>
      </w:r>
      <w:proofErr w:type="spellEnd"/>
      <w:r w:rsidRPr="003C1B24">
        <w:t xml:space="preserve">, Y. </w:t>
      </w:r>
      <w:proofErr w:type="spellStart"/>
      <w:r w:rsidRPr="003C1B24">
        <w:t>Pramudya</w:t>
      </w:r>
      <w:proofErr w:type="spellEnd"/>
      <w:r w:rsidRPr="003C1B24">
        <w:t xml:space="preserve">, F. </w:t>
      </w:r>
      <w:proofErr w:type="spellStart"/>
      <w:r w:rsidRPr="003C1B24">
        <w:t>Novianto</w:t>
      </w:r>
      <w:proofErr w:type="spellEnd"/>
      <w:r w:rsidRPr="003C1B24">
        <w:t xml:space="preserve">, F.F. </w:t>
      </w:r>
      <w:proofErr w:type="spellStart"/>
      <w:r w:rsidRPr="003C1B24">
        <w:t>Hanum</w:t>
      </w:r>
      <w:proofErr w:type="spellEnd"/>
      <w:r w:rsidRPr="003C1B24">
        <w:t xml:space="preserve">, A. </w:t>
      </w:r>
      <w:proofErr w:type="spellStart"/>
      <w:r w:rsidRPr="003C1B24">
        <w:t>Rahmat</w:t>
      </w:r>
      <w:proofErr w:type="spellEnd"/>
      <w:r w:rsidRPr="003C1B24">
        <w:t xml:space="preserve">, </w:t>
      </w:r>
      <w:proofErr w:type="spellStart"/>
      <w:r w:rsidRPr="003C1B24">
        <w:t>Jumakir</w:t>
      </w:r>
      <w:proofErr w:type="spellEnd"/>
      <w:r w:rsidRPr="003C1B24">
        <w:t xml:space="preserve"> and </w:t>
      </w:r>
      <w:proofErr w:type="spellStart"/>
      <w:r w:rsidRPr="003C1B24">
        <w:t>Waluyo</w:t>
      </w:r>
      <w:proofErr w:type="spellEnd"/>
      <w:r w:rsidRPr="003C1B24">
        <w:t>. 2022. Farmers’ food security in the volcanic area: A case in Mount Merapi, Indonesia. De Gruyter, Open Agriculture.7: 554–565.</w:t>
      </w:r>
      <w:r w:rsidR="002F0502">
        <w:t xml:space="preserve"> DOI:</w:t>
      </w:r>
      <w:r w:rsidRPr="003C1B24">
        <w:t xml:space="preserve"> </w:t>
      </w:r>
      <w:hyperlink r:id="rId16" w:history="1">
        <w:r w:rsidRPr="003C1B24">
          <w:rPr>
            <w:rStyle w:val="Hyperlink"/>
          </w:rPr>
          <w:t>https://doi.org/10.1515/opag-2022-0122</w:t>
        </w:r>
      </w:hyperlink>
      <w:r w:rsidRPr="003C1B24">
        <w:rPr>
          <w:rStyle w:val="Hyperlink"/>
        </w:rPr>
        <w:t>.</w:t>
      </w:r>
    </w:p>
    <w:p w14:paraId="3E485C1A" w14:textId="660779ED" w:rsidR="003C1B24" w:rsidRPr="003C1B24" w:rsidRDefault="003C1B24" w:rsidP="003C1B24">
      <w:pPr>
        <w:spacing w:line="480" w:lineRule="auto"/>
        <w:ind w:left="567" w:hanging="567"/>
        <w:jc w:val="both"/>
      </w:pPr>
      <w:proofErr w:type="spellStart"/>
      <w:r w:rsidRPr="003C1B24">
        <w:lastRenderedPageBreak/>
        <w:t>Rozaki</w:t>
      </w:r>
      <w:proofErr w:type="spellEnd"/>
      <w:r w:rsidRPr="003C1B24">
        <w:t xml:space="preserve">, Z., M.F. Kamarudin, A.A. Aziz and M. Senge. 2023. Exploring agricultural resilience in volcano-prone regions: A case study from mount Merapi, Indonesia J. Sustainable Agric. 38(2), 284-296. </w:t>
      </w:r>
      <w:r w:rsidR="002F0502">
        <w:t>DOI</w:t>
      </w:r>
      <w:r w:rsidRPr="003C1B24">
        <w:t xml:space="preserve">: </w:t>
      </w:r>
      <w:hyperlink r:id="rId17" w:history="1">
        <w:r w:rsidRPr="003C1B24">
          <w:rPr>
            <w:rStyle w:val="Hyperlink"/>
          </w:rPr>
          <w:t>http://dx.doi.org/10.20961/carakatani.v38i2.72390</w:t>
        </w:r>
      </w:hyperlink>
      <w:r w:rsidRPr="003C1B24">
        <w:t>.</w:t>
      </w:r>
    </w:p>
    <w:p w14:paraId="79022C55" w14:textId="19DE6B20" w:rsidR="003C1B24" w:rsidRPr="003C1B24" w:rsidRDefault="003C1B24" w:rsidP="003C1B24">
      <w:pPr>
        <w:spacing w:line="480" w:lineRule="auto"/>
        <w:ind w:left="720" w:hanging="720"/>
        <w:jc w:val="both"/>
      </w:pPr>
      <w:r w:rsidRPr="003C1B24">
        <w:t xml:space="preserve">Saputra, D., R.R. Sari, K. </w:t>
      </w:r>
      <w:proofErr w:type="spellStart"/>
      <w:r w:rsidRPr="003C1B24">
        <w:t>Hairiah</w:t>
      </w:r>
      <w:proofErr w:type="spellEnd"/>
      <w:r w:rsidRPr="003C1B24">
        <w:t xml:space="preserve">, </w:t>
      </w:r>
      <w:proofErr w:type="spellStart"/>
      <w:r w:rsidRPr="003C1B24">
        <w:t>Widianto</w:t>
      </w:r>
      <w:proofErr w:type="spellEnd"/>
      <w:r w:rsidRPr="003C1B24">
        <w:t xml:space="preserve">, D. </w:t>
      </w:r>
      <w:proofErr w:type="spellStart"/>
      <w:r w:rsidRPr="003C1B24">
        <w:t>Suprayogo</w:t>
      </w:r>
      <w:proofErr w:type="spellEnd"/>
      <w:r w:rsidRPr="003C1B24">
        <w:t xml:space="preserve">, and M van </w:t>
      </w:r>
      <w:proofErr w:type="spellStart"/>
      <w:r w:rsidRPr="003C1B24">
        <w:t>Noordwijk</w:t>
      </w:r>
      <w:proofErr w:type="spellEnd"/>
      <w:r w:rsidRPr="003C1B24">
        <w:t>. 2022. Recovery after volcanic ash deposition: vegetation effects on soil organic carbon, soil structure and infiltration rates. Plant Soil (2022) 474:163–179</w:t>
      </w:r>
      <w:r w:rsidR="002F0502">
        <w:t xml:space="preserve">. DOI: </w:t>
      </w:r>
      <w:hyperlink r:id="rId18" w:history="1">
        <w:r w:rsidR="002F0502" w:rsidRPr="00BE141A">
          <w:rPr>
            <w:rStyle w:val="Hyperlink"/>
          </w:rPr>
          <w:t>https://doi.org/10.1007/s11104-022-05322-7</w:t>
        </w:r>
      </w:hyperlink>
      <w:r w:rsidRPr="003C1B24">
        <w:t>.</w:t>
      </w:r>
    </w:p>
    <w:p w14:paraId="636B9F61" w14:textId="77777777" w:rsidR="003C1B24" w:rsidRPr="003C1B24" w:rsidRDefault="003C1B24" w:rsidP="003C1B24">
      <w:pPr>
        <w:spacing w:line="480" w:lineRule="auto"/>
        <w:ind w:left="720" w:hanging="720"/>
        <w:jc w:val="both"/>
      </w:pPr>
      <w:r w:rsidRPr="003C1B24">
        <w:t xml:space="preserve">Sari, K.P., A. </w:t>
      </w:r>
      <w:proofErr w:type="spellStart"/>
      <w:r w:rsidRPr="003C1B24">
        <w:t>Oktradiksa</w:t>
      </w:r>
      <w:proofErr w:type="spellEnd"/>
      <w:r w:rsidRPr="003C1B24">
        <w:t xml:space="preserve">, A. </w:t>
      </w:r>
      <w:proofErr w:type="spellStart"/>
      <w:r w:rsidRPr="003C1B24">
        <w:t>Setyawan</w:t>
      </w:r>
      <w:proofErr w:type="spellEnd"/>
      <w:r w:rsidRPr="003C1B24">
        <w:t xml:space="preserve"> and </w:t>
      </w:r>
      <w:proofErr w:type="spellStart"/>
      <w:r w:rsidRPr="003C1B24">
        <w:t>Priyo</w:t>
      </w:r>
      <w:proofErr w:type="spellEnd"/>
      <w:r w:rsidRPr="003C1B24">
        <w:t>. 2022. The contingencies of Merapi eruption disasters in implementation of sister village. J. Community Services and Engagement: Voice of Community, 2 (1):30-38.</w:t>
      </w:r>
    </w:p>
    <w:p w14:paraId="32CE38A9" w14:textId="77777777" w:rsidR="003C1B24" w:rsidRPr="003C1B24" w:rsidRDefault="003C1B24" w:rsidP="003C1B24">
      <w:pPr>
        <w:spacing w:line="480" w:lineRule="auto"/>
        <w:ind w:left="630" w:hanging="630"/>
        <w:jc w:val="both"/>
      </w:pPr>
      <w:proofErr w:type="spellStart"/>
      <w:r w:rsidRPr="003C1B24">
        <w:t>Senduk</w:t>
      </w:r>
      <w:proofErr w:type="spellEnd"/>
      <w:r w:rsidRPr="003C1B24">
        <w:t xml:space="preserve">, K.G. and M. </w:t>
      </w:r>
      <w:proofErr w:type="spellStart"/>
      <w:r w:rsidRPr="003C1B24">
        <w:t>Abdurrachman</w:t>
      </w:r>
      <w:proofErr w:type="spellEnd"/>
      <w:r w:rsidRPr="003C1B24">
        <w:t xml:space="preserve">. 2023. </w:t>
      </w:r>
      <w:proofErr w:type="spellStart"/>
      <w:r w:rsidRPr="003C1B24">
        <w:t>Volcanostratigraphy</w:t>
      </w:r>
      <w:proofErr w:type="spellEnd"/>
      <w:r w:rsidRPr="003C1B24">
        <w:t xml:space="preserve"> in the </w:t>
      </w:r>
      <w:proofErr w:type="spellStart"/>
      <w:r w:rsidRPr="003C1B24">
        <w:t>Lokon</w:t>
      </w:r>
      <w:proofErr w:type="spellEnd"/>
      <w:r w:rsidRPr="003C1B24">
        <w:t xml:space="preserve"> volcano area and its surroundings, North Sulawesi. </w:t>
      </w:r>
      <w:proofErr w:type="spellStart"/>
      <w:r w:rsidRPr="003C1B24">
        <w:t>Bul.Geology</w:t>
      </w:r>
      <w:proofErr w:type="spellEnd"/>
      <w:r w:rsidRPr="003C1B24">
        <w:t xml:space="preserve">, 7 (2). DOI: 10.5614/bull.geol.2023.7.2.2. </w:t>
      </w:r>
    </w:p>
    <w:p w14:paraId="2C607EDE" w14:textId="7BD151A9" w:rsidR="003C1B24" w:rsidRPr="003C1B24" w:rsidRDefault="003C1B24" w:rsidP="003C1B24">
      <w:pPr>
        <w:spacing w:line="480" w:lineRule="auto"/>
        <w:ind w:left="720" w:hanging="720"/>
        <w:jc w:val="both"/>
      </w:pPr>
      <w:r w:rsidRPr="003C1B24">
        <w:t xml:space="preserve">Setiawati, T.C., M. </w:t>
      </w:r>
      <w:proofErr w:type="spellStart"/>
      <w:r w:rsidRPr="003C1B24">
        <w:t>Nurcholis</w:t>
      </w:r>
      <w:proofErr w:type="spellEnd"/>
      <w:r w:rsidRPr="003C1B24">
        <w:t xml:space="preserve">, </w:t>
      </w:r>
      <w:proofErr w:type="spellStart"/>
      <w:r w:rsidRPr="003C1B24">
        <w:t>Basuki</w:t>
      </w:r>
      <w:proofErr w:type="spellEnd"/>
      <w:r w:rsidRPr="003C1B24">
        <w:t xml:space="preserve">, S.A. </w:t>
      </w:r>
      <w:proofErr w:type="spellStart"/>
      <w:r w:rsidRPr="003C1B24">
        <w:t>Budiman</w:t>
      </w:r>
      <w:proofErr w:type="spellEnd"/>
      <w:r w:rsidRPr="003C1B24">
        <w:t xml:space="preserve"> and D.F. </w:t>
      </w:r>
      <w:proofErr w:type="spellStart"/>
      <w:r w:rsidRPr="003C1B24">
        <w:t>Yudiantoro</w:t>
      </w:r>
      <w:proofErr w:type="spellEnd"/>
      <w:r w:rsidRPr="003C1B24">
        <w:t xml:space="preserve">. 2024. Elemental composition and mineralogical characteristics of volcanic ash and soil affected by the eruption of Mount </w:t>
      </w:r>
      <w:proofErr w:type="spellStart"/>
      <w:r w:rsidRPr="003C1B24">
        <w:t>Semeru</w:t>
      </w:r>
      <w:proofErr w:type="spellEnd"/>
      <w:r w:rsidRPr="003C1B24">
        <w:t>, East Java. J. Degraded and Mining Lands Management 11(3):5741-5753</w:t>
      </w:r>
      <w:r w:rsidR="002F0502">
        <w:t>. DOI</w:t>
      </w:r>
      <w:r w:rsidRPr="003C1B24">
        <w:t>:10.15243/jdmlm.2024.113.5741.</w:t>
      </w:r>
    </w:p>
    <w:p w14:paraId="0CEFCB77" w14:textId="77777777" w:rsidR="003C1B24" w:rsidRPr="003C1B24" w:rsidRDefault="003C1B24" w:rsidP="003C1B24">
      <w:pPr>
        <w:spacing w:line="480" w:lineRule="auto"/>
        <w:ind w:left="567" w:hanging="567"/>
        <w:jc w:val="both"/>
      </w:pPr>
      <w:proofErr w:type="spellStart"/>
      <w:r w:rsidRPr="003C1B24">
        <w:t>Smathers</w:t>
      </w:r>
      <w:proofErr w:type="spellEnd"/>
      <w:r w:rsidRPr="003C1B24">
        <w:t xml:space="preserve"> G.A. and D.M. </w:t>
      </w:r>
      <w:proofErr w:type="spellStart"/>
      <w:r w:rsidRPr="003C1B24">
        <w:t>Dombois</w:t>
      </w:r>
      <w:proofErr w:type="spellEnd"/>
      <w:r w:rsidRPr="003C1B24">
        <w:t>. 1974. Invasion and Recovery of Vegetation after a Volcanic Eruption in Hawaii. National Park Service. Scientific monograph series, no. 5). University of Hawaii, Honolulu</w:t>
      </w:r>
    </w:p>
    <w:p w14:paraId="665D4C46" w14:textId="225D7780" w:rsidR="003C1B24" w:rsidRPr="003C1B24" w:rsidRDefault="003C1B24" w:rsidP="003C1B24">
      <w:pPr>
        <w:spacing w:line="480" w:lineRule="auto"/>
        <w:ind w:left="567" w:hanging="567"/>
        <w:jc w:val="both"/>
      </w:pPr>
      <w:r w:rsidRPr="003C1B24">
        <w:t>Tampubolon, J., H.L. Nainggolan, A. Ginting and J. Aritonang. 2018. Mount Sinabung eruption: Impact on local economy and smallholder farming in Karo regency, North Sumatra.  4</w:t>
      </w:r>
      <w:r w:rsidRPr="003C1B24">
        <w:rPr>
          <w:vertAlign w:val="superscript"/>
        </w:rPr>
        <w:t>th</w:t>
      </w:r>
      <w:r w:rsidRPr="003C1B24">
        <w:t xml:space="preserve"> International Conference on Environmental Systems Research (ICESR 2017). IOP Conf. Series: Earth and Environmental Science 178 (2018) 012039</w:t>
      </w:r>
      <w:r>
        <w:t>. DOI:</w:t>
      </w:r>
      <w:r w:rsidRPr="003C1B24">
        <w:t xml:space="preserve"> 10.1088/1755-1315/178/1/012039</w:t>
      </w:r>
    </w:p>
    <w:p w14:paraId="62D4B651" w14:textId="77777777" w:rsidR="003C1B24" w:rsidRPr="003C1B24" w:rsidRDefault="003C1B24" w:rsidP="003C1B24">
      <w:pPr>
        <w:spacing w:line="480" w:lineRule="auto"/>
        <w:ind w:left="720" w:hanging="720"/>
        <w:jc w:val="both"/>
      </w:pPr>
      <w:proofErr w:type="spellStart"/>
      <w:r w:rsidRPr="003C1B24">
        <w:lastRenderedPageBreak/>
        <w:t>Tarigan</w:t>
      </w:r>
      <w:proofErr w:type="spellEnd"/>
      <w:r w:rsidRPr="003C1B24">
        <w:t xml:space="preserve"> A. 2015. Rehabilitation agriculture area covered by Sinabung volcanic ash (in the Indonesian language). J. </w:t>
      </w:r>
      <w:proofErr w:type="spellStart"/>
      <w:r w:rsidRPr="003C1B24">
        <w:t>Pertanian</w:t>
      </w:r>
      <w:proofErr w:type="spellEnd"/>
      <w:r w:rsidRPr="003C1B24">
        <w:t xml:space="preserve"> </w:t>
      </w:r>
      <w:proofErr w:type="spellStart"/>
      <w:r w:rsidRPr="003C1B24">
        <w:t>Tropik</w:t>
      </w:r>
      <w:proofErr w:type="spellEnd"/>
      <w:r w:rsidRPr="003C1B24">
        <w:t>, 2 (3): 220- 227.</w:t>
      </w:r>
    </w:p>
    <w:p w14:paraId="15632682" w14:textId="77777777" w:rsidR="003C1B24" w:rsidRPr="003C1B24" w:rsidRDefault="003C1B24" w:rsidP="003C1B24">
      <w:pPr>
        <w:pStyle w:val="Default"/>
        <w:spacing w:line="480" w:lineRule="auto"/>
        <w:ind w:left="630" w:hanging="630"/>
        <w:jc w:val="both"/>
        <w:rPr>
          <w:rFonts w:ascii="Times New Roman" w:hAnsi="Times New Roman" w:cs="Times New Roman"/>
        </w:rPr>
      </w:pPr>
      <w:r w:rsidRPr="003C1B24">
        <w:rPr>
          <w:rFonts w:ascii="Times New Roman" w:hAnsi="Times New Roman" w:cs="Times New Roman"/>
        </w:rPr>
        <w:t xml:space="preserve">Tulp, O.L., F. Sainvil, R. Branly, A. </w:t>
      </w:r>
      <w:proofErr w:type="spellStart"/>
      <w:r w:rsidRPr="003C1B24">
        <w:rPr>
          <w:rFonts w:ascii="Times New Roman" w:hAnsi="Times New Roman" w:cs="Times New Roman"/>
        </w:rPr>
        <w:t>Sciranka</w:t>
      </w:r>
      <w:proofErr w:type="spellEnd"/>
      <w:r w:rsidRPr="003C1B24">
        <w:rPr>
          <w:rFonts w:ascii="Times New Roman" w:hAnsi="Times New Roman" w:cs="Times New Roman"/>
        </w:rPr>
        <w:t>, R. Guibert and G.P. Einstein. 2023. Micronutrient mineral and nutrient content of volcanic soils and creeks from the Montserrat Soufriere Hills Volcano. European J. Appl. Sci. 11(2): 143-156.  DOI:10.14738/aivp.112.14253.</w:t>
      </w:r>
    </w:p>
    <w:p w14:paraId="17C8FDFB" w14:textId="77777777" w:rsidR="003C1B24" w:rsidRPr="003C1B24" w:rsidRDefault="003C1B24" w:rsidP="003C1B24">
      <w:pPr>
        <w:pStyle w:val="Default"/>
        <w:spacing w:line="480" w:lineRule="auto"/>
        <w:ind w:left="630" w:hanging="630"/>
        <w:jc w:val="both"/>
        <w:rPr>
          <w:rFonts w:ascii="Times New Roman" w:hAnsi="Times New Roman" w:cs="Times New Roman"/>
        </w:rPr>
      </w:pPr>
      <w:r w:rsidRPr="003C1B24">
        <w:rPr>
          <w:rFonts w:ascii="Times New Roman" w:hAnsi="Times New Roman" w:cs="Times New Roman"/>
        </w:rPr>
        <w:t xml:space="preserve">Umami, N., B. </w:t>
      </w:r>
      <w:proofErr w:type="spellStart"/>
      <w:r w:rsidRPr="003C1B24">
        <w:rPr>
          <w:rFonts w:ascii="Times New Roman" w:hAnsi="Times New Roman" w:cs="Times New Roman"/>
        </w:rPr>
        <w:t>Suhartanto</w:t>
      </w:r>
      <w:proofErr w:type="spellEnd"/>
      <w:r w:rsidRPr="003C1B24">
        <w:rPr>
          <w:rFonts w:ascii="Times New Roman" w:hAnsi="Times New Roman" w:cs="Times New Roman"/>
        </w:rPr>
        <w:t xml:space="preserve">, B. </w:t>
      </w:r>
      <w:proofErr w:type="spellStart"/>
      <w:r w:rsidRPr="003C1B24">
        <w:rPr>
          <w:rFonts w:ascii="Times New Roman" w:hAnsi="Times New Roman" w:cs="Times New Roman"/>
        </w:rPr>
        <w:t>Suwignyo</w:t>
      </w:r>
      <w:proofErr w:type="spellEnd"/>
      <w:r w:rsidRPr="003C1B24">
        <w:rPr>
          <w:rFonts w:ascii="Times New Roman" w:hAnsi="Times New Roman" w:cs="Times New Roman"/>
        </w:rPr>
        <w:t xml:space="preserve">, N. </w:t>
      </w:r>
      <w:proofErr w:type="spellStart"/>
      <w:r w:rsidRPr="003C1B24">
        <w:rPr>
          <w:rFonts w:ascii="Times New Roman" w:hAnsi="Times New Roman" w:cs="Times New Roman"/>
        </w:rPr>
        <w:t>Suseno</w:t>
      </w:r>
      <w:proofErr w:type="spellEnd"/>
      <w:r w:rsidRPr="003C1B24">
        <w:rPr>
          <w:rFonts w:ascii="Times New Roman" w:hAnsi="Times New Roman" w:cs="Times New Roman"/>
        </w:rPr>
        <w:t xml:space="preserve">, S.A. </w:t>
      </w:r>
      <w:proofErr w:type="spellStart"/>
      <w:r w:rsidRPr="003C1B24">
        <w:rPr>
          <w:rFonts w:ascii="Times New Roman" w:hAnsi="Times New Roman" w:cs="Times New Roman"/>
        </w:rPr>
        <w:t>Fenila</w:t>
      </w:r>
      <w:proofErr w:type="spellEnd"/>
      <w:r w:rsidRPr="003C1B24">
        <w:rPr>
          <w:rFonts w:ascii="Times New Roman" w:hAnsi="Times New Roman" w:cs="Times New Roman"/>
        </w:rPr>
        <w:t xml:space="preserve"> and R. </w:t>
      </w:r>
      <w:proofErr w:type="spellStart"/>
      <w:r w:rsidRPr="003C1B24">
        <w:rPr>
          <w:rFonts w:ascii="Times New Roman" w:hAnsi="Times New Roman" w:cs="Times New Roman"/>
        </w:rPr>
        <w:t>Fajarwati</w:t>
      </w:r>
      <w:proofErr w:type="spellEnd"/>
      <w:r w:rsidRPr="003C1B24">
        <w:rPr>
          <w:rFonts w:ascii="Times New Roman" w:hAnsi="Times New Roman" w:cs="Times New Roman"/>
        </w:rPr>
        <w:t>. 2015. Productivity of forages in grassland Merapi post-eruption area, Sleman, Yogyakarta, Indonesia. Animal Production. 17(2):97-106.</w:t>
      </w:r>
    </w:p>
    <w:p w14:paraId="14C434DE" w14:textId="77777777" w:rsidR="003C1B24" w:rsidRPr="003C1B24" w:rsidRDefault="003C1B24" w:rsidP="003C1B24">
      <w:pPr>
        <w:spacing w:line="480" w:lineRule="auto"/>
        <w:ind w:left="630" w:hanging="630"/>
        <w:jc w:val="both"/>
      </w:pPr>
      <w:r w:rsidRPr="003C1B24">
        <w:t xml:space="preserve">Voight, B., K.D. Young, D. </w:t>
      </w:r>
      <w:proofErr w:type="spellStart"/>
      <w:r w:rsidRPr="003C1B24">
        <w:t>Hidayat</w:t>
      </w:r>
      <w:proofErr w:type="spellEnd"/>
      <w:r w:rsidRPr="003C1B24">
        <w:t xml:space="preserve">, M.A. </w:t>
      </w:r>
      <w:proofErr w:type="spellStart"/>
      <w:r w:rsidRPr="003C1B24">
        <w:t>Subandrio</w:t>
      </w:r>
      <w:proofErr w:type="spellEnd"/>
      <w:r w:rsidRPr="003C1B24">
        <w:t xml:space="preserve">, A. </w:t>
      </w:r>
      <w:proofErr w:type="spellStart"/>
      <w:r w:rsidRPr="003C1B24">
        <w:t>Purbawinata</w:t>
      </w:r>
      <w:proofErr w:type="spellEnd"/>
      <w:r w:rsidRPr="003C1B24">
        <w:t xml:space="preserve">, </w:t>
      </w:r>
      <w:proofErr w:type="spellStart"/>
      <w:r w:rsidRPr="003C1B24">
        <w:t>Ratdomopurbo</w:t>
      </w:r>
      <w:proofErr w:type="spellEnd"/>
      <w:r w:rsidRPr="003C1B24">
        <w:t xml:space="preserve">, S. </w:t>
      </w:r>
      <w:proofErr w:type="spellStart"/>
      <w:r w:rsidRPr="003C1B24">
        <w:t>Panut</w:t>
      </w:r>
      <w:proofErr w:type="spellEnd"/>
      <w:r w:rsidRPr="003C1B24">
        <w:t xml:space="preserve">, D.S. </w:t>
      </w:r>
      <w:proofErr w:type="spellStart"/>
      <w:r w:rsidRPr="003C1B24">
        <w:t>Sayudi</w:t>
      </w:r>
      <w:proofErr w:type="spellEnd"/>
      <w:r w:rsidRPr="003C1B24">
        <w:t xml:space="preserve">, R. LaHusen, J. Maso, T.L. Murray, M. Dejean, M. Iguchi and K. Ishihara. 2000. Deformation and seismic </w:t>
      </w:r>
      <w:proofErr w:type="spellStart"/>
      <w:r w:rsidRPr="003C1B24">
        <w:t>precusors</w:t>
      </w:r>
      <w:proofErr w:type="spellEnd"/>
      <w:r w:rsidRPr="003C1B24">
        <w:t xml:space="preserve"> to dome-collapse and mountain collapse at Merapi Volcano, Java, Indonesia, 1994-1998.10,000 years of explosive eruptions of Merapi volcano, Central Java: archaeological and modern implications. J. </w:t>
      </w:r>
      <w:proofErr w:type="spellStart"/>
      <w:r w:rsidRPr="003C1B24">
        <w:t>Volcanol</w:t>
      </w:r>
      <w:proofErr w:type="spellEnd"/>
      <w:r w:rsidRPr="003C1B24">
        <w:t xml:space="preserve">. </w:t>
      </w:r>
      <w:proofErr w:type="spellStart"/>
      <w:r w:rsidRPr="003C1B24">
        <w:t>Geoth</w:t>
      </w:r>
      <w:proofErr w:type="spellEnd"/>
      <w:r w:rsidRPr="003C1B24">
        <w:t>. Res. 100 (1-4):9–50.</w:t>
      </w:r>
      <w:bookmarkStart w:id="3" w:name="_GoBack"/>
      <w:bookmarkEnd w:id="3"/>
    </w:p>
    <w:p w14:paraId="462CE258" w14:textId="77777777" w:rsidR="003C1B24" w:rsidRPr="003C1B24" w:rsidRDefault="003C1B24" w:rsidP="003C1B24">
      <w:pPr>
        <w:spacing w:line="480" w:lineRule="auto"/>
        <w:ind w:left="630" w:hanging="630"/>
        <w:jc w:val="both"/>
      </w:pPr>
      <w:proofErr w:type="spellStart"/>
      <w:r w:rsidRPr="003C1B24">
        <w:t>Widiyantoro</w:t>
      </w:r>
      <w:proofErr w:type="spellEnd"/>
      <w:r w:rsidRPr="003C1B24">
        <w:t xml:space="preserve">, S., M. Ramdhan, J.-P. </w:t>
      </w:r>
      <w:proofErr w:type="spellStart"/>
      <w:r w:rsidRPr="003C1B24">
        <w:t>Métaxian</w:t>
      </w:r>
      <w:proofErr w:type="spellEnd"/>
      <w:r w:rsidRPr="003C1B24">
        <w:t xml:space="preserve">, P. R. Cummins, C. Martel, S. Erdmann, A.D. </w:t>
      </w:r>
      <w:proofErr w:type="spellStart"/>
      <w:r w:rsidRPr="003C1B24">
        <w:t>Nugraha</w:t>
      </w:r>
      <w:proofErr w:type="spellEnd"/>
      <w:r w:rsidRPr="003C1B24">
        <w:t xml:space="preserve">, A.B. </w:t>
      </w:r>
      <w:proofErr w:type="spellStart"/>
      <w:r w:rsidRPr="003C1B24">
        <w:t>Santoso</w:t>
      </w:r>
      <w:proofErr w:type="spellEnd"/>
      <w:r w:rsidRPr="003C1B24">
        <w:t>, A. Laurin and A.A. Fahmi. 2018. Seismic imaging and petrology explain highly explosive eruptions of Merapi volcano, Indonesia. Scientific Reports. 8:13658. DOI:10.1038/s41598-018-31293-w.</w:t>
      </w:r>
    </w:p>
    <w:p w14:paraId="42F41E90" w14:textId="77777777" w:rsidR="003C1B24" w:rsidRPr="003C1B24" w:rsidRDefault="003C1B24" w:rsidP="003C1B24">
      <w:pPr>
        <w:spacing w:line="480" w:lineRule="auto"/>
        <w:ind w:left="630" w:hanging="630"/>
        <w:jc w:val="both"/>
      </w:pPr>
      <w:r w:rsidRPr="003C1B24">
        <w:t>Wu, G. 2018. Principles of Animal Nutrition. CRC Press. p. 553-632</w:t>
      </w:r>
    </w:p>
    <w:p w14:paraId="7A051CD0" w14:textId="533035E5" w:rsidR="00AD665F" w:rsidRPr="00265DCB" w:rsidRDefault="003C1B24" w:rsidP="003C1B24">
      <w:pPr>
        <w:spacing w:line="480" w:lineRule="auto"/>
        <w:ind w:left="630" w:hanging="630"/>
        <w:jc w:val="both"/>
      </w:pPr>
      <w:proofErr w:type="spellStart"/>
      <w:r w:rsidRPr="003C1B24">
        <w:t>Zainnudin</w:t>
      </w:r>
      <w:proofErr w:type="spellEnd"/>
      <w:r w:rsidRPr="003C1B24">
        <w:t xml:space="preserve">, A. 2010. The characteristic of eruption of Indonesian active volcanoes in the last four decades. J. </w:t>
      </w:r>
      <w:proofErr w:type="spellStart"/>
      <w:r w:rsidRPr="003C1B24">
        <w:t>Lingkungan</w:t>
      </w:r>
      <w:proofErr w:type="spellEnd"/>
      <w:r w:rsidRPr="003C1B24">
        <w:t xml:space="preserve"> </w:t>
      </w:r>
      <w:proofErr w:type="spellStart"/>
      <w:r w:rsidRPr="003C1B24">
        <w:t>dan</w:t>
      </w:r>
      <w:proofErr w:type="spellEnd"/>
      <w:r w:rsidRPr="003C1B24">
        <w:t xml:space="preserve"> </w:t>
      </w:r>
      <w:proofErr w:type="spellStart"/>
      <w:r w:rsidRPr="003C1B24">
        <w:t>Bencana</w:t>
      </w:r>
      <w:proofErr w:type="spellEnd"/>
      <w:r w:rsidRPr="003C1B24">
        <w:t xml:space="preserve"> </w:t>
      </w:r>
      <w:proofErr w:type="spellStart"/>
      <w:r w:rsidRPr="003C1B24">
        <w:t>Geologi</w:t>
      </w:r>
      <w:proofErr w:type="spellEnd"/>
      <w:r w:rsidRPr="003C1B24">
        <w:t>, 1 (2): 113 - 129</w:t>
      </w:r>
    </w:p>
    <w:sectPr w:rsidR="00AD665F" w:rsidRPr="00265DCB" w:rsidSect="00917ABA">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60748" w14:textId="77777777" w:rsidR="00D6458F" w:rsidRPr="00265DCB" w:rsidRDefault="00D6458F" w:rsidP="004D6C7C">
      <w:r w:rsidRPr="00265DCB">
        <w:separator/>
      </w:r>
    </w:p>
  </w:endnote>
  <w:endnote w:type="continuationSeparator" w:id="0">
    <w:p w14:paraId="59281B89" w14:textId="77777777" w:rsidR="00D6458F" w:rsidRPr="00265DCB" w:rsidRDefault="00D6458F" w:rsidP="004D6C7C">
      <w:r w:rsidRPr="00265D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14602976"/>
      <w:docPartObj>
        <w:docPartGallery w:val="Page Numbers (Bottom of Page)"/>
        <w:docPartUnique/>
      </w:docPartObj>
    </w:sdtPr>
    <w:sdtEndPr>
      <w:rPr>
        <w:rStyle w:val="PageNumber"/>
      </w:rPr>
    </w:sdtEndPr>
    <w:sdtContent>
      <w:p w14:paraId="305C928A" w14:textId="2DC07C31" w:rsidR="000A495D" w:rsidRPr="00265DCB" w:rsidRDefault="000A495D" w:rsidP="009C583F">
        <w:pPr>
          <w:pStyle w:val="Footer"/>
          <w:framePr w:wrap="none" w:vAnchor="text" w:hAnchor="margin" w:xAlign="center" w:y="1"/>
          <w:rPr>
            <w:rStyle w:val="PageNumber"/>
          </w:rPr>
        </w:pPr>
        <w:r w:rsidRPr="00265DCB">
          <w:rPr>
            <w:rStyle w:val="PageNumber"/>
          </w:rPr>
          <w:fldChar w:fldCharType="begin"/>
        </w:r>
        <w:r w:rsidRPr="00265DCB">
          <w:rPr>
            <w:rStyle w:val="PageNumber"/>
          </w:rPr>
          <w:instrText xml:space="preserve"> PAGE </w:instrText>
        </w:r>
        <w:r w:rsidRPr="00265DCB">
          <w:rPr>
            <w:rStyle w:val="PageNumber"/>
          </w:rPr>
          <w:fldChar w:fldCharType="end"/>
        </w:r>
      </w:p>
    </w:sdtContent>
  </w:sdt>
  <w:p w14:paraId="2F60D1C7" w14:textId="77777777" w:rsidR="000A495D" w:rsidRPr="00265DCB" w:rsidRDefault="000A49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84896211"/>
      <w:docPartObj>
        <w:docPartGallery w:val="Page Numbers (Bottom of Page)"/>
        <w:docPartUnique/>
      </w:docPartObj>
    </w:sdtPr>
    <w:sdtEndPr>
      <w:rPr>
        <w:rStyle w:val="PageNumber"/>
      </w:rPr>
    </w:sdtEndPr>
    <w:sdtContent>
      <w:p w14:paraId="72BCC0B8" w14:textId="7E6E6A71" w:rsidR="000A495D" w:rsidRPr="00265DCB" w:rsidRDefault="000A495D" w:rsidP="009C583F">
        <w:pPr>
          <w:pStyle w:val="Footer"/>
          <w:framePr w:wrap="none" w:vAnchor="text" w:hAnchor="margin" w:xAlign="center" w:y="1"/>
          <w:rPr>
            <w:rStyle w:val="PageNumber"/>
          </w:rPr>
        </w:pPr>
        <w:r w:rsidRPr="00265DCB">
          <w:rPr>
            <w:rStyle w:val="PageNumber"/>
          </w:rPr>
          <w:fldChar w:fldCharType="begin"/>
        </w:r>
        <w:r w:rsidRPr="00265DCB">
          <w:rPr>
            <w:rStyle w:val="PageNumber"/>
          </w:rPr>
          <w:instrText xml:space="preserve"> PAGE </w:instrText>
        </w:r>
        <w:r w:rsidRPr="00265DCB">
          <w:rPr>
            <w:rStyle w:val="PageNumber"/>
          </w:rPr>
          <w:fldChar w:fldCharType="separate"/>
        </w:r>
        <w:r w:rsidR="00B0768A">
          <w:rPr>
            <w:rStyle w:val="PageNumber"/>
            <w:noProof/>
          </w:rPr>
          <w:t>21</w:t>
        </w:r>
        <w:r w:rsidRPr="00265DCB">
          <w:rPr>
            <w:rStyle w:val="PageNumber"/>
          </w:rPr>
          <w:fldChar w:fldCharType="end"/>
        </w:r>
      </w:p>
    </w:sdtContent>
  </w:sdt>
  <w:p w14:paraId="50F8C57A" w14:textId="77777777" w:rsidR="000A495D" w:rsidRPr="00265DCB" w:rsidRDefault="000A4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5B584" w14:textId="77777777" w:rsidR="00D6458F" w:rsidRPr="00265DCB" w:rsidRDefault="00D6458F" w:rsidP="004D6C7C">
      <w:r w:rsidRPr="00265DCB">
        <w:separator/>
      </w:r>
    </w:p>
  </w:footnote>
  <w:footnote w:type="continuationSeparator" w:id="0">
    <w:p w14:paraId="2DFE7F5D" w14:textId="77777777" w:rsidR="00D6458F" w:rsidRPr="00265DCB" w:rsidRDefault="00D6458F" w:rsidP="004D6C7C">
      <w:r w:rsidRPr="00265DCB">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5D79"/>
    <w:multiLevelType w:val="hybridMultilevel"/>
    <w:tmpl w:val="70AA8432"/>
    <w:lvl w:ilvl="0" w:tplc="F8A43430">
      <w:start w:val="1"/>
      <w:numFmt w:val="bullet"/>
      <w:lvlText w:val="•"/>
      <w:lvlJc w:val="left"/>
      <w:pPr>
        <w:tabs>
          <w:tab w:val="num" w:pos="720"/>
        </w:tabs>
        <w:ind w:left="720" w:hanging="360"/>
      </w:pPr>
      <w:rPr>
        <w:rFonts w:ascii="Arial" w:hAnsi="Arial" w:hint="default"/>
      </w:rPr>
    </w:lvl>
    <w:lvl w:ilvl="1" w:tplc="828A58E4" w:tentative="1">
      <w:start w:val="1"/>
      <w:numFmt w:val="bullet"/>
      <w:lvlText w:val="•"/>
      <w:lvlJc w:val="left"/>
      <w:pPr>
        <w:tabs>
          <w:tab w:val="num" w:pos="1440"/>
        </w:tabs>
        <w:ind w:left="1440" w:hanging="360"/>
      </w:pPr>
      <w:rPr>
        <w:rFonts w:ascii="Arial" w:hAnsi="Arial" w:hint="default"/>
      </w:rPr>
    </w:lvl>
    <w:lvl w:ilvl="2" w:tplc="95401D00" w:tentative="1">
      <w:start w:val="1"/>
      <w:numFmt w:val="bullet"/>
      <w:lvlText w:val="•"/>
      <w:lvlJc w:val="left"/>
      <w:pPr>
        <w:tabs>
          <w:tab w:val="num" w:pos="2160"/>
        </w:tabs>
        <w:ind w:left="2160" w:hanging="360"/>
      </w:pPr>
      <w:rPr>
        <w:rFonts w:ascii="Arial" w:hAnsi="Arial" w:hint="default"/>
      </w:rPr>
    </w:lvl>
    <w:lvl w:ilvl="3" w:tplc="DE1084E8" w:tentative="1">
      <w:start w:val="1"/>
      <w:numFmt w:val="bullet"/>
      <w:lvlText w:val="•"/>
      <w:lvlJc w:val="left"/>
      <w:pPr>
        <w:tabs>
          <w:tab w:val="num" w:pos="2880"/>
        </w:tabs>
        <w:ind w:left="2880" w:hanging="360"/>
      </w:pPr>
      <w:rPr>
        <w:rFonts w:ascii="Arial" w:hAnsi="Arial" w:hint="default"/>
      </w:rPr>
    </w:lvl>
    <w:lvl w:ilvl="4" w:tplc="3A0C6AE0" w:tentative="1">
      <w:start w:val="1"/>
      <w:numFmt w:val="bullet"/>
      <w:lvlText w:val="•"/>
      <w:lvlJc w:val="left"/>
      <w:pPr>
        <w:tabs>
          <w:tab w:val="num" w:pos="3600"/>
        </w:tabs>
        <w:ind w:left="3600" w:hanging="360"/>
      </w:pPr>
      <w:rPr>
        <w:rFonts w:ascii="Arial" w:hAnsi="Arial" w:hint="default"/>
      </w:rPr>
    </w:lvl>
    <w:lvl w:ilvl="5" w:tplc="8ED872EC" w:tentative="1">
      <w:start w:val="1"/>
      <w:numFmt w:val="bullet"/>
      <w:lvlText w:val="•"/>
      <w:lvlJc w:val="left"/>
      <w:pPr>
        <w:tabs>
          <w:tab w:val="num" w:pos="4320"/>
        </w:tabs>
        <w:ind w:left="4320" w:hanging="360"/>
      </w:pPr>
      <w:rPr>
        <w:rFonts w:ascii="Arial" w:hAnsi="Arial" w:hint="default"/>
      </w:rPr>
    </w:lvl>
    <w:lvl w:ilvl="6" w:tplc="53F8DC28" w:tentative="1">
      <w:start w:val="1"/>
      <w:numFmt w:val="bullet"/>
      <w:lvlText w:val="•"/>
      <w:lvlJc w:val="left"/>
      <w:pPr>
        <w:tabs>
          <w:tab w:val="num" w:pos="5040"/>
        </w:tabs>
        <w:ind w:left="5040" w:hanging="360"/>
      </w:pPr>
      <w:rPr>
        <w:rFonts w:ascii="Arial" w:hAnsi="Arial" w:hint="default"/>
      </w:rPr>
    </w:lvl>
    <w:lvl w:ilvl="7" w:tplc="9B9E9416" w:tentative="1">
      <w:start w:val="1"/>
      <w:numFmt w:val="bullet"/>
      <w:lvlText w:val="•"/>
      <w:lvlJc w:val="left"/>
      <w:pPr>
        <w:tabs>
          <w:tab w:val="num" w:pos="5760"/>
        </w:tabs>
        <w:ind w:left="5760" w:hanging="360"/>
      </w:pPr>
      <w:rPr>
        <w:rFonts w:ascii="Arial" w:hAnsi="Arial" w:hint="default"/>
      </w:rPr>
    </w:lvl>
    <w:lvl w:ilvl="8" w:tplc="BCF8E8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774BA2"/>
    <w:multiLevelType w:val="hybridMultilevel"/>
    <w:tmpl w:val="72988DE2"/>
    <w:lvl w:ilvl="0" w:tplc="9298609C">
      <w:start w:val="1"/>
      <w:numFmt w:val="bullet"/>
      <w:lvlText w:val="•"/>
      <w:lvlJc w:val="left"/>
      <w:pPr>
        <w:tabs>
          <w:tab w:val="num" w:pos="720"/>
        </w:tabs>
        <w:ind w:left="720" w:hanging="360"/>
      </w:pPr>
      <w:rPr>
        <w:rFonts w:ascii="Arial" w:hAnsi="Arial" w:hint="default"/>
      </w:rPr>
    </w:lvl>
    <w:lvl w:ilvl="1" w:tplc="C860C75A" w:tentative="1">
      <w:start w:val="1"/>
      <w:numFmt w:val="bullet"/>
      <w:lvlText w:val="•"/>
      <w:lvlJc w:val="left"/>
      <w:pPr>
        <w:tabs>
          <w:tab w:val="num" w:pos="1440"/>
        </w:tabs>
        <w:ind w:left="1440" w:hanging="360"/>
      </w:pPr>
      <w:rPr>
        <w:rFonts w:ascii="Arial" w:hAnsi="Arial" w:hint="default"/>
      </w:rPr>
    </w:lvl>
    <w:lvl w:ilvl="2" w:tplc="4FCCB690" w:tentative="1">
      <w:start w:val="1"/>
      <w:numFmt w:val="bullet"/>
      <w:lvlText w:val="•"/>
      <w:lvlJc w:val="left"/>
      <w:pPr>
        <w:tabs>
          <w:tab w:val="num" w:pos="2160"/>
        </w:tabs>
        <w:ind w:left="2160" w:hanging="360"/>
      </w:pPr>
      <w:rPr>
        <w:rFonts w:ascii="Arial" w:hAnsi="Arial" w:hint="default"/>
      </w:rPr>
    </w:lvl>
    <w:lvl w:ilvl="3" w:tplc="5A04AB6E" w:tentative="1">
      <w:start w:val="1"/>
      <w:numFmt w:val="bullet"/>
      <w:lvlText w:val="•"/>
      <w:lvlJc w:val="left"/>
      <w:pPr>
        <w:tabs>
          <w:tab w:val="num" w:pos="2880"/>
        </w:tabs>
        <w:ind w:left="2880" w:hanging="360"/>
      </w:pPr>
      <w:rPr>
        <w:rFonts w:ascii="Arial" w:hAnsi="Arial" w:hint="default"/>
      </w:rPr>
    </w:lvl>
    <w:lvl w:ilvl="4" w:tplc="1BB40FAA" w:tentative="1">
      <w:start w:val="1"/>
      <w:numFmt w:val="bullet"/>
      <w:lvlText w:val="•"/>
      <w:lvlJc w:val="left"/>
      <w:pPr>
        <w:tabs>
          <w:tab w:val="num" w:pos="3600"/>
        </w:tabs>
        <w:ind w:left="3600" w:hanging="360"/>
      </w:pPr>
      <w:rPr>
        <w:rFonts w:ascii="Arial" w:hAnsi="Arial" w:hint="default"/>
      </w:rPr>
    </w:lvl>
    <w:lvl w:ilvl="5" w:tplc="618EFB1A" w:tentative="1">
      <w:start w:val="1"/>
      <w:numFmt w:val="bullet"/>
      <w:lvlText w:val="•"/>
      <w:lvlJc w:val="left"/>
      <w:pPr>
        <w:tabs>
          <w:tab w:val="num" w:pos="4320"/>
        </w:tabs>
        <w:ind w:left="4320" w:hanging="360"/>
      </w:pPr>
      <w:rPr>
        <w:rFonts w:ascii="Arial" w:hAnsi="Arial" w:hint="default"/>
      </w:rPr>
    </w:lvl>
    <w:lvl w:ilvl="6" w:tplc="C18EF8FC" w:tentative="1">
      <w:start w:val="1"/>
      <w:numFmt w:val="bullet"/>
      <w:lvlText w:val="•"/>
      <w:lvlJc w:val="left"/>
      <w:pPr>
        <w:tabs>
          <w:tab w:val="num" w:pos="5040"/>
        </w:tabs>
        <w:ind w:left="5040" w:hanging="360"/>
      </w:pPr>
      <w:rPr>
        <w:rFonts w:ascii="Arial" w:hAnsi="Arial" w:hint="default"/>
      </w:rPr>
    </w:lvl>
    <w:lvl w:ilvl="7" w:tplc="90A0B938" w:tentative="1">
      <w:start w:val="1"/>
      <w:numFmt w:val="bullet"/>
      <w:lvlText w:val="•"/>
      <w:lvlJc w:val="left"/>
      <w:pPr>
        <w:tabs>
          <w:tab w:val="num" w:pos="5760"/>
        </w:tabs>
        <w:ind w:left="5760" w:hanging="360"/>
      </w:pPr>
      <w:rPr>
        <w:rFonts w:ascii="Arial" w:hAnsi="Arial" w:hint="default"/>
      </w:rPr>
    </w:lvl>
    <w:lvl w:ilvl="8" w:tplc="242067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571C97"/>
    <w:multiLevelType w:val="hybridMultilevel"/>
    <w:tmpl w:val="E8ACC7D8"/>
    <w:lvl w:ilvl="0" w:tplc="4C5A85EE">
      <w:start w:val="1"/>
      <w:numFmt w:val="decimal"/>
      <w:lvlText w:val="%1."/>
      <w:lvlJc w:val="left"/>
      <w:pPr>
        <w:tabs>
          <w:tab w:val="num" w:pos="720"/>
        </w:tabs>
        <w:ind w:left="720" w:hanging="360"/>
      </w:pPr>
    </w:lvl>
    <w:lvl w:ilvl="1" w:tplc="8700B1A2" w:tentative="1">
      <w:start w:val="1"/>
      <w:numFmt w:val="decimal"/>
      <w:lvlText w:val="%2."/>
      <w:lvlJc w:val="left"/>
      <w:pPr>
        <w:tabs>
          <w:tab w:val="num" w:pos="1440"/>
        </w:tabs>
        <w:ind w:left="1440" w:hanging="360"/>
      </w:pPr>
    </w:lvl>
    <w:lvl w:ilvl="2" w:tplc="0AE68C48" w:tentative="1">
      <w:start w:val="1"/>
      <w:numFmt w:val="decimal"/>
      <w:lvlText w:val="%3."/>
      <w:lvlJc w:val="left"/>
      <w:pPr>
        <w:tabs>
          <w:tab w:val="num" w:pos="2160"/>
        </w:tabs>
        <w:ind w:left="2160" w:hanging="360"/>
      </w:pPr>
    </w:lvl>
    <w:lvl w:ilvl="3" w:tplc="2CCE46CE" w:tentative="1">
      <w:start w:val="1"/>
      <w:numFmt w:val="decimal"/>
      <w:lvlText w:val="%4."/>
      <w:lvlJc w:val="left"/>
      <w:pPr>
        <w:tabs>
          <w:tab w:val="num" w:pos="2880"/>
        </w:tabs>
        <w:ind w:left="2880" w:hanging="360"/>
      </w:pPr>
    </w:lvl>
    <w:lvl w:ilvl="4" w:tplc="DA56ADD8" w:tentative="1">
      <w:start w:val="1"/>
      <w:numFmt w:val="decimal"/>
      <w:lvlText w:val="%5."/>
      <w:lvlJc w:val="left"/>
      <w:pPr>
        <w:tabs>
          <w:tab w:val="num" w:pos="3600"/>
        </w:tabs>
        <w:ind w:left="3600" w:hanging="360"/>
      </w:pPr>
    </w:lvl>
    <w:lvl w:ilvl="5" w:tplc="C8A871F6" w:tentative="1">
      <w:start w:val="1"/>
      <w:numFmt w:val="decimal"/>
      <w:lvlText w:val="%6."/>
      <w:lvlJc w:val="left"/>
      <w:pPr>
        <w:tabs>
          <w:tab w:val="num" w:pos="4320"/>
        </w:tabs>
        <w:ind w:left="4320" w:hanging="360"/>
      </w:pPr>
    </w:lvl>
    <w:lvl w:ilvl="6" w:tplc="67105B42" w:tentative="1">
      <w:start w:val="1"/>
      <w:numFmt w:val="decimal"/>
      <w:lvlText w:val="%7."/>
      <w:lvlJc w:val="left"/>
      <w:pPr>
        <w:tabs>
          <w:tab w:val="num" w:pos="5040"/>
        </w:tabs>
        <w:ind w:left="5040" w:hanging="360"/>
      </w:pPr>
    </w:lvl>
    <w:lvl w:ilvl="7" w:tplc="459A8176" w:tentative="1">
      <w:start w:val="1"/>
      <w:numFmt w:val="decimal"/>
      <w:lvlText w:val="%8."/>
      <w:lvlJc w:val="left"/>
      <w:pPr>
        <w:tabs>
          <w:tab w:val="num" w:pos="5760"/>
        </w:tabs>
        <w:ind w:left="5760" w:hanging="360"/>
      </w:pPr>
    </w:lvl>
    <w:lvl w:ilvl="8" w:tplc="F30A8FA4" w:tentative="1">
      <w:start w:val="1"/>
      <w:numFmt w:val="decimal"/>
      <w:lvlText w:val="%9."/>
      <w:lvlJc w:val="left"/>
      <w:pPr>
        <w:tabs>
          <w:tab w:val="num" w:pos="6480"/>
        </w:tabs>
        <w:ind w:left="6480" w:hanging="360"/>
      </w:pPr>
    </w:lvl>
  </w:abstractNum>
  <w:abstractNum w:abstractNumId="3" w15:restartNumberingAfterBreak="0">
    <w:nsid w:val="156F6B4C"/>
    <w:multiLevelType w:val="hybridMultilevel"/>
    <w:tmpl w:val="60D89CC8"/>
    <w:lvl w:ilvl="0" w:tplc="3D26637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31EF8"/>
    <w:multiLevelType w:val="hybridMultilevel"/>
    <w:tmpl w:val="94BA4CB4"/>
    <w:lvl w:ilvl="0" w:tplc="2174E1E0">
      <w:start w:val="1"/>
      <w:numFmt w:val="bullet"/>
      <w:lvlText w:val="•"/>
      <w:lvlJc w:val="left"/>
      <w:pPr>
        <w:tabs>
          <w:tab w:val="num" w:pos="720"/>
        </w:tabs>
        <w:ind w:left="720" w:hanging="360"/>
      </w:pPr>
      <w:rPr>
        <w:rFonts w:ascii="Arial" w:hAnsi="Arial" w:hint="default"/>
      </w:rPr>
    </w:lvl>
    <w:lvl w:ilvl="1" w:tplc="0BAE8DFE" w:tentative="1">
      <w:start w:val="1"/>
      <w:numFmt w:val="bullet"/>
      <w:lvlText w:val="•"/>
      <w:lvlJc w:val="left"/>
      <w:pPr>
        <w:tabs>
          <w:tab w:val="num" w:pos="1440"/>
        </w:tabs>
        <w:ind w:left="1440" w:hanging="360"/>
      </w:pPr>
      <w:rPr>
        <w:rFonts w:ascii="Arial" w:hAnsi="Arial" w:hint="default"/>
      </w:rPr>
    </w:lvl>
    <w:lvl w:ilvl="2" w:tplc="B6A8F1AA" w:tentative="1">
      <w:start w:val="1"/>
      <w:numFmt w:val="bullet"/>
      <w:lvlText w:val="•"/>
      <w:lvlJc w:val="left"/>
      <w:pPr>
        <w:tabs>
          <w:tab w:val="num" w:pos="2160"/>
        </w:tabs>
        <w:ind w:left="2160" w:hanging="360"/>
      </w:pPr>
      <w:rPr>
        <w:rFonts w:ascii="Arial" w:hAnsi="Arial" w:hint="default"/>
      </w:rPr>
    </w:lvl>
    <w:lvl w:ilvl="3" w:tplc="C7FA5790" w:tentative="1">
      <w:start w:val="1"/>
      <w:numFmt w:val="bullet"/>
      <w:lvlText w:val="•"/>
      <w:lvlJc w:val="left"/>
      <w:pPr>
        <w:tabs>
          <w:tab w:val="num" w:pos="2880"/>
        </w:tabs>
        <w:ind w:left="2880" w:hanging="360"/>
      </w:pPr>
      <w:rPr>
        <w:rFonts w:ascii="Arial" w:hAnsi="Arial" w:hint="default"/>
      </w:rPr>
    </w:lvl>
    <w:lvl w:ilvl="4" w:tplc="C83E88E6" w:tentative="1">
      <w:start w:val="1"/>
      <w:numFmt w:val="bullet"/>
      <w:lvlText w:val="•"/>
      <w:lvlJc w:val="left"/>
      <w:pPr>
        <w:tabs>
          <w:tab w:val="num" w:pos="3600"/>
        </w:tabs>
        <w:ind w:left="3600" w:hanging="360"/>
      </w:pPr>
      <w:rPr>
        <w:rFonts w:ascii="Arial" w:hAnsi="Arial" w:hint="default"/>
      </w:rPr>
    </w:lvl>
    <w:lvl w:ilvl="5" w:tplc="4DC29A9A" w:tentative="1">
      <w:start w:val="1"/>
      <w:numFmt w:val="bullet"/>
      <w:lvlText w:val="•"/>
      <w:lvlJc w:val="left"/>
      <w:pPr>
        <w:tabs>
          <w:tab w:val="num" w:pos="4320"/>
        </w:tabs>
        <w:ind w:left="4320" w:hanging="360"/>
      </w:pPr>
      <w:rPr>
        <w:rFonts w:ascii="Arial" w:hAnsi="Arial" w:hint="default"/>
      </w:rPr>
    </w:lvl>
    <w:lvl w:ilvl="6" w:tplc="916A1078" w:tentative="1">
      <w:start w:val="1"/>
      <w:numFmt w:val="bullet"/>
      <w:lvlText w:val="•"/>
      <w:lvlJc w:val="left"/>
      <w:pPr>
        <w:tabs>
          <w:tab w:val="num" w:pos="5040"/>
        </w:tabs>
        <w:ind w:left="5040" w:hanging="360"/>
      </w:pPr>
      <w:rPr>
        <w:rFonts w:ascii="Arial" w:hAnsi="Arial" w:hint="default"/>
      </w:rPr>
    </w:lvl>
    <w:lvl w:ilvl="7" w:tplc="2FF419CE" w:tentative="1">
      <w:start w:val="1"/>
      <w:numFmt w:val="bullet"/>
      <w:lvlText w:val="•"/>
      <w:lvlJc w:val="left"/>
      <w:pPr>
        <w:tabs>
          <w:tab w:val="num" w:pos="5760"/>
        </w:tabs>
        <w:ind w:left="5760" w:hanging="360"/>
      </w:pPr>
      <w:rPr>
        <w:rFonts w:ascii="Arial" w:hAnsi="Arial" w:hint="default"/>
      </w:rPr>
    </w:lvl>
    <w:lvl w:ilvl="8" w:tplc="7128A9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B328A5"/>
    <w:multiLevelType w:val="hybridMultilevel"/>
    <w:tmpl w:val="0916D6F0"/>
    <w:lvl w:ilvl="0" w:tplc="42E01A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234BC"/>
    <w:multiLevelType w:val="hybridMultilevel"/>
    <w:tmpl w:val="BA8ADB6C"/>
    <w:lvl w:ilvl="0" w:tplc="49FA8F82">
      <w:start w:val="1"/>
      <w:numFmt w:val="bullet"/>
      <w:lvlText w:val="•"/>
      <w:lvlJc w:val="left"/>
      <w:pPr>
        <w:tabs>
          <w:tab w:val="num" w:pos="720"/>
        </w:tabs>
        <w:ind w:left="720" w:hanging="360"/>
      </w:pPr>
      <w:rPr>
        <w:rFonts w:ascii="Arial" w:hAnsi="Arial" w:hint="default"/>
      </w:rPr>
    </w:lvl>
    <w:lvl w:ilvl="1" w:tplc="E92608F0" w:tentative="1">
      <w:start w:val="1"/>
      <w:numFmt w:val="bullet"/>
      <w:lvlText w:val="•"/>
      <w:lvlJc w:val="left"/>
      <w:pPr>
        <w:tabs>
          <w:tab w:val="num" w:pos="1440"/>
        </w:tabs>
        <w:ind w:left="1440" w:hanging="360"/>
      </w:pPr>
      <w:rPr>
        <w:rFonts w:ascii="Arial" w:hAnsi="Arial" w:hint="default"/>
      </w:rPr>
    </w:lvl>
    <w:lvl w:ilvl="2" w:tplc="345AE47A" w:tentative="1">
      <w:start w:val="1"/>
      <w:numFmt w:val="bullet"/>
      <w:lvlText w:val="•"/>
      <w:lvlJc w:val="left"/>
      <w:pPr>
        <w:tabs>
          <w:tab w:val="num" w:pos="2160"/>
        </w:tabs>
        <w:ind w:left="2160" w:hanging="360"/>
      </w:pPr>
      <w:rPr>
        <w:rFonts w:ascii="Arial" w:hAnsi="Arial" w:hint="default"/>
      </w:rPr>
    </w:lvl>
    <w:lvl w:ilvl="3" w:tplc="DD1E4E46" w:tentative="1">
      <w:start w:val="1"/>
      <w:numFmt w:val="bullet"/>
      <w:lvlText w:val="•"/>
      <w:lvlJc w:val="left"/>
      <w:pPr>
        <w:tabs>
          <w:tab w:val="num" w:pos="2880"/>
        </w:tabs>
        <w:ind w:left="2880" w:hanging="360"/>
      </w:pPr>
      <w:rPr>
        <w:rFonts w:ascii="Arial" w:hAnsi="Arial" w:hint="default"/>
      </w:rPr>
    </w:lvl>
    <w:lvl w:ilvl="4" w:tplc="2D0225B8" w:tentative="1">
      <w:start w:val="1"/>
      <w:numFmt w:val="bullet"/>
      <w:lvlText w:val="•"/>
      <w:lvlJc w:val="left"/>
      <w:pPr>
        <w:tabs>
          <w:tab w:val="num" w:pos="3600"/>
        </w:tabs>
        <w:ind w:left="3600" w:hanging="360"/>
      </w:pPr>
      <w:rPr>
        <w:rFonts w:ascii="Arial" w:hAnsi="Arial" w:hint="default"/>
      </w:rPr>
    </w:lvl>
    <w:lvl w:ilvl="5" w:tplc="5CEA120A" w:tentative="1">
      <w:start w:val="1"/>
      <w:numFmt w:val="bullet"/>
      <w:lvlText w:val="•"/>
      <w:lvlJc w:val="left"/>
      <w:pPr>
        <w:tabs>
          <w:tab w:val="num" w:pos="4320"/>
        </w:tabs>
        <w:ind w:left="4320" w:hanging="360"/>
      </w:pPr>
      <w:rPr>
        <w:rFonts w:ascii="Arial" w:hAnsi="Arial" w:hint="default"/>
      </w:rPr>
    </w:lvl>
    <w:lvl w:ilvl="6" w:tplc="867CCBC8" w:tentative="1">
      <w:start w:val="1"/>
      <w:numFmt w:val="bullet"/>
      <w:lvlText w:val="•"/>
      <w:lvlJc w:val="left"/>
      <w:pPr>
        <w:tabs>
          <w:tab w:val="num" w:pos="5040"/>
        </w:tabs>
        <w:ind w:left="5040" w:hanging="360"/>
      </w:pPr>
      <w:rPr>
        <w:rFonts w:ascii="Arial" w:hAnsi="Arial" w:hint="default"/>
      </w:rPr>
    </w:lvl>
    <w:lvl w:ilvl="7" w:tplc="3210F3D8" w:tentative="1">
      <w:start w:val="1"/>
      <w:numFmt w:val="bullet"/>
      <w:lvlText w:val="•"/>
      <w:lvlJc w:val="left"/>
      <w:pPr>
        <w:tabs>
          <w:tab w:val="num" w:pos="5760"/>
        </w:tabs>
        <w:ind w:left="5760" w:hanging="360"/>
      </w:pPr>
      <w:rPr>
        <w:rFonts w:ascii="Arial" w:hAnsi="Arial" w:hint="default"/>
      </w:rPr>
    </w:lvl>
    <w:lvl w:ilvl="8" w:tplc="5E2E74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787E6B"/>
    <w:multiLevelType w:val="hybridMultilevel"/>
    <w:tmpl w:val="231E8804"/>
    <w:lvl w:ilvl="0" w:tplc="92509588">
      <w:start w:val="1"/>
      <w:numFmt w:val="bullet"/>
      <w:lvlText w:val="•"/>
      <w:lvlJc w:val="left"/>
      <w:pPr>
        <w:tabs>
          <w:tab w:val="num" w:pos="720"/>
        </w:tabs>
        <w:ind w:left="720" w:hanging="360"/>
      </w:pPr>
      <w:rPr>
        <w:rFonts w:ascii="Arial" w:hAnsi="Arial" w:hint="default"/>
      </w:rPr>
    </w:lvl>
    <w:lvl w:ilvl="1" w:tplc="21062EA8" w:tentative="1">
      <w:start w:val="1"/>
      <w:numFmt w:val="bullet"/>
      <w:lvlText w:val="•"/>
      <w:lvlJc w:val="left"/>
      <w:pPr>
        <w:tabs>
          <w:tab w:val="num" w:pos="1440"/>
        </w:tabs>
        <w:ind w:left="1440" w:hanging="360"/>
      </w:pPr>
      <w:rPr>
        <w:rFonts w:ascii="Arial" w:hAnsi="Arial" w:hint="default"/>
      </w:rPr>
    </w:lvl>
    <w:lvl w:ilvl="2" w:tplc="70B66B16" w:tentative="1">
      <w:start w:val="1"/>
      <w:numFmt w:val="bullet"/>
      <w:lvlText w:val="•"/>
      <w:lvlJc w:val="left"/>
      <w:pPr>
        <w:tabs>
          <w:tab w:val="num" w:pos="2160"/>
        </w:tabs>
        <w:ind w:left="2160" w:hanging="360"/>
      </w:pPr>
      <w:rPr>
        <w:rFonts w:ascii="Arial" w:hAnsi="Arial" w:hint="default"/>
      </w:rPr>
    </w:lvl>
    <w:lvl w:ilvl="3" w:tplc="A75E5320" w:tentative="1">
      <w:start w:val="1"/>
      <w:numFmt w:val="bullet"/>
      <w:lvlText w:val="•"/>
      <w:lvlJc w:val="left"/>
      <w:pPr>
        <w:tabs>
          <w:tab w:val="num" w:pos="2880"/>
        </w:tabs>
        <w:ind w:left="2880" w:hanging="360"/>
      </w:pPr>
      <w:rPr>
        <w:rFonts w:ascii="Arial" w:hAnsi="Arial" w:hint="default"/>
      </w:rPr>
    </w:lvl>
    <w:lvl w:ilvl="4" w:tplc="7C960AF4" w:tentative="1">
      <w:start w:val="1"/>
      <w:numFmt w:val="bullet"/>
      <w:lvlText w:val="•"/>
      <w:lvlJc w:val="left"/>
      <w:pPr>
        <w:tabs>
          <w:tab w:val="num" w:pos="3600"/>
        </w:tabs>
        <w:ind w:left="3600" w:hanging="360"/>
      </w:pPr>
      <w:rPr>
        <w:rFonts w:ascii="Arial" w:hAnsi="Arial" w:hint="default"/>
      </w:rPr>
    </w:lvl>
    <w:lvl w:ilvl="5" w:tplc="99F03722" w:tentative="1">
      <w:start w:val="1"/>
      <w:numFmt w:val="bullet"/>
      <w:lvlText w:val="•"/>
      <w:lvlJc w:val="left"/>
      <w:pPr>
        <w:tabs>
          <w:tab w:val="num" w:pos="4320"/>
        </w:tabs>
        <w:ind w:left="4320" w:hanging="360"/>
      </w:pPr>
      <w:rPr>
        <w:rFonts w:ascii="Arial" w:hAnsi="Arial" w:hint="default"/>
      </w:rPr>
    </w:lvl>
    <w:lvl w:ilvl="6" w:tplc="844831E6" w:tentative="1">
      <w:start w:val="1"/>
      <w:numFmt w:val="bullet"/>
      <w:lvlText w:val="•"/>
      <w:lvlJc w:val="left"/>
      <w:pPr>
        <w:tabs>
          <w:tab w:val="num" w:pos="5040"/>
        </w:tabs>
        <w:ind w:left="5040" w:hanging="360"/>
      </w:pPr>
      <w:rPr>
        <w:rFonts w:ascii="Arial" w:hAnsi="Arial" w:hint="default"/>
      </w:rPr>
    </w:lvl>
    <w:lvl w:ilvl="7" w:tplc="A92EB686" w:tentative="1">
      <w:start w:val="1"/>
      <w:numFmt w:val="bullet"/>
      <w:lvlText w:val="•"/>
      <w:lvlJc w:val="left"/>
      <w:pPr>
        <w:tabs>
          <w:tab w:val="num" w:pos="5760"/>
        </w:tabs>
        <w:ind w:left="5760" w:hanging="360"/>
      </w:pPr>
      <w:rPr>
        <w:rFonts w:ascii="Arial" w:hAnsi="Arial" w:hint="default"/>
      </w:rPr>
    </w:lvl>
    <w:lvl w:ilvl="8" w:tplc="B20A9E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3D643C4"/>
    <w:multiLevelType w:val="hybridMultilevel"/>
    <w:tmpl w:val="E90295AE"/>
    <w:lvl w:ilvl="0" w:tplc="D48CBB74">
      <w:start w:val="1"/>
      <w:numFmt w:val="bullet"/>
      <w:lvlText w:val="•"/>
      <w:lvlJc w:val="left"/>
      <w:pPr>
        <w:tabs>
          <w:tab w:val="num" w:pos="720"/>
        </w:tabs>
        <w:ind w:left="720" w:hanging="360"/>
      </w:pPr>
      <w:rPr>
        <w:rFonts w:ascii="Arial" w:hAnsi="Arial" w:hint="default"/>
      </w:rPr>
    </w:lvl>
    <w:lvl w:ilvl="1" w:tplc="C102FA44" w:tentative="1">
      <w:start w:val="1"/>
      <w:numFmt w:val="bullet"/>
      <w:lvlText w:val="•"/>
      <w:lvlJc w:val="left"/>
      <w:pPr>
        <w:tabs>
          <w:tab w:val="num" w:pos="1440"/>
        </w:tabs>
        <w:ind w:left="1440" w:hanging="360"/>
      </w:pPr>
      <w:rPr>
        <w:rFonts w:ascii="Arial" w:hAnsi="Arial" w:hint="default"/>
      </w:rPr>
    </w:lvl>
    <w:lvl w:ilvl="2" w:tplc="B12A3A6A" w:tentative="1">
      <w:start w:val="1"/>
      <w:numFmt w:val="bullet"/>
      <w:lvlText w:val="•"/>
      <w:lvlJc w:val="left"/>
      <w:pPr>
        <w:tabs>
          <w:tab w:val="num" w:pos="2160"/>
        </w:tabs>
        <w:ind w:left="2160" w:hanging="360"/>
      </w:pPr>
      <w:rPr>
        <w:rFonts w:ascii="Arial" w:hAnsi="Arial" w:hint="default"/>
      </w:rPr>
    </w:lvl>
    <w:lvl w:ilvl="3" w:tplc="3DAC8116" w:tentative="1">
      <w:start w:val="1"/>
      <w:numFmt w:val="bullet"/>
      <w:lvlText w:val="•"/>
      <w:lvlJc w:val="left"/>
      <w:pPr>
        <w:tabs>
          <w:tab w:val="num" w:pos="2880"/>
        </w:tabs>
        <w:ind w:left="2880" w:hanging="360"/>
      </w:pPr>
      <w:rPr>
        <w:rFonts w:ascii="Arial" w:hAnsi="Arial" w:hint="default"/>
      </w:rPr>
    </w:lvl>
    <w:lvl w:ilvl="4" w:tplc="ABE03560" w:tentative="1">
      <w:start w:val="1"/>
      <w:numFmt w:val="bullet"/>
      <w:lvlText w:val="•"/>
      <w:lvlJc w:val="left"/>
      <w:pPr>
        <w:tabs>
          <w:tab w:val="num" w:pos="3600"/>
        </w:tabs>
        <w:ind w:left="3600" w:hanging="360"/>
      </w:pPr>
      <w:rPr>
        <w:rFonts w:ascii="Arial" w:hAnsi="Arial" w:hint="default"/>
      </w:rPr>
    </w:lvl>
    <w:lvl w:ilvl="5" w:tplc="F732FF64" w:tentative="1">
      <w:start w:val="1"/>
      <w:numFmt w:val="bullet"/>
      <w:lvlText w:val="•"/>
      <w:lvlJc w:val="left"/>
      <w:pPr>
        <w:tabs>
          <w:tab w:val="num" w:pos="4320"/>
        </w:tabs>
        <w:ind w:left="4320" w:hanging="360"/>
      </w:pPr>
      <w:rPr>
        <w:rFonts w:ascii="Arial" w:hAnsi="Arial" w:hint="default"/>
      </w:rPr>
    </w:lvl>
    <w:lvl w:ilvl="6" w:tplc="4A48FB06" w:tentative="1">
      <w:start w:val="1"/>
      <w:numFmt w:val="bullet"/>
      <w:lvlText w:val="•"/>
      <w:lvlJc w:val="left"/>
      <w:pPr>
        <w:tabs>
          <w:tab w:val="num" w:pos="5040"/>
        </w:tabs>
        <w:ind w:left="5040" w:hanging="360"/>
      </w:pPr>
      <w:rPr>
        <w:rFonts w:ascii="Arial" w:hAnsi="Arial" w:hint="default"/>
      </w:rPr>
    </w:lvl>
    <w:lvl w:ilvl="7" w:tplc="B262FA34" w:tentative="1">
      <w:start w:val="1"/>
      <w:numFmt w:val="bullet"/>
      <w:lvlText w:val="•"/>
      <w:lvlJc w:val="left"/>
      <w:pPr>
        <w:tabs>
          <w:tab w:val="num" w:pos="5760"/>
        </w:tabs>
        <w:ind w:left="5760" w:hanging="360"/>
      </w:pPr>
      <w:rPr>
        <w:rFonts w:ascii="Arial" w:hAnsi="Arial" w:hint="default"/>
      </w:rPr>
    </w:lvl>
    <w:lvl w:ilvl="8" w:tplc="3D0C4E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E3E0FB1"/>
    <w:multiLevelType w:val="hybridMultilevel"/>
    <w:tmpl w:val="41441790"/>
    <w:lvl w:ilvl="0" w:tplc="73342D50">
      <w:start w:val="1"/>
      <w:numFmt w:val="bullet"/>
      <w:lvlText w:val="•"/>
      <w:lvlJc w:val="left"/>
      <w:pPr>
        <w:tabs>
          <w:tab w:val="num" w:pos="720"/>
        </w:tabs>
        <w:ind w:left="720" w:hanging="360"/>
      </w:pPr>
      <w:rPr>
        <w:rFonts w:ascii="Arial" w:hAnsi="Arial" w:hint="default"/>
      </w:rPr>
    </w:lvl>
    <w:lvl w:ilvl="1" w:tplc="C3A4FB52" w:tentative="1">
      <w:start w:val="1"/>
      <w:numFmt w:val="bullet"/>
      <w:lvlText w:val="•"/>
      <w:lvlJc w:val="left"/>
      <w:pPr>
        <w:tabs>
          <w:tab w:val="num" w:pos="1440"/>
        </w:tabs>
        <w:ind w:left="1440" w:hanging="360"/>
      </w:pPr>
      <w:rPr>
        <w:rFonts w:ascii="Arial" w:hAnsi="Arial" w:hint="default"/>
      </w:rPr>
    </w:lvl>
    <w:lvl w:ilvl="2" w:tplc="07941E70" w:tentative="1">
      <w:start w:val="1"/>
      <w:numFmt w:val="bullet"/>
      <w:lvlText w:val="•"/>
      <w:lvlJc w:val="left"/>
      <w:pPr>
        <w:tabs>
          <w:tab w:val="num" w:pos="2160"/>
        </w:tabs>
        <w:ind w:left="2160" w:hanging="360"/>
      </w:pPr>
      <w:rPr>
        <w:rFonts w:ascii="Arial" w:hAnsi="Arial" w:hint="default"/>
      </w:rPr>
    </w:lvl>
    <w:lvl w:ilvl="3" w:tplc="1826BC70" w:tentative="1">
      <w:start w:val="1"/>
      <w:numFmt w:val="bullet"/>
      <w:lvlText w:val="•"/>
      <w:lvlJc w:val="left"/>
      <w:pPr>
        <w:tabs>
          <w:tab w:val="num" w:pos="2880"/>
        </w:tabs>
        <w:ind w:left="2880" w:hanging="360"/>
      </w:pPr>
      <w:rPr>
        <w:rFonts w:ascii="Arial" w:hAnsi="Arial" w:hint="default"/>
      </w:rPr>
    </w:lvl>
    <w:lvl w:ilvl="4" w:tplc="B666F216" w:tentative="1">
      <w:start w:val="1"/>
      <w:numFmt w:val="bullet"/>
      <w:lvlText w:val="•"/>
      <w:lvlJc w:val="left"/>
      <w:pPr>
        <w:tabs>
          <w:tab w:val="num" w:pos="3600"/>
        </w:tabs>
        <w:ind w:left="3600" w:hanging="360"/>
      </w:pPr>
      <w:rPr>
        <w:rFonts w:ascii="Arial" w:hAnsi="Arial" w:hint="default"/>
      </w:rPr>
    </w:lvl>
    <w:lvl w:ilvl="5" w:tplc="EFDEB592" w:tentative="1">
      <w:start w:val="1"/>
      <w:numFmt w:val="bullet"/>
      <w:lvlText w:val="•"/>
      <w:lvlJc w:val="left"/>
      <w:pPr>
        <w:tabs>
          <w:tab w:val="num" w:pos="4320"/>
        </w:tabs>
        <w:ind w:left="4320" w:hanging="360"/>
      </w:pPr>
      <w:rPr>
        <w:rFonts w:ascii="Arial" w:hAnsi="Arial" w:hint="default"/>
      </w:rPr>
    </w:lvl>
    <w:lvl w:ilvl="6" w:tplc="4E463F88" w:tentative="1">
      <w:start w:val="1"/>
      <w:numFmt w:val="bullet"/>
      <w:lvlText w:val="•"/>
      <w:lvlJc w:val="left"/>
      <w:pPr>
        <w:tabs>
          <w:tab w:val="num" w:pos="5040"/>
        </w:tabs>
        <w:ind w:left="5040" w:hanging="360"/>
      </w:pPr>
      <w:rPr>
        <w:rFonts w:ascii="Arial" w:hAnsi="Arial" w:hint="default"/>
      </w:rPr>
    </w:lvl>
    <w:lvl w:ilvl="7" w:tplc="AA4A6216" w:tentative="1">
      <w:start w:val="1"/>
      <w:numFmt w:val="bullet"/>
      <w:lvlText w:val="•"/>
      <w:lvlJc w:val="left"/>
      <w:pPr>
        <w:tabs>
          <w:tab w:val="num" w:pos="5760"/>
        </w:tabs>
        <w:ind w:left="5760" w:hanging="360"/>
      </w:pPr>
      <w:rPr>
        <w:rFonts w:ascii="Arial" w:hAnsi="Arial" w:hint="default"/>
      </w:rPr>
    </w:lvl>
    <w:lvl w:ilvl="8" w:tplc="8048E5A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F920EA9"/>
    <w:multiLevelType w:val="hybridMultilevel"/>
    <w:tmpl w:val="2B140D9E"/>
    <w:lvl w:ilvl="0" w:tplc="CC045138">
      <w:start w:val="1"/>
      <w:numFmt w:val="bullet"/>
      <w:lvlText w:val="•"/>
      <w:lvlJc w:val="left"/>
      <w:pPr>
        <w:tabs>
          <w:tab w:val="num" w:pos="720"/>
        </w:tabs>
        <w:ind w:left="720" w:hanging="360"/>
      </w:pPr>
      <w:rPr>
        <w:rFonts w:ascii="Arial" w:hAnsi="Arial" w:hint="default"/>
      </w:rPr>
    </w:lvl>
    <w:lvl w:ilvl="1" w:tplc="46882764" w:tentative="1">
      <w:start w:val="1"/>
      <w:numFmt w:val="bullet"/>
      <w:lvlText w:val="•"/>
      <w:lvlJc w:val="left"/>
      <w:pPr>
        <w:tabs>
          <w:tab w:val="num" w:pos="1440"/>
        </w:tabs>
        <w:ind w:left="1440" w:hanging="360"/>
      </w:pPr>
      <w:rPr>
        <w:rFonts w:ascii="Arial" w:hAnsi="Arial" w:hint="default"/>
      </w:rPr>
    </w:lvl>
    <w:lvl w:ilvl="2" w:tplc="6BE24188" w:tentative="1">
      <w:start w:val="1"/>
      <w:numFmt w:val="bullet"/>
      <w:lvlText w:val="•"/>
      <w:lvlJc w:val="left"/>
      <w:pPr>
        <w:tabs>
          <w:tab w:val="num" w:pos="2160"/>
        </w:tabs>
        <w:ind w:left="2160" w:hanging="360"/>
      </w:pPr>
      <w:rPr>
        <w:rFonts w:ascii="Arial" w:hAnsi="Arial" w:hint="default"/>
      </w:rPr>
    </w:lvl>
    <w:lvl w:ilvl="3" w:tplc="486A63F8" w:tentative="1">
      <w:start w:val="1"/>
      <w:numFmt w:val="bullet"/>
      <w:lvlText w:val="•"/>
      <w:lvlJc w:val="left"/>
      <w:pPr>
        <w:tabs>
          <w:tab w:val="num" w:pos="2880"/>
        </w:tabs>
        <w:ind w:left="2880" w:hanging="360"/>
      </w:pPr>
      <w:rPr>
        <w:rFonts w:ascii="Arial" w:hAnsi="Arial" w:hint="default"/>
      </w:rPr>
    </w:lvl>
    <w:lvl w:ilvl="4" w:tplc="B5A64B1C" w:tentative="1">
      <w:start w:val="1"/>
      <w:numFmt w:val="bullet"/>
      <w:lvlText w:val="•"/>
      <w:lvlJc w:val="left"/>
      <w:pPr>
        <w:tabs>
          <w:tab w:val="num" w:pos="3600"/>
        </w:tabs>
        <w:ind w:left="3600" w:hanging="360"/>
      </w:pPr>
      <w:rPr>
        <w:rFonts w:ascii="Arial" w:hAnsi="Arial" w:hint="default"/>
      </w:rPr>
    </w:lvl>
    <w:lvl w:ilvl="5" w:tplc="DF041EC0" w:tentative="1">
      <w:start w:val="1"/>
      <w:numFmt w:val="bullet"/>
      <w:lvlText w:val="•"/>
      <w:lvlJc w:val="left"/>
      <w:pPr>
        <w:tabs>
          <w:tab w:val="num" w:pos="4320"/>
        </w:tabs>
        <w:ind w:left="4320" w:hanging="360"/>
      </w:pPr>
      <w:rPr>
        <w:rFonts w:ascii="Arial" w:hAnsi="Arial" w:hint="default"/>
      </w:rPr>
    </w:lvl>
    <w:lvl w:ilvl="6" w:tplc="156C1554" w:tentative="1">
      <w:start w:val="1"/>
      <w:numFmt w:val="bullet"/>
      <w:lvlText w:val="•"/>
      <w:lvlJc w:val="left"/>
      <w:pPr>
        <w:tabs>
          <w:tab w:val="num" w:pos="5040"/>
        </w:tabs>
        <w:ind w:left="5040" w:hanging="360"/>
      </w:pPr>
      <w:rPr>
        <w:rFonts w:ascii="Arial" w:hAnsi="Arial" w:hint="default"/>
      </w:rPr>
    </w:lvl>
    <w:lvl w:ilvl="7" w:tplc="927ABFEE" w:tentative="1">
      <w:start w:val="1"/>
      <w:numFmt w:val="bullet"/>
      <w:lvlText w:val="•"/>
      <w:lvlJc w:val="left"/>
      <w:pPr>
        <w:tabs>
          <w:tab w:val="num" w:pos="5760"/>
        </w:tabs>
        <w:ind w:left="5760" w:hanging="360"/>
      </w:pPr>
      <w:rPr>
        <w:rFonts w:ascii="Arial" w:hAnsi="Arial" w:hint="default"/>
      </w:rPr>
    </w:lvl>
    <w:lvl w:ilvl="8" w:tplc="AC860E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0A546FE"/>
    <w:multiLevelType w:val="hybridMultilevel"/>
    <w:tmpl w:val="8CB8FEB4"/>
    <w:lvl w:ilvl="0" w:tplc="C9647BBA">
      <w:start w:val="1"/>
      <w:numFmt w:val="bullet"/>
      <w:lvlText w:val="•"/>
      <w:lvlJc w:val="left"/>
      <w:pPr>
        <w:tabs>
          <w:tab w:val="num" w:pos="720"/>
        </w:tabs>
        <w:ind w:left="720" w:hanging="360"/>
      </w:pPr>
      <w:rPr>
        <w:rFonts w:ascii="Arial" w:hAnsi="Arial" w:hint="default"/>
      </w:rPr>
    </w:lvl>
    <w:lvl w:ilvl="1" w:tplc="06E25342" w:tentative="1">
      <w:start w:val="1"/>
      <w:numFmt w:val="bullet"/>
      <w:lvlText w:val="•"/>
      <w:lvlJc w:val="left"/>
      <w:pPr>
        <w:tabs>
          <w:tab w:val="num" w:pos="1440"/>
        </w:tabs>
        <w:ind w:left="1440" w:hanging="360"/>
      </w:pPr>
      <w:rPr>
        <w:rFonts w:ascii="Arial" w:hAnsi="Arial" w:hint="default"/>
      </w:rPr>
    </w:lvl>
    <w:lvl w:ilvl="2" w:tplc="7DFA5A96" w:tentative="1">
      <w:start w:val="1"/>
      <w:numFmt w:val="bullet"/>
      <w:lvlText w:val="•"/>
      <w:lvlJc w:val="left"/>
      <w:pPr>
        <w:tabs>
          <w:tab w:val="num" w:pos="2160"/>
        </w:tabs>
        <w:ind w:left="2160" w:hanging="360"/>
      </w:pPr>
      <w:rPr>
        <w:rFonts w:ascii="Arial" w:hAnsi="Arial" w:hint="default"/>
      </w:rPr>
    </w:lvl>
    <w:lvl w:ilvl="3" w:tplc="B3E27BF6" w:tentative="1">
      <w:start w:val="1"/>
      <w:numFmt w:val="bullet"/>
      <w:lvlText w:val="•"/>
      <w:lvlJc w:val="left"/>
      <w:pPr>
        <w:tabs>
          <w:tab w:val="num" w:pos="2880"/>
        </w:tabs>
        <w:ind w:left="2880" w:hanging="360"/>
      </w:pPr>
      <w:rPr>
        <w:rFonts w:ascii="Arial" w:hAnsi="Arial" w:hint="default"/>
      </w:rPr>
    </w:lvl>
    <w:lvl w:ilvl="4" w:tplc="287EE24A" w:tentative="1">
      <w:start w:val="1"/>
      <w:numFmt w:val="bullet"/>
      <w:lvlText w:val="•"/>
      <w:lvlJc w:val="left"/>
      <w:pPr>
        <w:tabs>
          <w:tab w:val="num" w:pos="3600"/>
        </w:tabs>
        <w:ind w:left="3600" w:hanging="360"/>
      </w:pPr>
      <w:rPr>
        <w:rFonts w:ascii="Arial" w:hAnsi="Arial" w:hint="default"/>
      </w:rPr>
    </w:lvl>
    <w:lvl w:ilvl="5" w:tplc="B178CB7C" w:tentative="1">
      <w:start w:val="1"/>
      <w:numFmt w:val="bullet"/>
      <w:lvlText w:val="•"/>
      <w:lvlJc w:val="left"/>
      <w:pPr>
        <w:tabs>
          <w:tab w:val="num" w:pos="4320"/>
        </w:tabs>
        <w:ind w:left="4320" w:hanging="360"/>
      </w:pPr>
      <w:rPr>
        <w:rFonts w:ascii="Arial" w:hAnsi="Arial" w:hint="default"/>
      </w:rPr>
    </w:lvl>
    <w:lvl w:ilvl="6" w:tplc="06820640" w:tentative="1">
      <w:start w:val="1"/>
      <w:numFmt w:val="bullet"/>
      <w:lvlText w:val="•"/>
      <w:lvlJc w:val="left"/>
      <w:pPr>
        <w:tabs>
          <w:tab w:val="num" w:pos="5040"/>
        </w:tabs>
        <w:ind w:left="5040" w:hanging="360"/>
      </w:pPr>
      <w:rPr>
        <w:rFonts w:ascii="Arial" w:hAnsi="Arial" w:hint="default"/>
      </w:rPr>
    </w:lvl>
    <w:lvl w:ilvl="7" w:tplc="1F52CE04" w:tentative="1">
      <w:start w:val="1"/>
      <w:numFmt w:val="bullet"/>
      <w:lvlText w:val="•"/>
      <w:lvlJc w:val="left"/>
      <w:pPr>
        <w:tabs>
          <w:tab w:val="num" w:pos="5760"/>
        </w:tabs>
        <w:ind w:left="5760" w:hanging="360"/>
      </w:pPr>
      <w:rPr>
        <w:rFonts w:ascii="Arial" w:hAnsi="Arial" w:hint="default"/>
      </w:rPr>
    </w:lvl>
    <w:lvl w:ilvl="8" w:tplc="E65E630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6CE09D1"/>
    <w:multiLevelType w:val="hybridMultilevel"/>
    <w:tmpl w:val="78CA4154"/>
    <w:lvl w:ilvl="0" w:tplc="42E01A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num>
  <w:num w:numId="4">
    <w:abstractNumId w:val="11"/>
  </w:num>
  <w:num w:numId="5">
    <w:abstractNumId w:val="8"/>
  </w:num>
  <w:num w:numId="6">
    <w:abstractNumId w:val="4"/>
  </w:num>
  <w:num w:numId="7">
    <w:abstractNumId w:val="0"/>
  </w:num>
  <w:num w:numId="8">
    <w:abstractNumId w:val="6"/>
  </w:num>
  <w:num w:numId="9">
    <w:abstractNumId w:val="7"/>
  </w:num>
  <w:num w:numId="10">
    <w:abstractNumId w:val="1"/>
  </w:num>
  <w:num w:numId="11">
    <w:abstractNumId w:val="9"/>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I3NTMzM7e0sLC0tDBX0lEKTi0uzszPAykwNK4FAOHoZPYtAAAA"/>
  </w:docVars>
  <w:rsids>
    <w:rsidRoot w:val="0072151C"/>
    <w:rsid w:val="00001224"/>
    <w:rsid w:val="00006970"/>
    <w:rsid w:val="000108BB"/>
    <w:rsid w:val="000109C7"/>
    <w:rsid w:val="00011D55"/>
    <w:rsid w:val="000174B5"/>
    <w:rsid w:val="00033536"/>
    <w:rsid w:val="000339F9"/>
    <w:rsid w:val="00035E95"/>
    <w:rsid w:val="0004234C"/>
    <w:rsid w:val="00052AF9"/>
    <w:rsid w:val="000565E2"/>
    <w:rsid w:val="00060DF3"/>
    <w:rsid w:val="00065A4F"/>
    <w:rsid w:val="000665BB"/>
    <w:rsid w:val="000755CD"/>
    <w:rsid w:val="0008334A"/>
    <w:rsid w:val="0008373C"/>
    <w:rsid w:val="00092333"/>
    <w:rsid w:val="0009449F"/>
    <w:rsid w:val="0009531E"/>
    <w:rsid w:val="00095A1A"/>
    <w:rsid w:val="000968FF"/>
    <w:rsid w:val="000A0821"/>
    <w:rsid w:val="000A495D"/>
    <w:rsid w:val="000B4211"/>
    <w:rsid w:val="000B4413"/>
    <w:rsid w:val="000C21AA"/>
    <w:rsid w:val="000C313C"/>
    <w:rsid w:val="000C41DE"/>
    <w:rsid w:val="000C5B67"/>
    <w:rsid w:val="000C6DA5"/>
    <w:rsid w:val="000C7B89"/>
    <w:rsid w:val="000D616A"/>
    <w:rsid w:val="000E039D"/>
    <w:rsid w:val="000E046D"/>
    <w:rsid w:val="000E1581"/>
    <w:rsid w:val="000F6C8D"/>
    <w:rsid w:val="000F745D"/>
    <w:rsid w:val="00100A62"/>
    <w:rsid w:val="00102051"/>
    <w:rsid w:val="001021F5"/>
    <w:rsid w:val="001103F6"/>
    <w:rsid w:val="00110DAD"/>
    <w:rsid w:val="001173A2"/>
    <w:rsid w:val="00117886"/>
    <w:rsid w:val="00122114"/>
    <w:rsid w:val="00123835"/>
    <w:rsid w:val="00123AD4"/>
    <w:rsid w:val="00132DD9"/>
    <w:rsid w:val="00135DF7"/>
    <w:rsid w:val="00142FC9"/>
    <w:rsid w:val="00144636"/>
    <w:rsid w:val="001455AB"/>
    <w:rsid w:val="001462A9"/>
    <w:rsid w:val="00157A7C"/>
    <w:rsid w:val="001621AD"/>
    <w:rsid w:val="0016264D"/>
    <w:rsid w:val="001627CA"/>
    <w:rsid w:val="00164169"/>
    <w:rsid w:val="00165B92"/>
    <w:rsid w:val="00173EFE"/>
    <w:rsid w:val="00176598"/>
    <w:rsid w:val="00184A4E"/>
    <w:rsid w:val="00190BE2"/>
    <w:rsid w:val="001A0D03"/>
    <w:rsid w:val="001A1B5B"/>
    <w:rsid w:val="001B3AF2"/>
    <w:rsid w:val="001B4523"/>
    <w:rsid w:val="001B4658"/>
    <w:rsid w:val="001C1DD8"/>
    <w:rsid w:val="001D1C0A"/>
    <w:rsid w:val="001D2608"/>
    <w:rsid w:val="001D6276"/>
    <w:rsid w:val="001E3E66"/>
    <w:rsid w:val="001F1819"/>
    <w:rsid w:val="001F5585"/>
    <w:rsid w:val="001F7091"/>
    <w:rsid w:val="00213245"/>
    <w:rsid w:val="00214CD9"/>
    <w:rsid w:val="00216017"/>
    <w:rsid w:val="0022041B"/>
    <w:rsid w:val="002212A6"/>
    <w:rsid w:val="00224989"/>
    <w:rsid w:val="00224ACD"/>
    <w:rsid w:val="002252F0"/>
    <w:rsid w:val="00226CDE"/>
    <w:rsid w:val="00227FA7"/>
    <w:rsid w:val="002303C0"/>
    <w:rsid w:val="00234483"/>
    <w:rsid w:val="002401D0"/>
    <w:rsid w:val="00245F4A"/>
    <w:rsid w:val="0025442C"/>
    <w:rsid w:val="00260660"/>
    <w:rsid w:val="00262277"/>
    <w:rsid w:val="002629D1"/>
    <w:rsid w:val="00264280"/>
    <w:rsid w:val="00265DCB"/>
    <w:rsid w:val="00267322"/>
    <w:rsid w:val="00267607"/>
    <w:rsid w:val="00271355"/>
    <w:rsid w:val="00272281"/>
    <w:rsid w:val="002758C3"/>
    <w:rsid w:val="002843FE"/>
    <w:rsid w:val="002951BC"/>
    <w:rsid w:val="00296F03"/>
    <w:rsid w:val="002A198B"/>
    <w:rsid w:val="002A38BB"/>
    <w:rsid w:val="002A5AB6"/>
    <w:rsid w:val="002B0BFE"/>
    <w:rsid w:val="002B56C7"/>
    <w:rsid w:val="002C422A"/>
    <w:rsid w:val="002D0C4B"/>
    <w:rsid w:val="002D2EF1"/>
    <w:rsid w:val="002D3B4B"/>
    <w:rsid w:val="002D4DAE"/>
    <w:rsid w:val="002D60E3"/>
    <w:rsid w:val="002E015E"/>
    <w:rsid w:val="002E2787"/>
    <w:rsid w:val="002E3562"/>
    <w:rsid w:val="002E7245"/>
    <w:rsid w:val="002F0502"/>
    <w:rsid w:val="002F2A9D"/>
    <w:rsid w:val="002F60D8"/>
    <w:rsid w:val="002F6116"/>
    <w:rsid w:val="00305E73"/>
    <w:rsid w:val="003063AA"/>
    <w:rsid w:val="00310C01"/>
    <w:rsid w:val="00311A38"/>
    <w:rsid w:val="003121B5"/>
    <w:rsid w:val="00316A54"/>
    <w:rsid w:val="0032134E"/>
    <w:rsid w:val="00322DBD"/>
    <w:rsid w:val="00323FBE"/>
    <w:rsid w:val="00324AE5"/>
    <w:rsid w:val="00324F68"/>
    <w:rsid w:val="003369D6"/>
    <w:rsid w:val="00337DC6"/>
    <w:rsid w:val="00340F1A"/>
    <w:rsid w:val="0034661B"/>
    <w:rsid w:val="00346DFF"/>
    <w:rsid w:val="00352A7D"/>
    <w:rsid w:val="0035555F"/>
    <w:rsid w:val="00356C33"/>
    <w:rsid w:val="00365017"/>
    <w:rsid w:val="0036637E"/>
    <w:rsid w:val="00366E0A"/>
    <w:rsid w:val="00374E27"/>
    <w:rsid w:val="003760E2"/>
    <w:rsid w:val="003826EA"/>
    <w:rsid w:val="00384C71"/>
    <w:rsid w:val="00384C72"/>
    <w:rsid w:val="00386F3B"/>
    <w:rsid w:val="00387FAE"/>
    <w:rsid w:val="003901B1"/>
    <w:rsid w:val="003909E3"/>
    <w:rsid w:val="003924B2"/>
    <w:rsid w:val="00395244"/>
    <w:rsid w:val="00396479"/>
    <w:rsid w:val="003971C0"/>
    <w:rsid w:val="003A2B32"/>
    <w:rsid w:val="003A2DE7"/>
    <w:rsid w:val="003A7455"/>
    <w:rsid w:val="003A7EF5"/>
    <w:rsid w:val="003B309D"/>
    <w:rsid w:val="003B687B"/>
    <w:rsid w:val="003C1B24"/>
    <w:rsid w:val="003C5964"/>
    <w:rsid w:val="003C6AAF"/>
    <w:rsid w:val="003C7EB1"/>
    <w:rsid w:val="003D0782"/>
    <w:rsid w:val="003D3AC6"/>
    <w:rsid w:val="003D5CAC"/>
    <w:rsid w:val="003D760B"/>
    <w:rsid w:val="003E08E2"/>
    <w:rsid w:val="003E0B75"/>
    <w:rsid w:val="003E4C79"/>
    <w:rsid w:val="003F046E"/>
    <w:rsid w:val="003F0FC6"/>
    <w:rsid w:val="003F1582"/>
    <w:rsid w:val="003F1E5F"/>
    <w:rsid w:val="003F230A"/>
    <w:rsid w:val="003F472F"/>
    <w:rsid w:val="003F4ED5"/>
    <w:rsid w:val="00402F07"/>
    <w:rsid w:val="00403ACE"/>
    <w:rsid w:val="0040516B"/>
    <w:rsid w:val="00405EDA"/>
    <w:rsid w:val="00406BDE"/>
    <w:rsid w:val="004070B6"/>
    <w:rsid w:val="004114FD"/>
    <w:rsid w:val="0041242A"/>
    <w:rsid w:val="004143DB"/>
    <w:rsid w:val="0042485F"/>
    <w:rsid w:val="00427907"/>
    <w:rsid w:val="00430884"/>
    <w:rsid w:val="0043144A"/>
    <w:rsid w:val="00431C01"/>
    <w:rsid w:val="00440AFC"/>
    <w:rsid w:val="00442524"/>
    <w:rsid w:val="00442727"/>
    <w:rsid w:val="00454633"/>
    <w:rsid w:val="00454FC2"/>
    <w:rsid w:val="0045642D"/>
    <w:rsid w:val="004605F2"/>
    <w:rsid w:val="004660A4"/>
    <w:rsid w:val="004707B4"/>
    <w:rsid w:val="004709E4"/>
    <w:rsid w:val="004725ED"/>
    <w:rsid w:val="00476F49"/>
    <w:rsid w:val="0047753C"/>
    <w:rsid w:val="00497728"/>
    <w:rsid w:val="004A4994"/>
    <w:rsid w:val="004A6D56"/>
    <w:rsid w:val="004A7C75"/>
    <w:rsid w:val="004B24AE"/>
    <w:rsid w:val="004B27E0"/>
    <w:rsid w:val="004B3BAD"/>
    <w:rsid w:val="004B48ED"/>
    <w:rsid w:val="004B7783"/>
    <w:rsid w:val="004C76A6"/>
    <w:rsid w:val="004D091F"/>
    <w:rsid w:val="004D206B"/>
    <w:rsid w:val="004D4750"/>
    <w:rsid w:val="004D6C7C"/>
    <w:rsid w:val="004E1A79"/>
    <w:rsid w:val="004E251A"/>
    <w:rsid w:val="004F02B4"/>
    <w:rsid w:val="004F06EF"/>
    <w:rsid w:val="004F1EFE"/>
    <w:rsid w:val="004F294B"/>
    <w:rsid w:val="004F4297"/>
    <w:rsid w:val="004F4D07"/>
    <w:rsid w:val="004F7212"/>
    <w:rsid w:val="0050231A"/>
    <w:rsid w:val="00503622"/>
    <w:rsid w:val="00503D63"/>
    <w:rsid w:val="00504712"/>
    <w:rsid w:val="00516C28"/>
    <w:rsid w:val="00521D4D"/>
    <w:rsid w:val="00524F97"/>
    <w:rsid w:val="005251E5"/>
    <w:rsid w:val="005258AA"/>
    <w:rsid w:val="00525BA3"/>
    <w:rsid w:val="00534246"/>
    <w:rsid w:val="00536FC6"/>
    <w:rsid w:val="0054005E"/>
    <w:rsid w:val="005451C7"/>
    <w:rsid w:val="00550F8E"/>
    <w:rsid w:val="005554CC"/>
    <w:rsid w:val="00556B4F"/>
    <w:rsid w:val="00560707"/>
    <w:rsid w:val="00560F2C"/>
    <w:rsid w:val="005612BC"/>
    <w:rsid w:val="00572A78"/>
    <w:rsid w:val="00582E17"/>
    <w:rsid w:val="005845BA"/>
    <w:rsid w:val="00586C6A"/>
    <w:rsid w:val="005902DC"/>
    <w:rsid w:val="00594B4E"/>
    <w:rsid w:val="005974C0"/>
    <w:rsid w:val="005A1254"/>
    <w:rsid w:val="005A473E"/>
    <w:rsid w:val="005A49FE"/>
    <w:rsid w:val="005A52A0"/>
    <w:rsid w:val="005A6938"/>
    <w:rsid w:val="005D3DEA"/>
    <w:rsid w:val="005D495A"/>
    <w:rsid w:val="005D54A6"/>
    <w:rsid w:val="005E0756"/>
    <w:rsid w:val="005E0FD4"/>
    <w:rsid w:val="005E5033"/>
    <w:rsid w:val="005E6E87"/>
    <w:rsid w:val="005E7323"/>
    <w:rsid w:val="005F2BA0"/>
    <w:rsid w:val="006031FC"/>
    <w:rsid w:val="0061529E"/>
    <w:rsid w:val="00624C53"/>
    <w:rsid w:val="0062599A"/>
    <w:rsid w:val="0062766E"/>
    <w:rsid w:val="00643A53"/>
    <w:rsid w:val="00644486"/>
    <w:rsid w:val="00650D2D"/>
    <w:rsid w:val="00654334"/>
    <w:rsid w:val="006632B2"/>
    <w:rsid w:val="00680BA1"/>
    <w:rsid w:val="00690DAB"/>
    <w:rsid w:val="00692BFD"/>
    <w:rsid w:val="00692D41"/>
    <w:rsid w:val="00695571"/>
    <w:rsid w:val="00696A3D"/>
    <w:rsid w:val="006A289A"/>
    <w:rsid w:val="006A41D7"/>
    <w:rsid w:val="006A4837"/>
    <w:rsid w:val="006A7B92"/>
    <w:rsid w:val="006B0DD2"/>
    <w:rsid w:val="006B5F04"/>
    <w:rsid w:val="006D4CF3"/>
    <w:rsid w:val="006E00C1"/>
    <w:rsid w:val="006E19EA"/>
    <w:rsid w:val="006E3FB3"/>
    <w:rsid w:val="006F27EA"/>
    <w:rsid w:val="006F29EE"/>
    <w:rsid w:val="00700E83"/>
    <w:rsid w:val="007136B9"/>
    <w:rsid w:val="00714260"/>
    <w:rsid w:val="00715CDC"/>
    <w:rsid w:val="007175CC"/>
    <w:rsid w:val="0072151C"/>
    <w:rsid w:val="0072795E"/>
    <w:rsid w:val="00730617"/>
    <w:rsid w:val="00731F0E"/>
    <w:rsid w:val="0073379E"/>
    <w:rsid w:val="007363C3"/>
    <w:rsid w:val="0073725D"/>
    <w:rsid w:val="00747493"/>
    <w:rsid w:val="00751876"/>
    <w:rsid w:val="00753996"/>
    <w:rsid w:val="0075569C"/>
    <w:rsid w:val="00760CE0"/>
    <w:rsid w:val="007617D7"/>
    <w:rsid w:val="00763AC3"/>
    <w:rsid w:val="00764602"/>
    <w:rsid w:val="00770C31"/>
    <w:rsid w:val="00774093"/>
    <w:rsid w:val="0077425F"/>
    <w:rsid w:val="007764F0"/>
    <w:rsid w:val="00781BD2"/>
    <w:rsid w:val="00783FF6"/>
    <w:rsid w:val="00785CD8"/>
    <w:rsid w:val="00791984"/>
    <w:rsid w:val="00793B95"/>
    <w:rsid w:val="007A30B2"/>
    <w:rsid w:val="007B0829"/>
    <w:rsid w:val="007B0F33"/>
    <w:rsid w:val="007B1CF0"/>
    <w:rsid w:val="007B6D03"/>
    <w:rsid w:val="007C16DF"/>
    <w:rsid w:val="007C22D6"/>
    <w:rsid w:val="007C41A2"/>
    <w:rsid w:val="007C7606"/>
    <w:rsid w:val="007C764C"/>
    <w:rsid w:val="007D2680"/>
    <w:rsid w:val="007D30A6"/>
    <w:rsid w:val="007D491C"/>
    <w:rsid w:val="007D579F"/>
    <w:rsid w:val="007E08E1"/>
    <w:rsid w:val="007E1078"/>
    <w:rsid w:val="007E3B95"/>
    <w:rsid w:val="007E4815"/>
    <w:rsid w:val="007E5302"/>
    <w:rsid w:val="008072A8"/>
    <w:rsid w:val="008073D7"/>
    <w:rsid w:val="008078AD"/>
    <w:rsid w:val="008210F2"/>
    <w:rsid w:val="008227DD"/>
    <w:rsid w:val="0082281D"/>
    <w:rsid w:val="00824B9A"/>
    <w:rsid w:val="0082679B"/>
    <w:rsid w:val="00832272"/>
    <w:rsid w:val="00834643"/>
    <w:rsid w:val="00840BC2"/>
    <w:rsid w:val="00840CD2"/>
    <w:rsid w:val="00844247"/>
    <w:rsid w:val="00844C4F"/>
    <w:rsid w:val="00852166"/>
    <w:rsid w:val="0088649D"/>
    <w:rsid w:val="00893A3C"/>
    <w:rsid w:val="008979B1"/>
    <w:rsid w:val="008A3F1A"/>
    <w:rsid w:val="008B1726"/>
    <w:rsid w:val="008B1971"/>
    <w:rsid w:val="008B1980"/>
    <w:rsid w:val="008B1B10"/>
    <w:rsid w:val="008B4357"/>
    <w:rsid w:val="008B4740"/>
    <w:rsid w:val="008B4D37"/>
    <w:rsid w:val="008B6637"/>
    <w:rsid w:val="008B6F64"/>
    <w:rsid w:val="008C2365"/>
    <w:rsid w:val="008C294A"/>
    <w:rsid w:val="008C5A70"/>
    <w:rsid w:val="008C7D26"/>
    <w:rsid w:val="008D11CB"/>
    <w:rsid w:val="008D5954"/>
    <w:rsid w:val="008E23D7"/>
    <w:rsid w:val="008E335A"/>
    <w:rsid w:val="008E385D"/>
    <w:rsid w:val="008E3F7F"/>
    <w:rsid w:val="008F696F"/>
    <w:rsid w:val="009026D6"/>
    <w:rsid w:val="00905251"/>
    <w:rsid w:val="00906426"/>
    <w:rsid w:val="00907AFE"/>
    <w:rsid w:val="009115B5"/>
    <w:rsid w:val="00911EC3"/>
    <w:rsid w:val="009174E3"/>
    <w:rsid w:val="00917ABA"/>
    <w:rsid w:val="00922C24"/>
    <w:rsid w:val="00923707"/>
    <w:rsid w:val="00924F9C"/>
    <w:rsid w:val="00925811"/>
    <w:rsid w:val="00926C2E"/>
    <w:rsid w:val="00930D91"/>
    <w:rsid w:val="0093142C"/>
    <w:rsid w:val="0093230E"/>
    <w:rsid w:val="009352C7"/>
    <w:rsid w:val="0093663D"/>
    <w:rsid w:val="009622F4"/>
    <w:rsid w:val="00964111"/>
    <w:rsid w:val="00976ADE"/>
    <w:rsid w:val="0097726E"/>
    <w:rsid w:val="00990A1F"/>
    <w:rsid w:val="00990FAC"/>
    <w:rsid w:val="009934E8"/>
    <w:rsid w:val="0099450F"/>
    <w:rsid w:val="00995612"/>
    <w:rsid w:val="009A2C49"/>
    <w:rsid w:val="009A5532"/>
    <w:rsid w:val="009A718A"/>
    <w:rsid w:val="009B0C4A"/>
    <w:rsid w:val="009B5FF0"/>
    <w:rsid w:val="009B661A"/>
    <w:rsid w:val="009C03BC"/>
    <w:rsid w:val="009D3D70"/>
    <w:rsid w:val="009D510B"/>
    <w:rsid w:val="009E0FA8"/>
    <w:rsid w:val="009E3A24"/>
    <w:rsid w:val="009E46B7"/>
    <w:rsid w:val="009E5144"/>
    <w:rsid w:val="009E7F6B"/>
    <w:rsid w:val="009F4C34"/>
    <w:rsid w:val="009F682B"/>
    <w:rsid w:val="00A00789"/>
    <w:rsid w:val="00A03C5A"/>
    <w:rsid w:val="00A0482E"/>
    <w:rsid w:val="00A07B13"/>
    <w:rsid w:val="00A1039E"/>
    <w:rsid w:val="00A137AF"/>
    <w:rsid w:val="00A16CF3"/>
    <w:rsid w:val="00A22396"/>
    <w:rsid w:val="00A240FD"/>
    <w:rsid w:val="00A2548F"/>
    <w:rsid w:val="00A25A65"/>
    <w:rsid w:val="00A26A88"/>
    <w:rsid w:val="00A27623"/>
    <w:rsid w:val="00A3128E"/>
    <w:rsid w:val="00A32775"/>
    <w:rsid w:val="00A3599E"/>
    <w:rsid w:val="00A36DAA"/>
    <w:rsid w:val="00A41459"/>
    <w:rsid w:val="00A451AA"/>
    <w:rsid w:val="00A511CA"/>
    <w:rsid w:val="00A52F30"/>
    <w:rsid w:val="00A6543D"/>
    <w:rsid w:val="00A70CE7"/>
    <w:rsid w:val="00A76246"/>
    <w:rsid w:val="00A90885"/>
    <w:rsid w:val="00A934E6"/>
    <w:rsid w:val="00A93DBC"/>
    <w:rsid w:val="00AA018E"/>
    <w:rsid w:val="00AA0CAE"/>
    <w:rsid w:val="00AA2446"/>
    <w:rsid w:val="00AA3A11"/>
    <w:rsid w:val="00AA75B4"/>
    <w:rsid w:val="00AA76E9"/>
    <w:rsid w:val="00AB01A1"/>
    <w:rsid w:val="00AB0E32"/>
    <w:rsid w:val="00AB3559"/>
    <w:rsid w:val="00AB4A31"/>
    <w:rsid w:val="00AC098A"/>
    <w:rsid w:val="00AC2208"/>
    <w:rsid w:val="00AC4854"/>
    <w:rsid w:val="00AC7DCE"/>
    <w:rsid w:val="00AD0BD8"/>
    <w:rsid w:val="00AD335C"/>
    <w:rsid w:val="00AD665F"/>
    <w:rsid w:val="00AD7932"/>
    <w:rsid w:val="00AE175E"/>
    <w:rsid w:val="00AF271E"/>
    <w:rsid w:val="00AF5E2D"/>
    <w:rsid w:val="00AF624F"/>
    <w:rsid w:val="00B06A72"/>
    <w:rsid w:val="00B0768A"/>
    <w:rsid w:val="00B07D0C"/>
    <w:rsid w:val="00B1498F"/>
    <w:rsid w:val="00B2053D"/>
    <w:rsid w:val="00B23A4D"/>
    <w:rsid w:val="00B23E8E"/>
    <w:rsid w:val="00B25C6A"/>
    <w:rsid w:val="00B27A35"/>
    <w:rsid w:val="00B27E50"/>
    <w:rsid w:val="00B27E69"/>
    <w:rsid w:val="00B40E84"/>
    <w:rsid w:val="00B44BBE"/>
    <w:rsid w:val="00B44C43"/>
    <w:rsid w:val="00B457B1"/>
    <w:rsid w:val="00B52297"/>
    <w:rsid w:val="00B52826"/>
    <w:rsid w:val="00B542CD"/>
    <w:rsid w:val="00B63AB5"/>
    <w:rsid w:val="00B66445"/>
    <w:rsid w:val="00B676E3"/>
    <w:rsid w:val="00B701CD"/>
    <w:rsid w:val="00B70532"/>
    <w:rsid w:val="00B760BD"/>
    <w:rsid w:val="00B86EDD"/>
    <w:rsid w:val="00B9556D"/>
    <w:rsid w:val="00B95F47"/>
    <w:rsid w:val="00BA1A3B"/>
    <w:rsid w:val="00BA1D0F"/>
    <w:rsid w:val="00BB7FDF"/>
    <w:rsid w:val="00BC0ECF"/>
    <w:rsid w:val="00BC1F09"/>
    <w:rsid w:val="00BC237B"/>
    <w:rsid w:val="00BD000B"/>
    <w:rsid w:val="00BD013E"/>
    <w:rsid w:val="00BD4746"/>
    <w:rsid w:val="00BD4DCA"/>
    <w:rsid w:val="00BD535D"/>
    <w:rsid w:val="00BD6541"/>
    <w:rsid w:val="00BD6F6F"/>
    <w:rsid w:val="00BE1781"/>
    <w:rsid w:val="00BE2510"/>
    <w:rsid w:val="00BE3248"/>
    <w:rsid w:val="00BE7179"/>
    <w:rsid w:val="00BF030D"/>
    <w:rsid w:val="00BF298C"/>
    <w:rsid w:val="00BF42A2"/>
    <w:rsid w:val="00C02E74"/>
    <w:rsid w:val="00C04BD5"/>
    <w:rsid w:val="00C0722F"/>
    <w:rsid w:val="00C10E8E"/>
    <w:rsid w:val="00C222AA"/>
    <w:rsid w:val="00C23510"/>
    <w:rsid w:val="00C244E8"/>
    <w:rsid w:val="00C27829"/>
    <w:rsid w:val="00C3057C"/>
    <w:rsid w:val="00C3144C"/>
    <w:rsid w:val="00C32DEA"/>
    <w:rsid w:val="00C33BF9"/>
    <w:rsid w:val="00C37330"/>
    <w:rsid w:val="00C37F47"/>
    <w:rsid w:val="00C43240"/>
    <w:rsid w:val="00C545E2"/>
    <w:rsid w:val="00C568AB"/>
    <w:rsid w:val="00C57A65"/>
    <w:rsid w:val="00C63222"/>
    <w:rsid w:val="00C638C2"/>
    <w:rsid w:val="00C63971"/>
    <w:rsid w:val="00C73E3A"/>
    <w:rsid w:val="00C769CA"/>
    <w:rsid w:val="00C7758C"/>
    <w:rsid w:val="00C8102F"/>
    <w:rsid w:val="00C813BD"/>
    <w:rsid w:val="00C854E6"/>
    <w:rsid w:val="00C85F38"/>
    <w:rsid w:val="00C90740"/>
    <w:rsid w:val="00CA07C7"/>
    <w:rsid w:val="00CA0DB7"/>
    <w:rsid w:val="00CA19AC"/>
    <w:rsid w:val="00CA4286"/>
    <w:rsid w:val="00CB01E1"/>
    <w:rsid w:val="00CC3898"/>
    <w:rsid w:val="00CD2964"/>
    <w:rsid w:val="00CD7159"/>
    <w:rsid w:val="00CE43D1"/>
    <w:rsid w:val="00CE5C67"/>
    <w:rsid w:val="00CF533E"/>
    <w:rsid w:val="00CF564D"/>
    <w:rsid w:val="00D01D18"/>
    <w:rsid w:val="00D02639"/>
    <w:rsid w:val="00D02BCD"/>
    <w:rsid w:val="00D101C7"/>
    <w:rsid w:val="00D1192B"/>
    <w:rsid w:val="00D13299"/>
    <w:rsid w:val="00D133B0"/>
    <w:rsid w:val="00D227AB"/>
    <w:rsid w:val="00D25072"/>
    <w:rsid w:val="00D27BF0"/>
    <w:rsid w:val="00D438D0"/>
    <w:rsid w:val="00D43D55"/>
    <w:rsid w:val="00D512CC"/>
    <w:rsid w:val="00D54B03"/>
    <w:rsid w:val="00D5753A"/>
    <w:rsid w:val="00D60DCA"/>
    <w:rsid w:val="00D6458F"/>
    <w:rsid w:val="00D67F0B"/>
    <w:rsid w:val="00D720A3"/>
    <w:rsid w:val="00D721CE"/>
    <w:rsid w:val="00D813F1"/>
    <w:rsid w:val="00D83326"/>
    <w:rsid w:val="00D857BF"/>
    <w:rsid w:val="00D85C22"/>
    <w:rsid w:val="00D8722C"/>
    <w:rsid w:val="00D92E5C"/>
    <w:rsid w:val="00D94745"/>
    <w:rsid w:val="00D9781F"/>
    <w:rsid w:val="00DA0203"/>
    <w:rsid w:val="00DB46CE"/>
    <w:rsid w:val="00DB7821"/>
    <w:rsid w:val="00DC1432"/>
    <w:rsid w:val="00DC5AFB"/>
    <w:rsid w:val="00DD336C"/>
    <w:rsid w:val="00DD60D2"/>
    <w:rsid w:val="00DE2918"/>
    <w:rsid w:val="00DE29F1"/>
    <w:rsid w:val="00DE4AA1"/>
    <w:rsid w:val="00DE5286"/>
    <w:rsid w:val="00DF6D42"/>
    <w:rsid w:val="00E01949"/>
    <w:rsid w:val="00E1518B"/>
    <w:rsid w:val="00E26071"/>
    <w:rsid w:val="00E26A87"/>
    <w:rsid w:val="00E300EB"/>
    <w:rsid w:val="00E36328"/>
    <w:rsid w:val="00E40BED"/>
    <w:rsid w:val="00E410F9"/>
    <w:rsid w:val="00E42F2F"/>
    <w:rsid w:val="00E44601"/>
    <w:rsid w:val="00E44A42"/>
    <w:rsid w:val="00E470AD"/>
    <w:rsid w:val="00E50B5D"/>
    <w:rsid w:val="00E6769C"/>
    <w:rsid w:val="00E73D58"/>
    <w:rsid w:val="00E831F1"/>
    <w:rsid w:val="00E843BB"/>
    <w:rsid w:val="00E93F2F"/>
    <w:rsid w:val="00E94D9D"/>
    <w:rsid w:val="00E9791F"/>
    <w:rsid w:val="00EA4783"/>
    <w:rsid w:val="00EA7AAC"/>
    <w:rsid w:val="00EB24F3"/>
    <w:rsid w:val="00EB490A"/>
    <w:rsid w:val="00EB786A"/>
    <w:rsid w:val="00EC3572"/>
    <w:rsid w:val="00EC7346"/>
    <w:rsid w:val="00ED043F"/>
    <w:rsid w:val="00ED0869"/>
    <w:rsid w:val="00ED2D2B"/>
    <w:rsid w:val="00ED33C5"/>
    <w:rsid w:val="00ED3EDF"/>
    <w:rsid w:val="00ED4132"/>
    <w:rsid w:val="00ED427A"/>
    <w:rsid w:val="00EE0573"/>
    <w:rsid w:val="00EE476E"/>
    <w:rsid w:val="00EE5EE4"/>
    <w:rsid w:val="00EF0A7E"/>
    <w:rsid w:val="00EF5EDF"/>
    <w:rsid w:val="00EF6392"/>
    <w:rsid w:val="00F003CD"/>
    <w:rsid w:val="00F00DFA"/>
    <w:rsid w:val="00F03573"/>
    <w:rsid w:val="00F03655"/>
    <w:rsid w:val="00F037A4"/>
    <w:rsid w:val="00F042F2"/>
    <w:rsid w:val="00F0437B"/>
    <w:rsid w:val="00F137F9"/>
    <w:rsid w:val="00F16A32"/>
    <w:rsid w:val="00F202AC"/>
    <w:rsid w:val="00F2670D"/>
    <w:rsid w:val="00F270AD"/>
    <w:rsid w:val="00F306FB"/>
    <w:rsid w:val="00F32718"/>
    <w:rsid w:val="00F4114F"/>
    <w:rsid w:val="00F441F3"/>
    <w:rsid w:val="00F44A45"/>
    <w:rsid w:val="00F44C47"/>
    <w:rsid w:val="00F47F75"/>
    <w:rsid w:val="00F57B3C"/>
    <w:rsid w:val="00F639BB"/>
    <w:rsid w:val="00F644B1"/>
    <w:rsid w:val="00F71E95"/>
    <w:rsid w:val="00F72AFA"/>
    <w:rsid w:val="00F74B2C"/>
    <w:rsid w:val="00F77766"/>
    <w:rsid w:val="00F82C4D"/>
    <w:rsid w:val="00F830B9"/>
    <w:rsid w:val="00F83955"/>
    <w:rsid w:val="00F841EC"/>
    <w:rsid w:val="00F85494"/>
    <w:rsid w:val="00F86418"/>
    <w:rsid w:val="00F928A6"/>
    <w:rsid w:val="00F92978"/>
    <w:rsid w:val="00F93E03"/>
    <w:rsid w:val="00F961D1"/>
    <w:rsid w:val="00FB1BDD"/>
    <w:rsid w:val="00FB6652"/>
    <w:rsid w:val="00FC06D2"/>
    <w:rsid w:val="00FC0EBE"/>
    <w:rsid w:val="00FC3119"/>
    <w:rsid w:val="00FC4F45"/>
    <w:rsid w:val="00FC600A"/>
    <w:rsid w:val="00FD2769"/>
    <w:rsid w:val="00FD56CD"/>
    <w:rsid w:val="00FE0547"/>
    <w:rsid w:val="00FE2687"/>
    <w:rsid w:val="00FE5ABB"/>
    <w:rsid w:val="00FF4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8361"/>
  <w15:chartTrackingRefBased/>
  <w15:docId w15:val="{4823C427-77CE-442B-A418-576666BF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D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51C"/>
    <w:rPr>
      <w:color w:val="0000FF" w:themeColor="hyperlink"/>
      <w:u w:val="single"/>
    </w:rPr>
  </w:style>
  <w:style w:type="table" w:styleId="TableGrid">
    <w:name w:val="Table Grid"/>
    <w:basedOn w:val="TableNormal"/>
    <w:uiPriority w:val="59"/>
    <w:rsid w:val="007C4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44E8"/>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4D6C7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D6C7C"/>
  </w:style>
  <w:style w:type="paragraph" w:styleId="Footer">
    <w:name w:val="footer"/>
    <w:basedOn w:val="Normal"/>
    <w:link w:val="FooterChar"/>
    <w:uiPriority w:val="99"/>
    <w:unhideWhenUsed/>
    <w:rsid w:val="004D6C7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D6C7C"/>
  </w:style>
  <w:style w:type="character" w:customStyle="1" w:styleId="UnresolvedMention">
    <w:name w:val="Unresolved Mention"/>
    <w:basedOn w:val="DefaultParagraphFont"/>
    <w:uiPriority w:val="99"/>
    <w:semiHidden/>
    <w:unhideWhenUsed/>
    <w:rsid w:val="00346DFF"/>
    <w:rPr>
      <w:color w:val="605E5C"/>
      <w:shd w:val="clear" w:color="auto" w:fill="E1DFDD"/>
    </w:rPr>
  </w:style>
  <w:style w:type="character" w:customStyle="1" w:styleId="plainlinks">
    <w:name w:val="plainlinks"/>
    <w:basedOn w:val="DefaultParagraphFont"/>
    <w:rsid w:val="000E1581"/>
  </w:style>
  <w:style w:type="character" w:customStyle="1" w:styleId="geo-dms">
    <w:name w:val="geo-dms"/>
    <w:basedOn w:val="DefaultParagraphFont"/>
    <w:rsid w:val="000E1581"/>
  </w:style>
  <w:style w:type="character" w:customStyle="1" w:styleId="latitude">
    <w:name w:val="latitude"/>
    <w:basedOn w:val="DefaultParagraphFont"/>
    <w:rsid w:val="000E1581"/>
  </w:style>
  <w:style w:type="character" w:customStyle="1" w:styleId="longitude">
    <w:name w:val="longitude"/>
    <w:basedOn w:val="DefaultParagraphFont"/>
    <w:rsid w:val="000E1581"/>
  </w:style>
  <w:style w:type="character" w:customStyle="1" w:styleId="cite-bracket">
    <w:name w:val="cite-bracket"/>
    <w:basedOn w:val="DefaultParagraphFont"/>
    <w:rsid w:val="000E1581"/>
  </w:style>
  <w:style w:type="paragraph" w:customStyle="1" w:styleId="Default">
    <w:name w:val="Default"/>
    <w:rsid w:val="00B86EDD"/>
    <w:pPr>
      <w:autoSpaceDE w:val="0"/>
      <w:autoSpaceDN w:val="0"/>
      <w:adjustRightInd w:val="0"/>
      <w:spacing w:after="0" w:line="240" w:lineRule="auto"/>
    </w:pPr>
    <w:rPr>
      <w:rFonts w:ascii="Tahoma" w:hAnsi="Tahoma" w:cs="Tahoma"/>
      <w:color w:val="000000"/>
      <w:sz w:val="24"/>
      <w:szCs w:val="24"/>
    </w:rPr>
  </w:style>
  <w:style w:type="character" w:styleId="PageNumber">
    <w:name w:val="page number"/>
    <w:basedOn w:val="DefaultParagraphFont"/>
    <w:uiPriority w:val="99"/>
    <w:semiHidden/>
    <w:unhideWhenUsed/>
    <w:rsid w:val="000A495D"/>
  </w:style>
  <w:style w:type="paragraph" w:styleId="NormalWeb">
    <w:name w:val="Normal (Web)"/>
    <w:basedOn w:val="Normal"/>
    <w:uiPriority w:val="99"/>
    <w:unhideWhenUsed/>
    <w:rsid w:val="00C33BF9"/>
    <w:pPr>
      <w:spacing w:before="100" w:beforeAutospacing="1" w:after="100" w:afterAutospacing="1"/>
    </w:pPr>
  </w:style>
  <w:style w:type="character" w:customStyle="1" w:styleId="ff5">
    <w:name w:val="ff5"/>
    <w:basedOn w:val="DefaultParagraphFont"/>
    <w:rsid w:val="00CA0DB7"/>
  </w:style>
  <w:style w:type="character" w:customStyle="1" w:styleId="lsa0">
    <w:name w:val="lsa0"/>
    <w:basedOn w:val="DefaultParagraphFont"/>
    <w:rsid w:val="00CA0DB7"/>
  </w:style>
  <w:style w:type="character" w:customStyle="1" w:styleId="lsa">
    <w:name w:val="lsa"/>
    <w:basedOn w:val="DefaultParagraphFont"/>
    <w:rsid w:val="00CA0DB7"/>
  </w:style>
  <w:style w:type="character" w:customStyle="1" w:styleId="ff4">
    <w:name w:val="ff4"/>
    <w:basedOn w:val="DefaultParagraphFont"/>
    <w:rsid w:val="00CA0DB7"/>
  </w:style>
  <w:style w:type="character" w:styleId="LineNumber">
    <w:name w:val="line number"/>
    <w:basedOn w:val="DefaultParagraphFont"/>
    <w:uiPriority w:val="99"/>
    <w:semiHidden/>
    <w:unhideWhenUsed/>
    <w:rsid w:val="0049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071">
      <w:bodyDiv w:val="1"/>
      <w:marLeft w:val="0"/>
      <w:marRight w:val="0"/>
      <w:marTop w:val="0"/>
      <w:marBottom w:val="0"/>
      <w:divBdr>
        <w:top w:val="none" w:sz="0" w:space="0" w:color="auto"/>
        <w:left w:val="none" w:sz="0" w:space="0" w:color="auto"/>
        <w:bottom w:val="none" w:sz="0" w:space="0" w:color="auto"/>
        <w:right w:val="none" w:sz="0" w:space="0" w:color="auto"/>
      </w:divBdr>
    </w:div>
    <w:div w:id="122042688">
      <w:bodyDiv w:val="1"/>
      <w:marLeft w:val="0"/>
      <w:marRight w:val="0"/>
      <w:marTop w:val="0"/>
      <w:marBottom w:val="0"/>
      <w:divBdr>
        <w:top w:val="none" w:sz="0" w:space="0" w:color="auto"/>
        <w:left w:val="none" w:sz="0" w:space="0" w:color="auto"/>
        <w:bottom w:val="none" w:sz="0" w:space="0" w:color="auto"/>
        <w:right w:val="none" w:sz="0" w:space="0" w:color="auto"/>
      </w:divBdr>
      <w:divsChild>
        <w:div w:id="1184511306">
          <w:marLeft w:val="0"/>
          <w:marRight w:val="0"/>
          <w:marTop w:val="0"/>
          <w:marBottom w:val="0"/>
          <w:divBdr>
            <w:top w:val="none" w:sz="0" w:space="0" w:color="auto"/>
            <w:left w:val="none" w:sz="0" w:space="0" w:color="auto"/>
            <w:bottom w:val="none" w:sz="0" w:space="0" w:color="auto"/>
            <w:right w:val="none" w:sz="0" w:space="0" w:color="auto"/>
          </w:divBdr>
        </w:div>
        <w:div w:id="1773165562">
          <w:marLeft w:val="0"/>
          <w:marRight w:val="0"/>
          <w:marTop w:val="0"/>
          <w:marBottom w:val="0"/>
          <w:divBdr>
            <w:top w:val="none" w:sz="0" w:space="0" w:color="auto"/>
            <w:left w:val="none" w:sz="0" w:space="0" w:color="auto"/>
            <w:bottom w:val="none" w:sz="0" w:space="0" w:color="auto"/>
            <w:right w:val="none" w:sz="0" w:space="0" w:color="auto"/>
          </w:divBdr>
        </w:div>
        <w:div w:id="853808132">
          <w:marLeft w:val="0"/>
          <w:marRight w:val="0"/>
          <w:marTop w:val="0"/>
          <w:marBottom w:val="0"/>
          <w:divBdr>
            <w:top w:val="none" w:sz="0" w:space="0" w:color="auto"/>
            <w:left w:val="none" w:sz="0" w:space="0" w:color="auto"/>
            <w:bottom w:val="none" w:sz="0" w:space="0" w:color="auto"/>
            <w:right w:val="none" w:sz="0" w:space="0" w:color="auto"/>
          </w:divBdr>
        </w:div>
        <w:div w:id="1922331622">
          <w:marLeft w:val="0"/>
          <w:marRight w:val="0"/>
          <w:marTop w:val="0"/>
          <w:marBottom w:val="0"/>
          <w:divBdr>
            <w:top w:val="none" w:sz="0" w:space="0" w:color="auto"/>
            <w:left w:val="none" w:sz="0" w:space="0" w:color="auto"/>
            <w:bottom w:val="none" w:sz="0" w:space="0" w:color="auto"/>
            <w:right w:val="none" w:sz="0" w:space="0" w:color="auto"/>
          </w:divBdr>
        </w:div>
        <w:div w:id="1918128873">
          <w:marLeft w:val="0"/>
          <w:marRight w:val="0"/>
          <w:marTop w:val="0"/>
          <w:marBottom w:val="0"/>
          <w:divBdr>
            <w:top w:val="none" w:sz="0" w:space="0" w:color="auto"/>
            <w:left w:val="none" w:sz="0" w:space="0" w:color="auto"/>
            <w:bottom w:val="none" w:sz="0" w:space="0" w:color="auto"/>
            <w:right w:val="none" w:sz="0" w:space="0" w:color="auto"/>
          </w:divBdr>
        </w:div>
        <w:div w:id="1690182188">
          <w:marLeft w:val="0"/>
          <w:marRight w:val="0"/>
          <w:marTop w:val="0"/>
          <w:marBottom w:val="0"/>
          <w:divBdr>
            <w:top w:val="none" w:sz="0" w:space="0" w:color="auto"/>
            <w:left w:val="none" w:sz="0" w:space="0" w:color="auto"/>
            <w:bottom w:val="none" w:sz="0" w:space="0" w:color="auto"/>
            <w:right w:val="none" w:sz="0" w:space="0" w:color="auto"/>
          </w:divBdr>
        </w:div>
        <w:div w:id="2099863929">
          <w:marLeft w:val="0"/>
          <w:marRight w:val="0"/>
          <w:marTop w:val="0"/>
          <w:marBottom w:val="0"/>
          <w:divBdr>
            <w:top w:val="none" w:sz="0" w:space="0" w:color="auto"/>
            <w:left w:val="none" w:sz="0" w:space="0" w:color="auto"/>
            <w:bottom w:val="none" w:sz="0" w:space="0" w:color="auto"/>
            <w:right w:val="none" w:sz="0" w:space="0" w:color="auto"/>
          </w:divBdr>
        </w:div>
        <w:div w:id="230622605">
          <w:marLeft w:val="0"/>
          <w:marRight w:val="0"/>
          <w:marTop w:val="0"/>
          <w:marBottom w:val="0"/>
          <w:divBdr>
            <w:top w:val="none" w:sz="0" w:space="0" w:color="auto"/>
            <w:left w:val="none" w:sz="0" w:space="0" w:color="auto"/>
            <w:bottom w:val="none" w:sz="0" w:space="0" w:color="auto"/>
            <w:right w:val="none" w:sz="0" w:space="0" w:color="auto"/>
          </w:divBdr>
        </w:div>
      </w:divsChild>
    </w:div>
    <w:div w:id="124085320">
      <w:bodyDiv w:val="1"/>
      <w:marLeft w:val="0"/>
      <w:marRight w:val="0"/>
      <w:marTop w:val="0"/>
      <w:marBottom w:val="0"/>
      <w:divBdr>
        <w:top w:val="none" w:sz="0" w:space="0" w:color="auto"/>
        <w:left w:val="none" w:sz="0" w:space="0" w:color="auto"/>
        <w:bottom w:val="none" w:sz="0" w:space="0" w:color="auto"/>
        <w:right w:val="none" w:sz="0" w:space="0" w:color="auto"/>
      </w:divBdr>
      <w:divsChild>
        <w:div w:id="376709503">
          <w:marLeft w:val="547"/>
          <w:marRight w:val="0"/>
          <w:marTop w:val="0"/>
          <w:marBottom w:val="0"/>
          <w:divBdr>
            <w:top w:val="none" w:sz="0" w:space="0" w:color="auto"/>
            <w:left w:val="none" w:sz="0" w:space="0" w:color="auto"/>
            <w:bottom w:val="none" w:sz="0" w:space="0" w:color="auto"/>
            <w:right w:val="none" w:sz="0" w:space="0" w:color="auto"/>
          </w:divBdr>
        </w:div>
        <w:div w:id="1304970124">
          <w:marLeft w:val="547"/>
          <w:marRight w:val="0"/>
          <w:marTop w:val="0"/>
          <w:marBottom w:val="0"/>
          <w:divBdr>
            <w:top w:val="none" w:sz="0" w:space="0" w:color="auto"/>
            <w:left w:val="none" w:sz="0" w:space="0" w:color="auto"/>
            <w:bottom w:val="none" w:sz="0" w:space="0" w:color="auto"/>
            <w:right w:val="none" w:sz="0" w:space="0" w:color="auto"/>
          </w:divBdr>
        </w:div>
        <w:div w:id="1653636068">
          <w:marLeft w:val="547"/>
          <w:marRight w:val="0"/>
          <w:marTop w:val="0"/>
          <w:marBottom w:val="0"/>
          <w:divBdr>
            <w:top w:val="none" w:sz="0" w:space="0" w:color="auto"/>
            <w:left w:val="none" w:sz="0" w:space="0" w:color="auto"/>
            <w:bottom w:val="none" w:sz="0" w:space="0" w:color="auto"/>
            <w:right w:val="none" w:sz="0" w:space="0" w:color="auto"/>
          </w:divBdr>
        </w:div>
        <w:div w:id="332494530">
          <w:marLeft w:val="547"/>
          <w:marRight w:val="0"/>
          <w:marTop w:val="0"/>
          <w:marBottom w:val="0"/>
          <w:divBdr>
            <w:top w:val="none" w:sz="0" w:space="0" w:color="auto"/>
            <w:left w:val="none" w:sz="0" w:space="0" w:color="auto"/>
            <w:bottom w:val="none" w:sz="0" w:space="0" w:color="auto"/>
            <w:right w:val="none" w:sz="0" w:space="0" w:color="auto"/>
          </w:divBdr>
        </w:div>
        <w:div w:id="1722248748">
          <w:marLeft w:val="547"/>
          <w:marRight w:val="0"/>
          <w:marTop w:val="0"/>
          <w:marBottom w:val="0"/>
          <w:divBdr>
            <w:top w:val="none" w:sz="0" w:space="0" w:color="auto"/>
            <w:left w:val="none" w:sz="0" w:space="0" w:color="auto"/>
            <w:bottom w:val="none" w:sz="0" w:space="0" w:color="auto"/>
            <w:right w:val="none" w:sz="0" w:space="0" w:color="auto"/>
          </w:divBdr>
        </w:div>
        <w:div w:id="1936742706">
          <w:marLeft w:val="547"/>
          <w:marRight w:val="0"/>
          <w:marTop w:val="0"/>
          <w:marBottom w:val="0"/>
          <w:divBdr>
            <w:top w:val="none" w:sz="0" w:space="0" w:color="auto"/>
            <w:left w:val="none" w:sz="0" w:space="0" w:color="auto"/>
            <w:bottom w:val="none" w:sz="0" w:space="0" w:color="auto"/>
            <w:right w:val="none" w:sz="0" w:space="0" w:color="auto"/>
          </w:divBdr>
        </w:div>
      </w:divsChild>
    </w:div>
    <w:div w:id="184174787">
      <w:bodyDiv w:val="1"/>
      <w:marLeft w:val="0"/>
      <w:marRight w:val="0"/>
      <w:marTop w:val="0"/>
      <w:marBottom w:val="0"/>
      <w:divBdr>
        <w:top w:val="none" w:sz="0" w:space="0" w:color="auto"/>
        <w:left w:val="none" w:sz="0" w:space="0" w:color="auto"/>
        <w:bottom w:val="none" w:sz="0" w:space="0" w:color="auto"/>
        <w:right w:val="none" w:sz="0" w:space="0" w:color="auto"/>
      </w:divBdr>
    </w:div>
    <w:div w:id="191580715">
      <w:bodyDiv w:val="1"/>
      <w:marLeft w:val="0"/>
      <w:marRight w:val="0"/>
      <w:marTop w:val="0"/>
      <w:marBottom w:val="0"/>
      <w:divBdr>
        <w:top w:val="none" w:sz="0" w:space="0" w:color="auto"/>
        <w:left w:val="none" w:sz="0" w:space="0" w:color="auto"/>
        <w:bottom w:val="none" w:sz="0" w:space="0" w:color="auto"/>
        <w:right w:val="none" w:sz="0" w:space="0" w:color="auto"/>
      </w:divBdr>
    </w:div>
    <w:div w:id="403650013">
      <w:bodyDiv w:val="1"/>
      <w:marLeft w:val="0"/>
      <w:marRight w:val="0"/>
      <w:marTop w:val="0"/>
      <w:marBottom w:val="0"/>
      <w:divBdr>
        <w:top w:val="none" w:sz="0" w:space="0" w:color="auto"/>
        <w:left w:val="none" w:sz="0" w:space="0" w:color="auto"/>
        <w:bottom w:val="none" w:sz="0" w:space="0" w:color="auto"/>
        <w:right w:val="none" w:sz="0" w:space="0" w:color="auto"/>
      </w:divBdr>
    </w:div>
    <w:div w:id="433479696">
      <w:bodyDiv w:val="1"/>
      <w:marLeft w:val="0"/>
      <w:marRight w:val="0"/>
      <w:marTop w:val="0"/>
      <w:marBottom w:val="0"/>
      <w:divBdr>
        <w:top w:val="none" w:sz="0" w:space="0" w:color="auto"/>
        <w:left w:val="none" w:sz="0" w:space="0" w:color="auto"/>
        <w:bottom w:val="none" w:sz="0" w:space="0" w:color="auto"/>
        <w:right w:val="none" w:sz="0" w:space="0" w:color="auto"/>
      </w:divBdr>
    </w:div>
    <w:div w:id="454326377">
      <w:bodyDiv w:val="1"/>
      <w:marLeft w:val="0"/>
      <w:marRight w:val="0"/>
      <w:marTop w:val="0"/>
      <w:marBottom w:val="0"/>
      <w:divBdr>
        <w:top w:val="none" w:sz="0" w:space="0" w:color="auto"/>
        <w:left w:val="none" w:sz="0" w:space="0" w:color="auto"/>
        <w:bottom w:val="none" w:sz="0" w:space="0" w:color="auto"/>
        <w:right w:val="none" w:sz="0" w:space="0" w:color="auto"/>
      </w:divBdr>
      <w:divsChild>
        <w:div w:id="2071146322">
          <w:marLeft w:val="0"/>
          <w:marRight w:val="0"/>
          <w:marTop w:val="0"/>
          <w:marBottom w:val="0"/>
          <w:divBdr>
            <w:top w:val="none" w:sz="0" w:space="0" w:color="auto"/>
            <w:left w:val="none" w:sz="0" w:space="0" w:color="auto"/>
            <w:bottom w:val="none" w:sz="0" w:space="0" w:color="auto"/>
            <w:right w:val="none" w:sz="0" w:space="0" w:color="auto"/>
          </w:divBdr>
        </w:div>
        <w:div w:id="1717702002">
          <w:marLeft w:val="0"/>
          <w:marRight w:val="0"/>
          <w:marTop w:val="0"/>
          <w:marBottom w:val="0"/>
          <w:divBdr>
            <w:top w:val="none" w:sz="0" w:space="0" w:color="auto"/>
            <w:left w:val="none" w:sz="0" w:space="0" w:color="auto"/>
            <w:bottom w:val="none" w:sz="0" w:space="0" w:color="auto"/>
            <w:right w:val="none" w:sz="0" w:space="0" w:color="auto"/>
          </w:divBdr>
        </w:div>
        <w:div w:id="1583249951">
          <w:marLeft w:val="0"/>
          <w:marRight w:val="0"/>
          <w:marTop w:val="0"/>
          <w:marBottom w:val="0"/>
          <w:divBdr>
            <w:top w:val="none" w:sz="0" w:space="0" w:color="auto"/>
            <w:left w:val="none" w:sz="0" w:space="0" w:color="auto"/>
            <w:bottom w:val="none" w:sz="0" w:space="0" w:color="auto"/>
            <w:right w:val="none" w:sz="0" w:space="0" w:color="auto"/>
          </w:divBdr>
        </w:div>
        <w:div w:id="528839309">
          <w:marLeft w:val="0"/>
          <w:marRight w:val="0"/>
          <w:marTop w:val="0"/>
          <w:marBottom w:val="0"/>
          <w:divBdr>
            <w:top w:val="none" w:sz="0" w:space="0" w:color="auto"/>
            <w:left w:val="none" w:sz="0" w:space="0" w:color="auto"/>
            <w:bottom w:val="none" w:sz="0" w:space="0" w:color="auto"/>
            <w:right w:val="none" w:sz="0" w:space="0" w:color="auto"/>
          </w:divBdr>
        </w:div>
        <w:div w:id="1160190970">
          <w:marLeft w:val="0"/>
          <w:marRight w:val="0"/>
          <w:marTop w:val="0"/>
          <w:marBottom w:val="0"/>
          <w:divBdr>
            <w:top w:val="none" w:sz="0" w:space="0" w:color="auto"/>
            <w:left w:val="none" w:sz="0" w:space="0" w:color="auto"/>
            <w:bottom w:val="none" w:sz="0" w:space="0" w:color="auto"/>
            <w:right w:val="none" w:sz="0" w:space="0" w:color="auto"/>
          </w:divBdr>
        </w:div>
        <w:div w:id="1738820525">
          <w:marLeft w:val="0"/>
          <w:marRight w:val="0"/>
          <w:marTop w:val="0"/>
          <w:marBottom w:val="0"/>
          <w:divBdr>
            <w:top w:val="none" w:sz="0" w:space="0" w:color="auto"/>
            <w:left w:val="none" w:sz="0" w:space="0" w:color="auto"/>
            <w:bottom w:val="none" w:sz="0" w:space="0" w:color="auto"/>
            <w:right w:val="none" w:sz="0" w:space="0" w:color="auto"/>
          </w:divBdr>
        </w:div>
        <w:div w:id="1405907972">
          <w:marLeft w:val="0"/>
          <w:marRight w:val="0"/>
          <w:marTop w:val="0"/>
          <w:marBottom w:val="0"/>
          <w:divBdr>
            <w:top w:val="none" w:sz="0" w:space="0" w:color="auto"/>
            <w:left w:val="none" w:sz="0" w:space="0" w:color="auto"/>
            <w:bottom w:val="none" w:sz="0" w:space="0" w:color="auto"/>
            <w:right w:val="none" w:sz="0" w:space="0" w:color="auto"/>
          </w:divBdr>
        </w:div>
        <w:div w:id="2011254620">
          <w:marLeft w:val="0"/>
          <w:marRight w:val="0"/>
          <w:marTop w:val="0"/>
          <w:marBottom w:val="0"/>
          <w:divBdr>
            <w:top w:val="none" w:sz="0" w:space="0" w:color="auto"/>
            <w:left w:val="none" w:sz="0" w:space="0" w:color="auto"/>
            <w:bottom w:val="none" w:sz="0" w:space="0" w:color="auto"/>
            <w:right w:val="none" w:sz="0" w:space="0" w:color="auto"/>
          </w:divBdr>
        </w:div>
      </w:divsChild>
    </w:div>
    <w:div w:id="479346227">
      <w:bodyDiv w:val="1"/>
      <w:marLeft w:val="0"/>
      <w:marRight w:val="0"/>
      <w:marTop w:val="0"/>
      <w:marBottom w:val="0"/>
      <w:divBdr>
        <w:top w:val="none" w:sz="0" w:space="0" w:color="auto"/>
        <w:left w:val="none" w:sz="0" w:space="0" w:color="auto"/>
        <w:bottom w:val="none" w:sz="0" w:space="0" w:color="auto"/>
        <w:right w:val="none" w:sz="0" w:space="0" w:color="auto"/>
      </w:divBdr>
      <w:divsChild>
        <w:div w:id="738096276">
          <w:marLeft w:val="360"/>
          <w:marRight w:val="0"/>
          <w:marTop w:val="0"/>
          <w:marBottom w:val="0"/>
          <w:divBdr>
            <w:top w:val="none" w:sz="0" w:space="0" w:color="auto"/>
            <w:left w:val="none" w:sz="0" w:space="0" w:color="auto"/>
            <w:bottom w:val="none" w:sz="0" w:space="0" w:color="auto"/>
            <w:right w:val="none" w:sz="0" w:space="0" w:color="auto"/>
          </w:divBdr>
        </w:div>
        <w:div w:id="1068696911">
          <w:marLeft w:val="720"/>
          <w:marRight w:val="0"/>
          <w:marTop w:val="0"/>
          <w:marBottom w:val="0"/>
          <w:divBdr>
            <w:top w:val="none" w:sz="0" w:space="0" w:color="auto"/>
            <w:left w:val="none" w:sz="0" w:space="0" w:color="auto"/>
            <w:bottom w:val="none" w:sz="0" w:space="0" w:color="auto"/>
            <w:right w:val="none" w:sz="0" w:space="0" w:color="auto"/>
          </w:divBdr>
        </w:div>
        <w:div w:id="1260335225">
          <w:marLeft w:val="720"/>
          <w:marRight w:val="0"/>
          <w:marTop w:val="0"/>
          <w:marBottom w:val="0"/>
          <w:divBdr>
            <w:top w:val="none" w:sz="0" w:space="0" w:color="auto"/>
            <w:left w:val="none" w:sz="0" w:space="0" w:color="auto"/>
            <w:bottom w:val="none" w:sz="0" w:space="0" w:color="auto"/>
            <w:right w:val="none" w:sz="0" w:space="0" w:color="auto"/>
          </w:divBdr>
        </w:div>
      </w:divsChild>
    </w:div>
    <w:div w:id="563830578">
      <w:bodyDiv w:val="1"/>
      <w:marLeft w:val="0"/>
      <w:marRight w:val="0"/>
      <w:marTop w:val="0"/>
      <w:marBottom w:val="0"/>
      <w:divBdr>
        <w:top w:val="none" w:sz="0" w:space="0" w:color="auto"/>
        <w:left w:val="none" w:sz="0" w:space="0" w:color="auto"/>
        <w:bottom w:val="none" w:sz="0" w:space="0" w:color="auto"/>
        <w:right w:val="none" w:sz="0" w:space="0" w:color="auto"/>
      </w:divBdr>
      <w:divsChild>
        <w:div w:id="1816988822">
          <w:marLeft w:val="302"/>
          <w:marRight w:val="0"/>
          <w:marTop w:val="0"/>
          <w:marBottom w:val="0"/>
          <w:divBdr>
            <w:top w:val="none" w:sz="0" w:space="0" w:color="auto"/>
            <w:left w:val="none" w:sz="0" w:space="0" w:color="auto"/>
            <w:bottom w:val="none" w:sz="0" w:space="0" w:color="auto"/>
            <w:right w:val="none" w:sz="0" w:space="0" w:color="auto"/>
          </w:divBdr>
        </w:div>
        <w:div w:id="1582913255">
          <w:marLeft w:val="302"/>
          <w:marRight w:val="0"/>
          <w:marTop w:val="0"/>
          <w:marBottom w:val="0"/>
          <w:divBdr>
            <w:top w:val="none" w:sz="0" w:space="0" w:color="auto"/>
            <w:left w:val="none" w:sz="0" w:space="0" w:color="auto"/>
            <w:bottom w:val="none" w:sz="0" w:space="0" w:color="auto"/>
            <w:right w:val="none" w:sz="0" w:space="0" w:color="auto"/>
          </w:divBdr>
        </w:div>
        <w:div w:id="2100443996">
          <w:marLeft w:val="302"/>
          <w:marRight w:val="0"/>
          <w:marTop w:val="0"/>
          <w:marBottom w:val="0"/>
          <w:divBdr>
            <w:top w:val="none" w:sz="0" w:space="0" w:color="auto"/>
            <w:left w:val="none" w:sz="0" w:space="0" w:color="auto"/>
            <w:bottom w:val="none" w:sz="0" w:space="0" w:color="auto"/>
            <w:right w:val="none" w:sz="0" w:space="0" w:color="auto"/>
          </w:divBdr>
        </w:div>
        <w:div w:id="1185022256">
          <w:marLeft w:val="302"/>
          <w:marRight w:val="0"/>
          <w:marTop w:val="0"/>
          <w:marBottom w:val="0"/>
          <w:divBdr>
            <w:top w:val="none" w:sz="0" w:space="0" w:color="auto"/>
            <w:left w:val="none" w:sz="0" w:space="0" w:color="auto"/>
            <w:bottom w:val="none" w:sz="0" w:space="0" w:color="auto"/>
            <w:right w:val="none" w:sz="0" w:space="0" w:color="auto"/>
          </w:divBdr>
        </w:div>
      </w:divsChild>
    </w:div>
    <w:div w:id="962343457">
      <w:bodyDiv w:val="1"/>
      <w:marLeft w:val="0"/>
      <w:marRight w:val="0"/>
      <w:marTop w:val="0"/>
      <w:marBottom w:val="0"/>
      <w:divBdr>
        <w:top w:val="none" w:sz="0" w:space="0" w:color="auto"/>
        <w:left w:val="none" w:sz="0" w:space="0" w:color="auto"/>
        <w:bottom w:val="none" w:sz="0" w:space="0" w:color="auto"/>
        <w:right w:val="none" w:sz="0" w:space="0" w:color="auto"/>
      </w:divBdr>
    </w:div>
    <w:div w:id="971904515">
      <w:bodyDiv w:val="1"/>
      <w:marLeft w:val="0"/>
      <w:marRight w:val="0"/>
      <w:marTop w:val="0"/>
      <w:marBottom w:val="0"/>
      <w:divBdr>
        <w:top w:val="none" w:sz="0" w:space="0" w:color="auto"/>
        <w:left w:val="none" w:sz="0" w:space="0" w:color="auto"/>
        <w:bottom w:val="none" w:sz="0" w:space="0" w:color="auto"/>
        <w:right w:val="none" w:sz="0" w:space="0" w:color="auto"/>
      </w:divBdr>
    </w:div>
    <w:div w:id="1061905322">
      <w:bodyDiv w:val="1"/>
      <w:marLeft w:val="0"/>
      <w:marRight w:val="0"/>
      <w:marTop w:val="0"/>
      <w:marBottom w:val="0"/>
      <w:divBdr>
        <w:top w:val="none" w:sz="0" w:space="0" w:color="auto"/>
        <w:left w:val="none" w:sz="0" w:space="0" w:color="auto"/>
        <w:bottom w:val="none" w:sz="0" w:space="0" w:color="auto"/>
        <w:right w:val="none" w:sz="0" w:space="0" w:color="auto"/>
      </w:divBdr>
    </w:div>
    <w:div w:id="1096246031">
      <w:bodyDiv w:val="1"/>
      <w:marLeft w:val="0"/>
      <w:marRight w:val="0"/>
      <w:marTop w:val="0"/>
      <w:marBottom w:val="0"/>
      <w:divBdr>
        <w:top w:val="none" w:sz="0" w:space="0" w:color="auto"/>
        <w:left w:val="none" w:sz="0" w:space="0" w:color="auto"/>
        <w:bottom w:val="none" w:sz="0" w:space="0" w:color="auto"/>
        <w:right w:val="none" w:sz="0" w:space="0" w:color="auto"/>
      </w:divBdr>
    </w:div>
    <w:div w:id="1152063278">
      <w:bodyDiv w:val="1"/>
      <w:marLeft w:val="0"/>
      <w:marRight w:val="0"/>
      <w:marTop w:val="0"/>
      <w:marBottom w:val="0"/>
      <w:divBdr>
        <w:top w:val="none" w:sz="0" w:space="0" w:color="auto"/>
        <w:left w:val="none" w:sz="0" w:space="0" w:color="auto"/>
        <w:bottom w:val="none" w:sz="0" w:space="0" w:color="auto"/>
        <w:right w:val="none" w:sz="0" w:space="0" w:color="auto"/>
      </w:divBdr>
    </w:div>
    <w:div w:id="1222860321">
      <w:bodyDiv w:val="1"/>
      <w:marLeft w:val="0"/>
      <w:marRight w:val="0"/>
      <w:marTop w:val="0"/>
      <w:marBottom w:val="0"/>
      <w:divBdr>
        <w:top w:val="none" w:sz="0" w:space="0" w:color="auto"/>
        <w:left w:val="none" w:sz="0" w:space="0" w:color="auto"/>
        <w:bottom w:val="none" w:sz="0" w:space="0" w:color="auto"/>
        <w:right w:val="none" w:sz="0" w:space="0" w:color="auto"/>
      </w:divBdr>
    </w:div>
    <w:div w:id="1374814993">
      <w:bodyDiv w:val="1"/>
      <w:marLeft w:val="0"/>
      <w:marRight w:val="0"/>
      <w:marTop w:val="0"/>
      <w:marBottom w:val="0"/>
      <w:divBdr>
        <w:top w:val="none" w:sz="0" w:space="0" w:color="auto"/>
        <w:left w:val="none" w:sz="0" w:space="0" w:color="auto"/>
        <w:bottom w:val="none" w:sz="0" w:space="0" w:color="auto"/>
        <w:right w:val="none" w:sz="0" w:space="0" w:color="auto"/>
      </w:divBdr>
      <w:divsChild>
        <w:div w:id="1150947361">
          <w:marLeft w:val="288"/>
          <w:marRight w:val="0"/>
          <w:marTop w:val="200"/>
          <w:marBottom w:val="0"/>
          <w:divBdr>
            <w:top w:val="none" w:sz="0" w:space="0" w:color="auto"/>
            <w:left w:val="none" w:sz="0" w:space="0" w:color="auto"/>
            <w:bottom w:val="none" w:sz="0" w:space="0" w:color="auto"/>
            <w:right w:val="none" w:sz="0" w:space="0" w:color="auto"/>
          </w:divBdr>
        </w:div>
        <w:div w:id="1994678016">
          <w:marLeft w:val="288"/>
          <w:marRight w:val="0"/>
          <w:marTop w:val="200"/>
          <w:marBottom w:val="0"/>
          <w:divBdr>
            <w:top w:val="none" w:sz="0" w:space="0" w:color="auto"/>
            <w:left w:val="none" w:sz="0" w:space="0" w:color="auto"/>
            <w:bottom w:val="none" w:sz="0" w:space="0" w:color="auto"/>
            <w:right w:val="none" w:sz="0" w:space="0" w:color="auto"/>
          </w:divBdr>
        </w:div>
        <w:div w:id="741634902">
          <w:marLeft w:val="288"/>
          <w:marRight w:val="0"/>
          <w:marTop w:val="200"/>
          <w:marBottom w:val="0"/>
          <w:divBdr>
            <w:top w:val="none" w:sz="0" w:space="0" w:color="auto"/>
            <w:left w:val="none" w:sz="0" w:space="0" w:color="auto"/>
            <w:bottom w:val="none" w:sz="0" w:space="0" w:color="auto"/>
            <w:right w:val="none" w:sz="0" w:space="0" w:color="auto"/>
          </w:divBdr>
        </w:div>
      </w:divsChild>
    </w:div>
    <w:div w:id="1390347951">
      <w:bodyDiv w:val="1"/>
      <w:marLeft w:val="0"/>
      <w:marRight w:val="0"/>
      <w:marTop w:val="0"/>
      <w:marBottom w:val="0"/>
      <w:divBdr>
        <w:top w:val="none" w:sz="0" w:space="0" w:color="auto"/>
        <w:left w:val="none" w:sz="0" w:space="0" w:color="auto"/>
        <w:bottom w:val="none" w:sz="0" w:space="0" w:color="auto"/>
        <w:right w:val="none" w:sz="0" w:space="0" w:color="auto"/>
      </w:divBdr>
    </w:div>
    <w:div w:id="1413939584">
      <w:bodyDiv w:val="1"/>
      <w:marLeft w:val="0"/>
      <w:marRight w:val="0"/>
      <w:marTop w:val="0"/>
      <w:marBottom w:val="0"/>
      <w:divBdr>
        <w:top w:val="none" w:sz="0" w:space="0" w:color="auto"/>
        <w:left w:val="none" w:sz="0" w:space="0" w:color="auto"/>
        <w:bottom w:val="none" w:sz="0" w:space="0" w:color="auto"/>
        <w:right w:val="none" w:sz="0" w:space="0" w:color="auto"/>
      </w:divBdr>
      <w:divsChild>
        <w:div w:id="644163773">
          <w:marLeft w:val="302"/>
          <w:marRight w:val="0"/>
          <w:marTop w:val="0"/>
          <w:marBottom w:val="0"/>
          <w:divBdr>
            <w:top w:val="none" w:sz="0" w:space="0" w:color="auto"/>
            <w:left w:val="none" w:sz="0" w:space="0" w:color="auto"/>
            <w:bottom w:val="none" w:sz="0" w:space="0" w:color="auto"/>
            <w:right w:val="none" w:sz="0" w:space="0" w:color="auto"/>
          </w:divBdr>
        </w:div>
        <w:div w:id="1835298622">
          <w:marLeft w:val="302"/>
          <w:marRight w:val="0"/>
          <w:marTop w:val="0"/>
          <w:marBottom w:val="0"/>
          <w:divBdr>
            <w:top w:val="none" w:sz="0" w:space="0" w:color="auto"/>
            <w:left w:val="none" w:sz="0" w:space="0" w:color="auto"/>
            <w:bottom w:val="none" w:sz="0" w:space="0" w:color="auto"/>
            <w:right w:val="none" w:sz="0" w:space="0" w:color="auto"/>
          </w:divBdr>
        </w:div>
        <w:div w:id="1031418773">
          <w:marLeft w:val="302"/>
          <w:marRight w:val="0"/>
          <w:marTop w:val="0"/>
          <w:marBottom w:val="0"/>
          <w:divBdr>
            <w:top w:val="none" w:sz="0" w:space="0" w:color="auto"/>
            <w:left w:val="none" w:sz="0" w:space="0" w:color="auto"/>
            <w:bottom w:val="none" w:sz="0" w:space="0" w:color="auto"/>
            <w:right w:val="none" w:sz="0" w:space="0" w:color="auto"/>
          </w:divBdr>
        </w:div>
        <w:div w:id="610206359">
          <w:marLeft w:val="302"/>
          <w:marRight w:val="0"/>
          <w:marTop w:val="0"/>
          <w:marBottom w:val="0"/>
          <w:divBdr>
            <w:top w:val="none" w:sz="0" w:space="0" w:color="auto"/>
            <w:left w:val="none" w:sz="0" w:space="0" w:color="auto"/>
            <w:bottom w:val="none" w:sz="0" w:space="0" w:color="auto"/>
            <w:right w:val="none" w:sz="0" w:space="0" w:color="auto"/>
          </w:divBdr>
        </w:div>
      </w:divsChild>
    </w:div>
    <w:div w:id="1445882600">
      <w:bodyDiv w:val="1"/>
      <w:marLeft w:val="0"/>
      <w:marRight w:val="0"/>
      <w:marTop w:val="0"/>
      <w:marBottom w:val="0"/>
      <w:divBdr>
        <w:top w:val="none" w:sz="0" w:space="0" w:color="auto"/>
        <w:left w:val="none" w:sz="0" w:space="0" w:color="auto"/>
        <w:bottom w:val="none" w:sz="0" w:space="0" w:color="auto"/>
        <w:right w:val="none" w:sz="0" w:space="0" w:color="auto"/>
      </w:divBdr>
      <w:divsChild>
        <w:div w:id="1867789789">
          <w:marLeft w:val="360"/>
          <w:marRight w:val="0"/>
          <w:marTop w:val="0"/>
          <w:marBottom w:val="0"/>
          <w:divBdr>
            <w:top w:val="none" w:sz="0" w:space="0" w:color="auto"/>
            <w:left w:val="none" w:sz="0" w:space="0" w:color="auto"/>
            <w:bottom w:val="none" w:sz="0" w:space="0" w:color="auto"/>
            <w:right w:val="none" w:sz="0" w:space="0" w:color="auto"/>
          </w:divBdr>
        </w:div>
        <w:div w:id="362021509">
          <w:marLeft w:val="360"/>
          <w:marRight w:val="0"/>
          <w:marTop w:val="0"/>
          <w:marBottom w:val="0"/>
          <w:divBdr>
            <w:top w:val="none" w:sz="0" w:space="0" w:color="auto"/>
            <w:left w:val="none" w:sz="0" w:space="0" w:color="auto"/>
            <w:bottom w:val="none" w:sz="0" w:space="0" w:color="auto"/>
            <w:right w:val="none" w:sz="0" w:space="0" w:color="auto"/>
          </w:divBdr>
        </w:div>
        <w:div w:id="927037307">
          <w:marLeft w:val="360"/>
          <w:marRight w:val="0"/>
          <w:marTop w:val="0"/>
          <w:marBottom w:val="0"/>
          <w:divBdr>
            <w:top w:val="none" w:sz="0" w:space="0" w:color="auto"/>
            <w:left w:val="none" w:sz="0" w:space="0" w:color="auto"/>
            <w:bottom w:val="none" w:sz="0" w:space="0" w:color="auto"/>
            <w:right w:val="none" w:sz="0" w:space="0" w:color="auto"/>
          </w:divBdr>
        </w:div>
      </w:divsChild>
    </w:div>
    <w:div w:id="1563180384">
      <w:bodyDiv w:val="1"/>
      <w:marLeft w:val="0"/>
      <w:marRight w:val="0"/>
      <w:marTop w:val="0"/>
      <w:marBottom w:val="0"/>
      <w:divBdr>
        <w:top w:val="none" w:sz="0" w:space="0" w:color="auto"/>
        <w:left w:val="none" w:sz="0" w:space="0" w:color="auto"/>
        <w:bottom w:val="none" w:sz="0" w:space="0" w:color="auto"/>
        <w:right w:val="none" w:sz="0" w:space="0" w:color="auto"/>
      </w:divBdr>
      <w:divsChild>
        <w:div w:id="3747529">
          <w:marLeft w:val="0"/>
          <w:marRight w:val="0"/>
          <w:marTop w:val="0"/>
          <w:marBottom w:val="0"/>
          <w:divBdr>
            <w:top w:val="none" w:sz="0" w:space="0" w:color="auto"/>
            <w:left w:val="none" w:sz="0" w:space="0" w:color="auto"/>
            <w:bottom w:val="none" w:sz="0" w:space="0" w:color="auto"/>
            <w:right w:val="none" w:sz="0" w:space="0" w:color="auto"/>
          </w:divBdr>
        </w:div>
        <w:div w:id="1809392002">
          <w:marLeft w:val="0"/>
          <w:marRight w:val="0"/>
          <w:marTop w:val="0"/>
          <w:marBottom w:val="0"/>
          <w:divBdr>
            <w:top w:val="none" w:sz="0" w:space="0" w:color="auto"/>
            <w:left w:val="none" w:sz="0" w:space="0" w:color="auto"/>
            <w:bottom w:val="none" w:sz="0" w:space="0" w:color="auto"/>
            <w:right w:val="none" w:sz="0" w:space="0" w:color="auto"/>
          </w:divBdr>
        </w:div>
        <w:div w:id="266960670">
          <w:marLeft w:val="0"/>
          <w:marRight w:val="0"/>
          <w:marTop w:val="0"/>
          <w:marBottom w:val="0"/>
          <w:divBdr>
            <w:top w:val="none" w:sz="0" w:space="0" w:color="auto"/>
            <w:left w:val="none" w:sz="0" w:space="0" w:color="auto"/>
            <w:bottom w:val="none" w:sz="0" w:space="0" w:color="auto"/>
            <w:right w:val="none" w:sz="0" w:space="0" w:color="auto"/>
          </w:divBdr>
        </w:div>
        <w:div w:id="1429156288">
          <w:marLeft w:val="0"/>
          <w:marRight w:val="0"/>
          <w:marTop w:val="0"/>
          <w:marBottom w:val="0"/>
          <w:divBdr>
            <w:top w:val="none" w:sz="0" w:space="0" w:color="auto"/>
            <w:left w:val="none" w:sz="0" w:space="0" w:color="auto"/>
            <w:bottom w:val="none" w:sz="0" w:space="0" w:color="auto"/>
            <w:right w:val="none" w:sz="0" w:space="0" w:color="auto"/>
          </w:divBdr>
        </w:div>
        <w:div w:id="685056663">
          <w:marLeft w:val="0"/>
          <w:marRight w:val="0"/>
          <w:marTop w:val="0"/>
          <w:marBottom w:val="0"/>
          <w:divBdr>
            <w:top w:val="none" w:sz="0" w:space="0" w:color="auto"/>
            <w:left w:val="none" w:sz="0" w:space="0" w:color="auto"/>
            <w:bottom w:val="none" w:sz="0" w:space="0" w:color="auto"/>
            <w:right w:val="none" w:sz="0" w:space="0" w:color="auto"/>
          </w:divBdr>
        </w:div>
        <w:div w:id="75909980">
          <w:marLeft w:val="0"/>
          <w:marRight w:val="0"/>
          <w:marTop w:val="0"/>
          <w:marBottom w:val="0"/>
          <w:divBdr>
            <w:top w:val="none" w:sz="0" w:space="0" w:color="auto"/>
            <w:left w:val="none" w:sz="0" w:space="0" w:color="auto"/>
            <w:bottom w:val="none" w:sz="0" w:space="0" w:color="auto"/>
            <w:right w:val="none" w:sz="0" w:space="0" w:color="auto"/>
          </w:divBdr>
        </w:div>
        <w:div w:id="359665451">
          <w:marLeft w:val="0"/>
          <w:marRight w:val="0"/>
          <w:marTop w:val="0"/>
          <w:marBottom w:val="0"/>
          <w:divBdr>
            <w:top w:val="none" w:sz="0" w:space="0" w:color="auto"/>
            <w:left w:val="none" w:sz="0" w:space="0" w:color="auto"/>
            <w:bottom w:val="none" w:sz="0" w:space="0" w:color="auto"/>
            <w:right w:val="none" w:sz="0" w:space="0" w:color="auto"/>
          </w:divBdr>
        </w:div>
        <w:div w:id="1832940280">
          <w:marLeft w:val="0"/>
          <w:marRight w:val="0"/>
          <w:marTop w:val="0"/>
          <w:marBottom w:val="0"/>
          <w:divBdr>
            <w:top w:val="none" w:sz="0" w:space="0" w:color="auto"/>
            <w:left w:val="none" w:sz="0" w:space="0" w:color="auto"/>
            <w:bottom w:val="none" w:sz="0" w:space="0" w:color="auto"/>
            <w:right w:val="none" w:sz="0" w:space="0" w:color="auto"/>
          </w:divBdr>
        </w:div>
        <w:div w:id="949966910">
          <w:marLeft w:val="0"/>
          <w:marRight w:val="0"/>
          <w:marTop w:val="0"/>
          <w:marBottom w:val="0"/>
          <w:divBdr>
            <w:top w:val="none" w:sz="0" w:space="0" w:color="auto"/>
            <w:left w:val="none" w:sz="0" w:space="0" w:color="auto"/>
            <w:bottom w:val="none" w:sz="0" w:space="0" w:color="auto"/>
            <w:right w:val="none" w:sz="0" w:space="0" w:color="auto"/>
          </w:divBdr>
        </w:div>
        <w:div w:id="1450395238">
          <w:marLeft w:val="0"/>
          <w:marRight w:val="0"/>
          <w:marTop w:val="0"/>
          <w:marBottom w:val="0"/>
          <w:divBdr>
            <w:top w:val="none" w:sz="0" w:space="0" w:color="auto"/>
            <w:left w:val="none" w:sz="0" w:space="0" w:color="auto"/>
            <w:bottom w:val="none" w:sz="0" w:space="0" w:color="auto"/>
            <w:right w:val="none" w:sz="0" w:space="0" w:color="auto"/>
          </w:divBdr>
        </w:div>
        <w:div w:id="1360161701">
          <w:marLeft w:val="0"/>
          <w:marRight w:val="0"/>
          <w:marTop w:val="0"/>
          <w:marBottom w:val="0"/>
          <w:divBdr>
            <w:top w:val="none" w:sz="0" w:space="0" w:color="auto"/>
            <w:left w:val="none" w:sz="0" w:space="0" w:color="auto"/>
            <w:bottom w:val="none" w:sz="0" w:space="0" w:color="auto"/>
            <w:right w:val="none" w:sz="0" w:space="0" w:color="auto"/>
          </w:divBdr>
        </w:div>
        <w:div w:id="820540382">
          <w:marLeft w:val="0"/>
          <w:marRight w:val="0"/>
          <w:marTop w:val="0"/>
          <w:marBottom w:val="0"/>
          <w:divBdr>
            <w:top w:val="none" w:sz="0" w:space="0" w:color="auto"/>
            <w:left w:val="none" w:sz="0" w:space="0" w:color="auto"/>
            <w:bottom w:val="none" w:sz="0" w:space="0" w:color="auto"/>
            <w:right w:val="none" w:sz="0" w:space="0" w:color="auto"/>
          </w:divBdr>
        </w:div>
        <w:div w:id="894045860">
          <w:marLeft w:val="0"/>
          <w:marRight w:val="0"/>
          <w:marTop w:val="0"/>
          <w:marBottom w:val="0"/>
          <w:divBdr>
            <w:top w:val="none" w:sz="0" w:space="0" w:color="auto"/>
            <w:left w:val="none" w:sz="0" w:space="0" w:color="auto"/>
            <w:bottom w:val="none" w:sz="0" w:space="0" w:color="auto"/>
            <w:right w:val="none" w:sz="0" w:space="0" w:color="auto"/>
          </w:divBdr>
        </w:div>
        <w:div w:id="764882535">
          <w:marLeft w:val="0"/>
          <w:marRight w:val="0"/>
          <w:marTop w:val="0"/>
          <w:marBottom w:val="0"/>
          <w:divBdr>
            <w:top w:val="none" w:sz="0" w:space="0" w:color="auto"/>
            <w:left w:val="none" w:sz="0" w:space="0" w:color="auto"/>
            <w:bottom w:val="none" w:sz="0" w:space="0" w:color="auto"/>
            <w:right w:val="none" w:sz="0" w:space="0" w:color="auto"/>
          </w:divBdr>
        </w:div>
        <w:div w:id="766970899">
          <w:marLeft w:val="0"/>
          <w:marRight w:val="0"/>
          <w:marTop w:val="0"/>
          <w:marBottom w:val="0"/>
          <w:divBdr>
            <w:top w:val="none" w:sz="0" w:space="0" w:color="auto"/>
            <w:left w:val="none" w:sz="0" w:space="0" w:color="auto"/>
            <w:bottom w:val="none" w:sz="0" w:space="0" w:color="auto"/>
            <w:right w:val="none" w:sz="0" w:space="0" w:color="auto"/>
          </w:divBdr>
        </w:div>
        <w:div w:id="1362166244">
          <w:marLeft w:val="0"/>
          <w:marRight w:val="0"/>
          <w:marTop w:val="0"/>
          <w:marBottom w:val="0"/>
          <w:divBdr>
            <w:top w:val="none" w:sz="0" w:space="0" w:color="auto"/>
            <w:left w:val="none" w:sz="0" w:space="0" w:color="auto"/>
            <w:bottom w:val="none" w:sz="0" w:space="0" w:color="auto"/>
            <w:right w:val="none" w:sz="0" w:space="0" w:color="auto"/>
          </w:divBdr>
        </w:div>
        <w:div w:id="305820769">
          <w:marLeft w:val="0"/>
          <w:marRight w:val="0"/>
          <w:marTop w:val="0"/>
          <w:marBottom w:val="0"/>
          <w:divBdr>
            <w:top w:val="none" w:sz="0" w:space="0" w:color="auto"/>
            <w:left w:val="none" w:sz="0" w:space="0" w:color="auto"/>
            <w:bottom w:val="none" w:sz="0" w:space="0" w:color="auto"/>
            <w:right w:val="none" w:sz="0" w:space="0" w:color="auto"/>
          </w:divBdr>
        </w:div>
      </w:divsChild>
    </w:div>
    <w:div w:id="1615599412">
      <w:bodyDiv w:val="1"/>
      <w:marLeft w:val="0"/>
      <w:marRight w:val="0"/>
      <w:marTop w:val="0"/>
      <w:marBottom w:val="0"/>
      <w:divBdr>
        <w:top w:val="none" w:sz="0" w:space="0" w:color="auto"/>
        <w:left w:val="none" w:sz="0" w:space="0" w:color="auto"/>
        <w:bottom w:val="none" w:sz="0" w:space="0" w:color="auto"/>
        <w:right w:val="none" w:sz="0" w:space="0" w:color="auto"/>
      </w:divBdr>
    </w:div>
    <w:div w:id="1621454436">
      <w:bodyDiv w:val="1"/>
      <w:marLeft w:val="0"/>
      <w:marRight w:val="0"/>
      <w:marTop w:val="0"/>
      <w:marBottom w:val="0"/>
      <w:divBdr>
        <w:top w:val="none" w:sz="0" w:space="0" w:color="auto"/>
        <w:left w:val="none" w:sz="0" w:space="0" w:color="auto"/>
        <w:bottom w:val="none" w:sz="0" w:space="0" w:color="auto"/>
        <w:right w:val="none" w:sz="0" w:space="0" w:color="auto"/>
      </w:divBdr>
    </w:div>
    <w:div w:id="1663507038">
      <w:bodyDiv w:val="1"/>
      <w:marLeft w:val="0"/>
      <w:marRight w:val="0"/>
      <w:marTop w:val="0"/>
      <w:marBottom w:val="0"/>
      <w:divBdr>
        <w:top w:val="none" w:sz="0" w:space="0" w:color="auto"/>
        <w:left w:val="none" w:sz="0" w:space="0" w:color="auto"/>
        <w:bottom w:val="none" w:sz="0" w:space="0" w:color="auto"/>
        <w:right w:val="none" w:sz="0" w:space="0" w:color="auto"/>
      </w:divBdr>
    </w:div>
    <w:div w:id="1723021054">
      <w:bodyDiv w:val="1"/>
      <w:marLeft w:val="0"/>
      <w:marRight w:val="0"/>
      <w:marTop w:val="0"/>
      <w:marBottom w:val="0"/>
      <w:divBdr>
        <w:top w:val="none" w:sz="0" w:space="0" w:color="auto"/>
        <w:left w:val="none" w:sz="0" w:space="0" w:color="auto"/>
        <w:bottom w:val="none" w:sz="0" w:space="0" w:color="auto"/>
        <w:right w:val="none" w:sz="0" w:space="0" w:color="auto"/>
      </w:divBdr>
    </w:div>
    <w:div w:id="1733580230">
      <w:bodyDiv w:val="1"/>
      <w:marLeft w:val="0"/>
      <w:marRight w:val="0"/>
      <w:marTop w:val="0"/>
      <w:marBottom w:val="0"/>
      <w:divBdr>
        <w:top w:val="none" w:sz="0" w:space="0" w:color="auto"/>
        <w:left w:val="none" w:sz="0" w:space="0" w:color="auto"/>
        <w:bottom w:val="none" w:sz="0" w:space="0" w:color="auto"/>
        <w:right w:val="none" w:sz="0" w:space="0" w:color="auto"/>
      </w:divBdr>
    </w:div>
    <w:div w:id="1796867354">
      <w:bodyDiv w:val="1"/>
      <w:marLeft w:val="0"/>
      <w:marRight w:val="0"/>
      <w:marTop w:val="0"/>
      <w:marBottom w:val="0"/>
      <w:divBdr>
        <w:top w:val="none" w:sz="0" w:space="0" w:color="auto"/>
        <w:left w:val="none" w:sz="0" w:space="0" w:color="auto"/>
        <w:bottom w:val="none" w:sz="0" w:space="0" w:color="auto"/>
        <w:right w:val="none" w:sz="0" w:space="0" w:color="auto"/>
      </w:divBdr>
      <w:divsChild>
        <w:div w:id="164983348">
          <w:marLeft w:val="418"/>
          <w:marRight w:val="0"/>
          <w:marTop w:val="200"/>
          <w:marBottom w:val="0"/>
          <w:divBdr>
            <w:top w:val="none" w:sz="0" w:space="0" w:color="auto"/>
            <w:left w:val="none" w:sz="0" w:space="0" w:color="auto"/>
            <w:bottom w:val="none" w:sz="0" w:space="0" w:color="auto"/>
            <w:right w:val="none" w:sz="0" w:space="0" w:color="auto"/>
          </w:divBdr>
        </w:div>
        <w:div w:id="1736859425">
          <w:marLeft w:val="418"/>
          <w:marRight w:val="0"/>
          <w:marTop w:val="200"/>
          <w:marBottom w:val="0"/>
          <w:divBdr>
            <w:top w:val="none" w:sz="0" w:space="0" w:color="auto"/>
            <w:left w:val="none" w:sz="0" w:space="0" w:color="auto"/>
            <w:bottom w:val="none" w:sz="0" w:space="0" w:color="auto"/>
            <w:right w:val="none" w:sz="0" w:space="0" w:color="auto"/>
          </w:divBdr>
        </w:div>
        <w:div w:id="1972053701">
          <w:marLeft w:val="418"/>
          <w:marRight w:val="0"/>
          <w:marTop w:val="200"/>
          <w:marBottom w:val="0"/>
          <w:divBdr>
            <w:top w:val="none" w:sz="0" w:space="0" w:color="auto"/>
            <w:left w:val="none" w:sz="0" w:space="0" w:color="auto"/>
            <w:bottom w:val="none" w:sz="0" w:space="0" w:color="auto"/>
            <w:right w:val="none" w:sz="0" w:space="0" w:color="auto"/>
          </w:divBdr>
        </w:div>
      </w:divsChild>
    </w:div>
    <w:div w:id="1884249250">
      <w:bodyDiv w:val="1"/>
      <w:marLeft w:val="0"/>
      <w:marRight w:val="0"/>
      <w:marTop w:val="0"/>
      <w:marBottom w:val="0"/>
      <w:divBdr>
        <w:top w:val="none" w:sz="0" w:space="0" w:color="auto"/>
        <w:left w:val="none" w:sz="0" w:space="0" w:color="auto"/>
        <w:bottom w:val="none" w:sz="0" w:space="0" w:color="auto"/>
        <w:right w:val="none" w:sz="0" w:space="0" w:color="auto"/>
      </w:divBdr>
      <w:divsChild>
        <w:div w:id="1614284783">
          <w:marLeft w:val="0"/>
          <w:marRight w:val="0"/>
          <w:marTop w:val="0"/>
          <w:marBottom w:val="0"/>
          <w:divBdr>
            <w:top w:val="none" w:sz="0" w:space="0" w:color="auto"/>
            <w:left w:val="none" w:sz="0" w:space="0" w:color="auto"/>
            <w:bottom w:val="none" w:sz="0" w:space="0" w:color="auto"/>
            <w:right w:val="none" w:sz="0" w:space="0" w:color="auto"/>
          </w:divBdr>
        </w:div>
        <w:div w:id="1545287381">
          <w:marLeft w:val="0"/>
          <w:marRight w:val="0"/>
          <w:marTop w:val="0"/>
          <w:marBottom w:val="0"/>
          <w:divBdr>
            <w:top w:val="none" w:sz="0" w:space="0" w:color="auto"/>
            <w:left w:val="none" w:sz="0" w:space="0" w:color="auto"/>
            <w:bottom w:val="none" w:sz="0" w:space="0" w:color="auto"/>
            <w:right w:val="none" w:sz="0" w:space="0" w:color="auto"/>
          </w:divBdr>
        </w:div>
        <w:div w:id="846285024">
          <w:marLeft w:val="0"/>
          <w:marRight w:val="0"/>
          <w:marTop w:val="0"/>
          <w:marBottom w:val="0"/>
          <w:divBdr>
            <w:top w:val="none" w:sz="0" w:space="0" w:color="auto"/>
            <w:left w:val="none" w:sz="0" w:space="0" w:color="auto"/>
            <w:bottom w:val="none" w:sz="0" w:space="0" w:color="auto"/>
            <w:right w:val="none" w:sz="0" w:space="0" w:color="auto"/>
          </w:divBdr>
        </w:div>
        <w:div w:id="1678995669">
          <w:marLeft w:val="0"/>
          <w:marRight w:val="0"/>
          <w:marTop w:val="0"/>
          <w:marBottom w:val="0"/>
          <w:divBdr>
            <w:top w:val="none" w:sz="0" w:space="0" w:color="auto"/>
            <w:left w:val="none" w:sz="0" w:space="0" w:color="auto"/>
            <w:bottom w:val="none" w:sz="0" w:space="0" w:color="auto"/>
            <w:right w:val="none" w:sz="0" w:space="0" w:color="auto"/>
          </w:divBdr>
        </w:div>
        <w:div w:id="952708488">
          <w:marLeft w:val="0"/>
          <w:marRight w:val="0"/>
          <w:marTop w:val="0"/>
          <w:marBottom w:val="0"/>
          <w:divBdr>
            <w:top w:val="none" w:sz="0" w:space="0" w:color="auto"/>
            <w:left w:val="none" w:sz="0" w:space="0" w:color="auto"/>
            <w:bottom w:val="none" w:sz="0" w:space="0" w:color="auto"/>
            <w:right w:val="none" w:sz="0" w:space="0" w:color="auto"/>
          </w:divBdr>
        </w:div>
        <w:div w:id="1418986169">
          <w:marLeft w:val="0"/>
          <w:marRight w:val="0"/>
          <w:marTop w:val="0"/>
          <w:marBottom w:val="0"/>
          <w:divBdr>
            <w:top w:val="none" w:sz="0" w:space="0" w:color="auto"/>
            <w:left w:val="none" w:sz="0" w:space="0" w:color="auto"/>
            <w:bottom w:val="none" w:sz="0" w:space="0" w:color="auto"/>
            <w:right w:val="none" w:sz="0" w:space="0" w:color="auto"/>
          </w:divBdr>
        </w:div>
        <w:div w:id="21369032">
          <w:marLeft w:val="0"/>
          <w:marRight w:val="0"/>
          <w:marTop w:val="0"/>
          <w:marBottom w:val="0"/>
          <w:divBdr>
            <w:top w:val="none" w:sz="0" w:space="0" w:color="auto"/>
            <w:left w:val="none" w:sz="0" w:space="0" w:color="auto"/>
            <w:bottom w:val="none" w:sz="0" w:space="0" w:color="auto"/>
            <w:right w:val="none" w:sz="0" w:space="0" w:color="auto"/>
          </w:divBdr>
        </w:div>
        <w:div w:id="1330475150">
          <w:marLeft w:val="0"/>
          <w:marRight w:val="0"/>
          <w:marTop w:val="0"/>
          <w:marBottom w:val="0"/>
          <w:divBdr>
            <w:top w:val="none" w:sz="0" w:space="0" w:color="auto"/>
            <w:left w:val="none" w:sz="0" w:space="0" w:color="auto"/>
            <w:bottom w:val="none" w:sz="0" w:space="0" w:color="auto"/>
            <w:right w:val="none" w:sz="0" w:space="0" w:color="auto"/>
          </w:divBdr>
        </w:div>
        <w:div w:id="398947565">
          <w:marLeft w:val="0"/>
          <w:marRight w:val="0"/>
          <w:marTop w:val="0"/>
          <w:marBottom w:val="0"/>
          <w:divBdr>
            <w:top w:val="none" w:sz="0" w:space="0" w:color="auto"/>
            <w:left w:val="none" w:sz="0" w:space="0" w:color="auto"/>
            <w:bottom w:val="none" w:sz="0" w:space="0" w:color="auto"/>
            <w:right w:val="none" w:sz="0" w:space="0" w:color="auto"/>
          </w:divBdr>
        </w:div>
        <w:div w:id="1414544137">
          <w:marLeft w:val="0"/>
          <w:marRight w:val="0"/>
          <w:marTop w:val="0"/>
          <w:marBottom w:val="0"/>
          <w:divBdr>
            <w:top w:val="none" w:sz="0" w:space="0" w:color="auto"/>
            <w:left w:val="none" w:sz="0" w:space="0" w:color="auto"/>
            <w:bottom w:val="none" w:sz="0" w:space="0" w:color="auto"/>
            <w:right w:val="none" w:sz="0" w:space="0" w:color="auto"/>
          </w:divBdr>
        </w:div>
        <w:div w:id="1391685816">
          <w:marLeft w:val="0"/>
          <w:marRight w:val="0"/>
          <w:marTop w:val="0"/>
          <w:marBottom w:val="0"/>
          <w:divBdr>
            <w:top w:val="none" w:sz="0" w:space="0" w:color="auto"/>
            <w:left w:val="none" w:sz="0" w:space="0" w:color="auto"/>
            <w:bottom w:val="none" w:sz="0" w:space="0" w:color="auto"/>
            <w:right w:val="none" w:sz="0" w:space="0" w:color="auto"/>
          </w:divBdr>
        </w:div>
        <w:div w:id="1499271199">
          <w:marLeft w:val="0"/>
          <w:marRight w:val="0"/>
          <w:marTop w:val="0"/>
          <w:marBottom w:val="0"/>
          <w:divBdr>
            <w:top w:val="none" w:sz="0" w:space="0" w:color="auto"/>
            <w:left w:val="none" w:sz="0" w:space="0" w:color="auto"/>
            <w:bottom w:val="none" w:sz="0" w:space="0" w:color="auto"/>
            <w:right w:val="none" w:sz="0" w:space="0" w:color="auto"/>
          </w:divBdr>
        </w:div>
        <w:div w:id="2080055489">
          <w:marLeft w:val="0"/>
          <w:marRight w:val="0"/>
          <w:marTop w:val="0"/>
          <w:marBottom w:val="0"/>
          <w:divBdr>
            <w:top w:val="none" w:sz="0" w:space="0" w:color="auto"/>
            <w:left w:val="none" w:sz="0" w:space="0" w:color="auto"/>
            <w:bottom w:val="none" w:sz="0" w:space="0" w:color="auto"/>
            <w:right w:val="none" w:sz="0" w:space="0" w:color="auto"/>
          </w:divBdr>
        </w:div>
        <w:div w:id="306714214">
          <w:marLeft w:val="0"/>
          <w:marRight w:val="0"/>
          <w:marTop w:val="0"/>
          <w:marBottom w:val="0"/>
          <w:divBdr>
            <w:top w:val="none" w:sz="0" w:space="0" w:color="auto"/>
            <w:left w:val="none" w:sz="0" w:space="0" w:color="auto"/>
            <w:bottom w:val="none" w:sz="0" w:space="0" w:color="auto"/>
            <w:right w:val="none" w:sz="0" w:space="0" w:color="auto"/>
          </w:divBdr>
        </w:div>
        <w:div w:id="1176532155">
          <w:marLeft w:val="0"/>
          <w:marRight w:val="0"/>
          <w:marTop w:val="0"/>
          <w:marBottom w:val="0"/>
          <w:divBdr>
            <w:top w:val="none" w:sz="0" w:space="0" w:color="auto"/>
            <w:left w:val="none" w:sz="0" w:space="0" w:color="auto"/>
            <w:bottom w:val="none" w:sz="0" w:space="0" w:color="auto"/>
            <w:right w:val="none" w:sz="0" w:space="0" w:color="auto"/>
          </w:divBdr>
        </w:div>
        <w:div w:id="1463110104">
          <w:marLeft w:val="0"/>
          <w:marRight w:val="0"/>
          <w:marTop w:val="0"/>
          <w:marBottom w:val="0"/>
          <w:divBdr>
            <w:top w:val="none" w:sz="0" w:space="0" w:color="auto"/>
            <w:left w:val="none" w:sz="0" w:space="0" w:color="auto"/>
            <w:bottom w:val="none" w:sz="0" w:space="0" w:color="auto"/>
            <w:right w:val="none" w:sz="0" w:space="0" w:color="auto"/>
          </w:divBdr>
        </w:div>
        <w:div w:id="1591434">
          <w:marLeft w:val="0"/>
          <w:marRight w:val="0"/>
          <w:marTop w:val="0"/>
          <w:marBottom w:val="0"/>
          <w:divBdr>
            <w:top w:val="none" w:sz="0" w:space="0" w:color="auto"/>
            <w:left w:val="none" w:sz="0" w:space="0" w:color="auto"/>
            <w:bottom w:val="none" w:sz="0" w:space="0" w:color="auto"/>
            <w:right w:val="none" w:sz="0" w:space="0" w:color="auto"/>
          </w:divBdr>
        </w:div>
      </w:divsChild>
    </w:div>
    <w:div w:id="1972636127">
      <w:bodyDiv w:val="1"/>
      <w:marLeft w:val="0"/>
      <w:marRight w:val="0"/>
      <w:marTop w:val="0"/>
      <w:marBottom w:val="0"/>
      <w:divBdr>
        <w:top w:val="none" w:sz="0" w:space="0" w:color="auto"/>
        <w:left w:val="none" w:sz="0" w:space="0" w:color="auto"/>
        <w:bottom w:val="none" w:sz="0" w:space="0" w:color="auto"/>
        <w:right w:val="none" w:sz="0" w:space="0" w:color="auto"/>
      </w:divBdr>
    </w:div>
    <w:div w:id="2040542575">
      <w:bodyDiv w:val="1"/>
      <w:marLeft w:val="0"/>
      <w:marRight w:val="0"/>
      <w:marTop w:val="0"/>
      <w:marBottom w:val="0"/>
      <w:divBdr>
        <w:top w:val="none" w:sz="0" w:space="0" w:color="auto"/>
        <w:left w:val="none" w:sz="0" w:space="0" w:color="auto"/>
        <w:bottom w:val="none" w:sz="0" w:space="0" w:color="auto"/>
        <w:right w:val="none" w:sz="0" w:space="0" w:color="auto"/>
      </w:divBdr>
      <w:divsChild>
        <w:div w:id="188418259">
          <w:marLeft w:val="187"/>
          <w:marRight w:val="0"/>
          <w:marTop w:val="0"/>
          <w:marBottom w:val="0"/>
          <w:divBdr>
            <w:top w:val="none" w:sz="0" w:space="0" w:color="auto"/>
            <w:left w:val="none" w:sz="0" w:space="0" w:color="auto"/>
            <w:bottom w:val="none" w:sz="0" w:space="0" w:color="auto"/>
            <w:right w:val="none" w:sz="0" w:space="0" w:color="auto"/>
          </w:divBdr>
        </w:div>
        <w:div w:id="1314063371">
          <w:marLeft w:val="187"/>
          <w:marRight w:val="0"/>
          <w:marTop w:val="0"/>
          <w:marBottom w:val="0"/>
          <w:divBdr>
            <w:top w:val="none" w:sz="0" w:space="0" w:color="auto"/>
            <w:left w:val="none" w:sz="0" w:space="0" w:color="auto"/>
            <w:bottom w:val="none" w:sz="0" w:space="0" w:color="auto"/>
            <w:right w:val="none" w:sz="0" w:space="0" w:color="auto"/>
          </w:divBdr>
        </w:div>
        <w:div w:id="1754274530">
          <w:marLeft w:val="187"/>
          <w:marRight w:val="0"/>
          <w:marTop w:val="0"/>
          <w:marBottom w:val="0"/>
          <w:divBdr>
            <w:top w:val="none" w:sz="0" w:space="0" w:color="auto"/>
            <w:left w:val="none" w:sz="0" w:space="0" w:color="auto"/>
            <w:bottom w:val="none" w:sz="0" w:space="0" w:color="auto"/>
            <w:right w:val="none" w:sz="0" w:space="0" w:color="auto"/>
          </w:divBdr>
        </w:div>
        <w:div w:id="1275017602">
          <w:marLeft w:val="187"/>
          <w:marRight w:val="0"/>
          <w:marTop w:val="0"/>
          <w:marBottom w:val="0"/>
          <w:divBdr>
            <w:top w:val="none" w:sz="0" w:space="0" w:color="auto"/>
            <w:left w:val="none" w:sz="0" w:space="0" w:color="auto"/>
            <w:bottom w:val="none" w:sz="0" w:space="0" w:color="auto"/>
            <w:right w:val="none" w:sz="0" w:space="0" w:color="auto"/>
          </w:divBdr>
        </w:div>
        <w:div w:id="990016597">
          <w:marLeft w:val="187"/>
          <w:marRight w:val="0"/>
          <w:marTop w:val="0"/>
          <w:marBottom w:val="0"/>
          <w:divBdr>
            <w:top w:val="none" w:sz="0" w:space="0" w:color="auto"/>
            <w:left w:val="none" w:sz="0" w:space="0" w:color="auto"/>
            <w:bottom w:val="none" w:sz="0" w:space="0" w:color="auto"/>
            <w:right w:val="none" w:sz="0" w:space="0" w:color="auto"/>
          </w:divBdr>
        </w:div>
        <w:div w:id="819267157">
          <w:marLeft w:val="187"/>
          <w:marRight w:val="0"/>
          <w:marTop w:val="0"/>
          <w:marBottom w:val="0"/>
          <w:divBdr>
            <w:top w:val="none" w:sz="0" w:space="0" w:color="auto"/>
            <w:left w:val="none" w:sz="0" w:space="0" w:color="auto"/>
            <w:bottom w:val="none" w:sz="0" w:space="0" w:color="auto"/>
            <w:right w:val="none" w:sz="0" w:space="0" w:color="auto"/>
          </w:divBdr>
        </w:div>
        <w:div w:id="782774045">
          <w:marLeft w:val="187"/>
          <w:marRight w:val="0"/>
          <w:marTop w:val="0"/>
          <w:marBottom w:val="0"/>
          <w:divBdr>
            <w:top w:val="none" w:sz="0" w:space="0" w:color="auto"/>
            <w:left w:val="none" w:sz="0" w:space="0" w:color="auto"/>
            <w:bottom w:val="none" w:sz="0" w:space="0" w:color="auto"/>
            <w:right w:val="none" w:sz="0" w:space="0" w:color="auto"/>
          </w:divBdr>
        </w:div>
      </w:divsChild>
    </w:div>
    <w:div w:id="2076126456">
      <w:bodyDiv w:val="1"/>
      <w:marLeft w:val="0"/>
      <w:marRight w:val="0"/>
      <w:marTop w:val="0"/>
      <w:marBottom w:val="0"/>
      <w:divBdr>
        <w:top w:val="none" w:sz="0" w:space="0" w:color="auto"/>
        <w:left w:val="none" w:sz="0" w:space="0" w:color="auto"/>
        <w:bottom w:val="none" w:sz="0" w:space="0" w:color="auto"/>
        <w:right w:val="none" w:sz="0" w:space="0" w:color="auto"/>
      </w:divBdr>
      <w:divsChild>
        <w:div w:id="666514194">
          <w:marLeft w:val="302"/>
          <w:marRight w:val="0"/>
          <w:marTop w:val="0"/>
          <w:marBottom w:val="0"/>
          <w:divBdr>
            <w:top w:val="none" w:sz="0" w:space="0" w:color="auto"/>
            <w:left w:val="none" w:sz="0" w:space="0" w:color="auto"/>
            <w:bottom w:val="none" w:sz="0" w:space="0" w:color="auto"/>
            <w:right w:val="none" w:sz="0" w:space="0" w:color="auto"/>
          </w:divBdr>
        </w:div>
        <w:div w:id="1429497429">
          <w:marLeft w:val="302"/>
          <w:marRight w:val="0"/>
          <w:marTop w:val="0"/>
          <w:marBottom w:val="0"/>
          <w:divBdr>
            <w:top w:val="none" w:sz="0" w:space="0" w:color="auto"/>
            <w:left w:val="none" w:sz="0" w:space="0" w:color="auto"/>
            <w:bottom w:val="none" w:sz="0" w:space="0" w:color="auto"/>
            <w:right w:val="none" w:sz="0" w:space="0" w:color="auto"/>
          </w:divBdr>
        </w:div>
        <w:div w:id="1364404023">
          <w:marLeft w:val="302"/>
          <w:marRight w:val="0"/>
          <w:marTop w:val="0"/>
          <w:marBottom w:val="0"/>
          <w:divBdr>
            <w:top w:val="none" w:sz="0" w:space="0" w:color="auto"/>
            <w:left w:val="none" w:sz="0" w:space="0" w:color="auto"/>
            <w:bottom w:val="none" w:sz="0" w:space="0" w:color="auto"/>
            <w:right w:val="none" w:sz="0" w:space="0" w:color="auto"/>
          </w:divBdr>
        </w:div>
        <w:div w:id="752825459">
          <w:marLeft w:val="302"/>
          <w:marRight w:val="0"/>
          <w:marTop w:val="0"/>
          <w:marBottom w:val="0"/>
          <w:divBdr>
            <w:top w:val="none" w:sz="0" w:space="0" w:color="auto"/>
            <w:left w:val="none" w:sz="0" w:space="0" w:color="auto"/>
            <w:bottom w:val="none" w:sz="0" w:space="0" w:color="auto"/>
            <w:right w:val="none" w:sz="0" w:space="0" w:color="auto"/>
          </w:divBdr>
        </w:div>
        <w:div w:id="949703859">
          <w:marLeft w:val="302"/>
          <w:marRight w:val="0"/>
          <w:marTop w:val="0"/>
          <w:marBottom w:val="0"/>
          <w:divBdr>
            <w:top w:val="none" w:sz="0" w:space="0" w:color="auto"/>
            <w:left w:val="none" w:sz="0" w:space="0" w:color="auto"/>
            <w:bottom w:val="none" w:sz="0" w:space="0" w:color="auto"/>
            <w:right w:val="none" w:sz="0" w:space="0" w:color="auto"/>
          </w:divBdr>
        </w:div>
        <w:div w:id="1884512566">
          <w:marLeft w:val="302"/>
          <w:marRight w:val="0"/>
          <w:marTop w:val="0"/>
          <w:marBottom w:val="0"/>
          <w:divBdr>
            <w:top w:val="none" w:sz="0" w:space="0" w:color="auto"/>
            <w:left w:val="none" w:sz="0" w:space="0" w:color="auto"/>
            <w:bottom w:val="none" w:sz="0" w:space="0" w:color="auto"/>
            <w:right w:val="none" w:sz="0" w:space="0" w:color="auto"/>
          </w:divBdr>
        </w:div>
      </w:divsChild>
    </w:div>
    <w:div w:id="209343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madij59@gmail.com" TargetMode="External"/><Relationship Id="rId13" Type="http://schemas.openxmlformats.org/officeDocument/2006/relationships/hyperlink" Target="https://doi.org/10.18280/ijsdp.180313" TargetMode="External"/><Relationship Id="rId18" Type="http://schemas.openxmlformats.org/officeDocument/2006/relationships/hyperlink" Target="https://doi.org/10.1007/s11104-022-0532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5772/intechopen.71449" TargetMode="External"/><Relationship Id="rId17" Type="http://schemas.openxmlformats.org/officeDocument/2006/relationships/hyperlink" Target="http://dx.doi.org/10.20961/carakatani.v38i2.72390" TargetMode="External"/><Relationship Id="rId2" Type="http://schemas.openxmlformats.org/officeDocument/2006/relationships/numbering" Target="numbering.xml"/><Relationship Id="rId16" Type="http://schemas.openxmlformats.org/officeDocument/2006/relationships/hyperlink" Target="https://doi.org/10.1515/opag-2022-01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o.uio.no/bitstream/handle/10852/30048/melliaxchristia.pdf?sequence=1&amp;isAllowed=y" TargetMode="External"/><Relationship Id="rId5" Type="http://schemas.openxmlformats.org/officeDocument/2006/relationships/webSettings" Target="webSettings.xml"/><Relationship Id="rId15" Type="http://schemas.openxmlformats.org/officeDocument/2006/relationships/hyperlink" Target="https://gbank.gsj.jp/ld/resource/geolis/200301135"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3390/toxics11100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476C3-0DEE-4A74-A05B-E682FCC0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7056</Words>
  <Characters>40221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Khalil -</dc:creator>
  <cp:lastModifiedBy>Microsoft account</cp:lastModifiedBy>
  <cp:revision>4</cp:revision>
  <cp:lastPrinted>2024-11-01T01:19:00Z</cp:lastPrinted>
  <dcterms:created xsi:type="dcterms:W3CDTF">2025-01-05T09:59:00Z</dcterms:created>
  <dcterms:modified xsi:type="dcterms:W3CDTF">2025-01-06T07:36:00Z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e1e15aa915ab2a2c102d89b7a20aa67242cfe18065fd5d5c35b6a3be09b28cd8</vt:lpwstr>
  </property>
</Properties>
</file>