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264" w:type="dxa"/>
        <w:tblInd w:w="-25" w:type="dxa"/>
        <w:tblCellMar>
          <w:left w:w="93" w:type="dxa"/>
          <w:bottom w:w="2" w:type="dxa"/>
          <w:right w:w="115" w:type="dxa"/>
        </w:tblCellMar>
        <w:tblLook w:val="04A0" w:firstRow="1" w:lastRow="0" w:firstColumn="1" w:lastColumn="0" w:noHBand="0" w:noVBand="1"/>
      </w:tblPr>
      <w:tblGrid>
        <w:gridCol w:w="2241"/>
        <w:gridCol w:w="8023"/>
      </w:tblGrid>
      <w:tr w:rsidR="009265A0" w14:paraId="13FBE18E" w14:textId="77777777">
        <w:trPr>
          <w:trHeight w:val="1365"/>
        </w:trPr>
        <w:tc>
          <w:tcPr>
            <w:tcW w:w="2241" w:type="dxa"/>
            <w:tcBorders>
              <w:top w:val="nil"/>
              <w:left w:val="nil"/>
              <w:bottom w:val="nil"/>
              <w:right w:val="nil"/>
            </w:tcBorders>
            <w:shd w:val="clear" w:color="auto" w:fill="D9D9D9"/>
            <w:vAlign w:val="bottom"/>
          </w:tcPr>
          <w:p w14:paraId="758A583C" w14:textId="77777777" w:rsidR="009265A0" w:rsidRDefault="0023382E" w:rsidP="00CE33F4">
            <w:pPr>
              <w:spacing w:after="0" w:line="240" w:lineRule="auto"/>
              <w:ind w:left="0" w:right="0" w:firstLine="0"/>
              <w:jc w:val="left"/>
            </w:pPr>
            <w:r>
              <w:rPr>
                <w:noProof/>
              </w:rPr>
              <w:drawing>
                <wp:inline distT="0" distB="0" distL="0" distR="0" wp14:anchorId="5DC7E3D1" wp14:editId="587BB4E5">
                  <wp:extent cx="542277" cy="641350"/>
                  <wp:effectExtent l="0" t="0" r="0" b="0"/>
                  <wp:docPr id="142" name="Picture 142"/>
                  <wp:cNvGraphicFramePr/>
                  <a:graphic xmlns:a="http://schemas.openxmlformats.org/drawingml/2006/main">
                    <a:graphicData uri="http://schemas.openxmlformats.org/drawingml/2006/picture">
                      <pic:pic xmlns:pic="http://schemas.openxmlformats.org/drawingml/2006/picture">
                        <pic:nvPicPr>
                          <pic:cNvPr id="142" name="Picture 142"/>
                          <pic:cNvPicPr/>
                        </pic:nvPicPr>
                        <pic:blipFill>
                          <a:blip r:embed="rId8"/>
                          <a:stretch>
                            <a:fillRect/>
                          </a:stretch>
                        </pic:blipFill>
                        <pic:spPr>
                          <a:xfrm>
                            <a:off x="0" y="0"/>
                            <a:ext cx="542277" cy="641350"/>
                          </a:xfrm>
                          <a:prstGeom prst="rect">
                            <a:avLst/>
                          </a:prstGeom>
                        </pic:spPr>
                      </pic:pic>
                    </a:graphicData>
                  </a:graphic>
                </wp:inline>
              </w:drawing>
            </w:r>
            <w:hyperlink r:id="rId9">
              <w:r>
                <w:rPr>
                  <w:sz w:val="16"/>
                </w:rPr>
                <w:t xml:space="preserve"> </w:t>
              </w:r>
            </w:hyperlink>
          </w:p>
          <w:p w14:paraId="5767FF5D" w14:textId="77777777" w:rsidR="009265A0" w:rsidRDefault="00A65359" w:rsidP="00CE33F4">
            <w:pPr>
              <w:spacing w:after="6" w:line="240" w:lineRule="auto"/>
              <w:ind w:left="88" w:right="0" w:firstLine="0"/>
              <w:jc w:val="left"/>
            </w:pPr>
            <w:hyperlink r:id="rId10">
              <w:r w:rsidR="0023382E">
                <w:rPr>
                  <w:rFonts w:ascii="Calibri" w:eastAsia="Calibri" w:hAnsi="Calibri" w:cs="Calibri"/>
                  <w:color w:val="0563C1"/>
                  <w:sz w:val="12"/>
                </w:rPr>
                <w:t>2301</w:t>
              </w:r>
            </w:hyperlink>
            <w:hyperlink r:id="rId11">
              <w:r w:rsidR="0023382E">
                <w:rPr>
                  <w:rFonts w:ascii="Calibri" w:eastAsia="Calibri" w:hAnsi="Calibri" w:cs="Calibri"/>
                  <w:color w:val="0563C1"/>
                  <w:sz w:val="12"/>
                </w:rPr>
                <w:t>-</w:t>
              </w:r>
            </w:hyperlink>
            <w:hyperlink r:id="rId12">
              <w:r w:rsidR="0023382E">
                <w:rPr>
                  <w:rFonts w:ascii="Calibri" w:eastAsia="Calibri" w:hAnsi="Calibri" w:cs="Calibri"/>
                  <w:color w:val="0563C1"/>
                  <w:sz w:val="12"/>
                </w:rPr>
                <w:t>9069 (e)</w:t>
              </w:r>
            </w:hyperlink>
            <w:hyperlink r:id="rId13">
              <w:r w:rsidR="0023382E">
                <w:rPr>
                  <w:rFonts w:ascii="Calibri" w:eastAsia="Calibri" w:hAnsi="Calibri" w:cs="Calibri"/>
                  <w:sz w:val="12"/>
                </w:rPr>
                <w:t xml:space="preserve">  </w:t>
              </w:r>
            </w:hyperlink>
          </w:p>
          <w:p w14:paraId="4BBC7F81" w14:textId="77777777" w:rsidR="009265A0" w:rsidRDefault="00A65359" w:rsidP="00CE33F4">
            <w:pPr>
              <w:spacing w:after="0" w:line="240" w:lineRule="auto"/>
              <w:ind w:left="83" w:right="0" w:firstLine="0"/>
              <w:jc w:val="left"/>
            </w:pPr>
            <w:hyperlink r:id="rId14">
              <w:r w:rsidR="0023382E">
                <w:rPr>
                  <w:rFonts w:ascii="Calibri" w:eastAsia="Calibri" w:hAnsi="Calibri" w:cs="Calibri"/>
                  <w:color w:val="0563C1"/>
                  <w:sz w:val="12"/>
                </w:rPr>
                <w:t>1829</w:t>
              </w:r>
            </w:hyperlink>
            <w:hyperlink r:id="rId15">
              <w:r w:rsidR="0023382E">
                <w:rPr>
                  <w:rFonts w:ascii="Calibri" w:eastAsia="Calibri" w:hAnsi="Calibri" w:cs="Calibri"/>
                  <w:color w:val="0563C1"/>
                  <w:sz w:val="12"/>
                </w:rPr>
                <w:t>-</w:t>
              </w:r>
            </w:hyperlink>
            <w:hyperlink r:id="rId16">
              <w:r w:rsidR="0023382E">
                <w:rPr>
                  <w:rFonts w:ascii="Calibri" w:eastAsia="Calibri" w:hAnsi="Calibri" w:cs="Calibri"/>
                  <w:color w:val="0563C1"/>
                  <w:sz w:val="12"/>
                </w:rPr>
                <w:t>8370 (p)</w:t>
              </w:r>
            </w:hyperlink>
            <w:hyperlink r:id="rId17">
              <w:r w:rsidR="0023382E">
                <w:rPr>
                  <w:rFonts w:ascii="Calibri" w:eastAsia="Calibri" w:hAnsi="Calibri" w:cs="Calibri"/>
                  <w:b/>
                  <w:sz w:val="14"/>
                </w:rPr>
                <w:t xml:space="preserve"> </w:t>
              </w:r>
            </w:hyperlink>
          </w:p>
        </w:tc>
        <w:tc>
          <w:tcPr>
            <w:tcW w:w="8023" w:type="dxa"/>
            <w:tcBorders>
              <w:top w:val="nil"/>
              <w:left w:val="nil"/>
              <w:bottom w:val="nil"/>
              <w:right w:val="nil"/>
            </w:tcBorders>
            <w:shd w:val="clear" w:color="auto" w:fill="D9D9D9"/>
            <w:vAlign w:val="bottom"/>
          </w:tcPr>
          <w:p w14:paraId="19746736" w14:textId="77777777" w:rsidR="009265A0" w:rsidRDefault="0023382E" w:rsidP="00CE33F4">
            <w:pPr>
              <w:spacing w:after="0" w:line="240" w:lineRule="auto"/>
              <w:ind w:left="2349" w:right="0" w:firstLine="0"/>
              <w:jc w:val="left"/>
            </w:pPr>
            <w:r>
              <w:rPr>
                <w:rFonts w:ascii="Bookman Old Style" w:eastAsia="Bookman Old Style" w:hAnsi="Bookman Old Style" w:cs="Bookman Old Style"/>
                <w:b/>
                <w:i/>
                <w:color w:val="000080"/>
                <w:sz w:val="58"/>
              </w:rPr>
              <w:t>KAPAL</w:t>
            </w:r>
            <w:r>
              <w:rPr>
                <w:rFonts w:ascii="Bookman Old Style" w:eastAsia="Bookman Old Style" w:hAnsi="Bookman Old Style" w:cs="Bookman Old Style"/>
                <w:b/>
                <w:i/>
                <w:sz w:val="50"/>
              </w:rPr>
              <w:t xml:space="preserve"> </w:t>
            </w:r>
          </w:p>
          <w:p w14:paraId="21A832F3" w14:textId="77777777" w:rsidR="009265A0" w:rsidRDefault="0023382E" w:rsidP="00CE33F4">
            <w:pPr>
              <w:spacing w:after="0" w:line="240" w:lineRule="auto"/>
              <w:ind w:left="938" w:right="0" w:firstLine="0"/>
              <w:jc w:val="left"/>
            </w:pPr>
            <w:r>
              <w:rPr>
                <w:rFonts w:ascii="Calibri" w:eastAsia="Calibri" w:hAnsi="Calibri" w:cs="Calibri"/>
              </w:rPr>
              <w:t>Jurnal Ilmu Pengetahuan dan Teknologi Kelautan</w:t>
            </w:r>
            <w:r>
              <w:rPr>
                <w:rFonts w:ascii="Calibri" w:eastAsia="Calibri" w:hAnsi="Calibri" w:cs="Calibri"/>
                <w:sz w:val="30"/>
              </w:rPr>
              <w:t xml:space="preserve"> </w:t>
            </w:r>
          </w:p>
          <w:p w14:paraId="4CB74DD2" w14:textId="77777777" w:rsidR="009265A0" w:rsidRDefault="0023382E" w:rsidP="00CE33F4">
            <w:pPr>
              <w:spacing w:after="0" w:line="240" w:lineRule="auto"/>
              <w:ind w:left="3364" w:right="0" w:firstLine="0"/>
              <w:jc w:val="left"/>
            </w:pPr>
            <w:r>
              <w:rPr>
                <w:rFonts w:ascii="Calibri" w:eastAsia="Calibri" w:hAnsi="Calibri" w:cs="Calibri"/>
                <w:sz w:val="16"/>
              </w:rPr>
              <w:t xml:space="preserve"> </w:t>
            </w:r>
          </w:p>
          <w:p w14:paraId="2F315E50" w14:textId="77777777" w:rsidR="009265A0" w:rsidRDefault="0023382E" w:rsidP="00CE33F4">
            <w:pPr>
              <w:spacing w:after="0" w:line="240" w:lineRule="auto"/>
              <w:ind w:left="1283" w:right="0" w:firstLine="0"/>
              <w:jc w:val="left"/>
            </w:pPr>
            <w:r>
              <w:rPr>
                <w:rFonts w:ascii="Calibri" w:eastAsia="Calibri" w:hAnsi="Calibri" w:cs="Calibri"/>
                <w:sz w:val="16"/>
              </w:rPr>
              <w:t xml:space="preserve">journal homepage </w:t>
            </w:r>
            <w:hyperlink r:id="rId18">
              <w:r>
                <w:rPr>
                  <w:rFonts w:ascii="Calibri" w:eastAsia="Calibri" w:hAnsi="Calibri" w:cs="Calibri"/>
                  <w:sz w:val="16"/>
                </w:rPr>
                <w:t xml:space="preserve">: </w:t>
              </w:r>
            </w:hyperlink>
            <w:hyperlink r:id="rId19">
              <w:r>
                <w:rPr>
                  <w:rFonts w:ascii="Calibri" w:eastAsia="Calibri" w:hAnsi="Calibri" w:cs="Calibri"/>
                  <w:color w:val="0563C1"/>
                  <w:sz w:val="16"/>
                </w:rPr>
                <w:t>http://ejournal.undip.ac.id/index.php/kapal</w:t>
              </w:r>
            </w:hyperlink>
            <w:hyperlink r:id="rId20">
              <w:r>
                <w:rPr>
                  <w:rFonts w:ascii="Calibri" w:eastAsia="Calibri" w:hAnsi="Calibri" w:cs="Calibri"/>
                  <w:sz w:val="12"/>
                </w:rPr>
                <w:t xml:space="preserve"> </w:t>
              </w:r>
            </w:hyperlink>
          </w:p>
        </w:tc>
      </w:tr>
    </w:tbl>
    <w:p w14:paraId="4108CACB" w14:textId="77777777" w:rsidR="009265A0" w:rsidRDefault="0023382E" w:rsidP="00CE33F4">
      <w:pPr>
        <w:spacing w:after="0" w:line="240" w:lineRule="auto"/>
        <w:ind w:left="40" w:right="0" w:firstLine="0"/>
        <w:jc w:val="center"/>
      </w:pPr>
      <w:r>
        <w:rPr>
          <w:rFonts w:ascii="Calibri" w:eastAsia="Calibri" w:hAnsi="Calibri" w:cs="Calibri"/>
          <w:color w:val="000080"/>
          <w:sz w:val="20"/>
        </w:rPr>
        <w:t xml:space="preserve"> </w:t>
      </w:r>
    </w:p>
    <w:p w14:paraId="0958AF28" w14:textId="77777777" w:rsidR="009265A0" w:rsidRDefault="0023382E" w:rsidP="00CE33F4">
      <w:pPr>
        <w:spacing w:after="40" w:line="240" w:lineRule="auto"/>
        <w:ind w:left="-40" w:right="-30" w:firstLine="0"/>
        <w:jc w:val="left"/>
      </w:pPr>
      <w:r>
        <w:rPr>
          <w:rFonts w:ascii="Calibri" w:eastAsia="Calibri" w:hAnsi="Calibri" w:cs="Calibri"/>
          <w:noProof/>
          <w:sz w:val="22"/>
        </w:rPr>
        <mc:AlternateContent>
          <mc:Choice Requires="wpg">
            <w:drawing>
              <wp:inline distT="0" distB="0" distL="0" distR="0" wp14:anchorId="1CD7AB95" wp14:editId="18DE264F">
                <wp:extent cx="6527165" cy="38418"/>
                <wp:effectExtent l="0" t="0" r="0" b="0"/>
                <wp:docPr id="3473" name="Group 3473"/>
                <wp:cNvGraphicFramePr/>
                <a:graphic xmlns:a="http://schemas.openxmlformats.org/drawingml/2006/main">
                  <a:graphicData uri="http://schemas.microsoft.com/office/word/2010/wordprocessingGroup">
                    <wpg:wgp>
                      <wpg:cNvGrpSpPr/>
                      <wpg:grpSpPr>
                        <a:xfrm>
                          <a:off x="0" y="0"/>
                          <a:ext cx="6527165" cy="38418"/>
                          <a:chOff x="0" y="0"/>
                          <a:chExt cx="6527165" cy="38418"/>
                        </a:xfrm>
                      </wpg:grpSpPr>
                      <wps:wsp>
                        <wps:cNvPr id="3957" name="Shape 3957"/>
                        <wps:cNvSpPr/>
                        <wps:spPr>
                          <a:xfrm>
                            <a:off x="0" y="0"/>
                            <a:ext cx="6527165" cy="38418"/>
                          </a:xfrm>
                          <a:custGeom>
                            <a:avLst/>
                            <a:gdLst/>
                            <a:ahLst/>
                            <a:cxnLst/>
                            <a:rect l="0" t="0" r="0" b="0"/>
                            <a:pathLst>
                              <a:path w="6527165" h="38418">
                                <a:moveTo>
                                  <a:pt x="0" y="0"/>
                                </a:moveTo>
                                <a:lnTo>
                                  <a:pt x="6527165" y="0"/>
                                </a:lnTo>
                                <a:lnTo>
                                  <a:pt x="6527165" y="38418"/>
                                </a:lnTo>
                                <a:lnTo>
                                  <a:pt x="0" y="3841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a="http://schemas.openxmlformats.org/drawingml/2006/main">
            <w:pict>
              <v:group id="Group 3473" style="width:513.95pt;height:3.02502pt;mso-position-horizontal-relative:char;mso-position-vertical-relative:line" coordsize="65271,384">
                <v:shape id="Shape 3958" style="position:absolute;width:65271;height:384;left:0;top:0;" coordsize="6527165,38418" path="m0,0l6527165,0l6527165,38418l0,38418l0,0">
                  <v:stroke weight="0pt" endcap="flat" joinstyle="miter" miterlimit="10" on="false" color="#000000" opacity="0"/>
                  <v:fill on="true" color="#000000"/>
                </v:shape>
              </v:group>
            </w:pict>
          </mc:Fallback>
        </mc:AlternateContent>
      </w:r>
    </w:p>
    <w:p w14:paraId="2A444A1B" w14:textId="77777777" w:rsidR="009265A0" w:rsidRDefault="0023382E" w:rsidP="00CE33F4">
      <w:pPr>
        <w:spacing w:after="0" w:line="240" w:lineRule="auto"/>
        <w:ind w:left="0" w:right="0" w:firstLine="0"/>
        <w:jc w:val="left"/>
      </w:pPr>
      <w:r>
        <w:rPr>
          <w:rFonts w:ascii="Calibri" w:eastAsia="Calibri" w:hAnsi="Calibri" w:cs="Calibri"/>
          <w:sz w:val="20"/>
        </w:rPr>
        <w:t xml:space="preserve"> </w:t>
      </w:r>
    </w:p>
    <w:p w14:paraId="37DA09C8" w14:textId="6459EEFA" w:rsidR="004846C5" w:rsidRPr="004846C5" w:rsidRDefault="00056A46" w:rsidP="004846C5">
      <w:pPr>
        <w:rPr>
          <w:b/>
          <w:color w:val="000000" w:themeColor="text1"/>
          <w:sz w:val="32"/>
        </w:rPr>
      </w:pPr>
      <w:r w:rsidRPr="00056A46">
        <w:rPr>
          <w:b/>
          <w:color w:val="000000" w:themeColor="text1"/>
          <w:sz w:val="32"/>
        </w:rPr>
        <w:t xml:space="preserve">Numerical Investigation of the Effect of Biodiesel-Biogas Percentage on Performance Characters and </w:t>
      </w:r>
      <w:r w:rsidR="001337EA">
        <w:rPr>
          <w:b/>
          <w:color w:val="000000" w:themeColor="text1"/>
          <w:sz w:val="32"/>
        </w:rPr>
        <w:t xml:space="preserve">Dual Fuel Engine Emissions as </w:t>
      </w:r>
      <w:r>
        <w:rPr>
          <w:b/>
          <w:color w:val="000000" w:themeColor="text1"/>
          <w:sz w:val="32"/>
        </w:rPr>
        <w:t xml:space="preserve">Green Technology </w:t>
      </w:r>
      <w:r w:rsidR="001337EA">
        <w:rPr>
          <w:b/>
          <w:color w:val="000000" w:themeColor="text1"/>
          <w:sz w:val="32"/>
        </w:rPr>
        <w:t>on Ship</w:t>
      </w:r>
    </w:p>
    <w:p w14:paraId="3D935602" w14:textId="0737ADCC" w:rsidR="00081C82" w:rsidRPr="004846C5" w:rsidRDefault="004846C5" w:rsidP="00CE33F4">
      <w:pPr>
        <w:spacing w:after="20" w:line="240" w:lineRule="auto"/>
        <w:ind w:left="0" w:right="0" w:firstLine="0"/>
        <w:jc w:val="left"/>
        <w:rPr>
          <w:color w:val="000000" w:themeColor="text1"/>
        </w:rPr>
      </w:pPr>
      <w:r w:rsidRPr="004846C5">
        <w:rPr>
          <w:color w:val="000000" w:themeColor="text1"/>
        </w:rPr>
        <w:t>Betty Ariani</w:t>
      </w:r>
      <w:r w:rsidR="00081C82" w:rsidRPr="004846C5">
        <w:rPr>
          <w:color w:val="000000" w:themeColor="text1"/>
          <w:vertAlign w:val="superscript"/>
        </w:rPr>
        <w:t>1)*)</w:t>
      </w:r>
      <w:r w:rsidRPr="004846C5">
        <w:rPr>
          <w:color w:val="000000" w:themeColor="text1"/>
          <w:vertAlign w:val="superscript"/>
        </w:rPr>
        <w:t xml:space="preserve"> </w:t>
      </w:r>
      <w:r w:rsidRPr="004846C5">
        <w:rPr>
          <w:color w:val="000000" w:themeColor="text1"/>
        </w:rPr>
        <w:t>Dedy Wahyudi</w:t>
      </w:r>
      <w:r w:rsidR="00905D88">
        <w:rPr>
          <w:color w:val="000000" w:themeColor="text1"/>
          <w:vertAlign w:val="superscript"/>
        </w:rPr>
        <w:t>1)</w:t>
      </w:r>
      <w:r w:rsidRPr="004846C5">
        <w:rPr>
          <w:color w:val="000000" w:themeColor="text1"/>
        </w:rPr>
        <w:t xml:space="preserve"> </w:t>
      </w:r>
    </w:p>
    <w:p w14:paraId="5857726D" w14:textId="77777777" w:rsidR="00081C82" w:rsidRPr="004846C5" w:rsidRDefault="00081C82" w:rsidP="00CE33F4">
      <w:pPr>
        <w:spacing w:after="20" w:line="240" w:lineRule="auto"/>
        <w:ind w:left="0" w:right="0" w:firstLine="0"/>
        <w:jc w:val="left"/>
        <w:rPr>
          <w:color w:val="000000" w:themeColor="text1"/>
        </w:rPr>
      </w:pPr>
    </w:p>
    <w:p w14:paraId="2DCDA86C" w14:textId="669FEBA1" w:rsidR="00081C82" w:rsidRPr="004846C5" w:rsidRDefault="00081C82" w:rsidP="00CE33F4">
      <w:pPr>
        <w:spacing w:after="20" w:line="240" w:lineRule="auto"/>
        <w:ind w:left="0" w:right="0" w:firstLine="0"/>
        <w:jc w:val="left"/>
        <w:rPr>
          <w:color w:val="000000" w:themeColor="text1"/>
        </w:rPr>
      </w:pPr>
      <w:r w:rsidRPr="004846C5">
        <w:rPr>
          <w:color w:val="000000" w:themeColor="text1"/>
          <w:vertAlign w:val="superscript"/>
        </w:rPr>
        <w:t>1)</w:t>
      </w:r>
      <w:r w:rsidRPr="004846C5">
        <w:rPr>
          <w:color w:val="000000" w:themeColor="text1"/>
        </w:rPr>
        <w:t xml:space="preserve"> </w:t>
      </w:r>
      <w:r w:rsidR="004846C5" w:rsidRPr="004846C5">
        <w:rPr>
          <w:color w:val="000000" w:themeColor="text1"/>
        </w:rPr>
        <w:t xml:space="preserve">Naval Architecture, Technic Faculty, Universitas Muhammadiyah Surabaya </w:t>
      </w:r>
    </w:p>
    <w:p w14:paraId="45C3157E" w14:textId="77777777" w:rsidR="00081C82" w:rsidRPr="004846C5" w:rsidRDefault="00081C82" w:rsidP="00CE33F4">
      <w:pPr>
        <w:spacing w:after="20" w:line="240" w:lineRule="auto"/>
        <w:ind w:left="0" w:right="0" w:firstLine="0"/>
        <w:jc w:val="left"/>
        <w:rPr>
          <w:color w:val="000000" w:themeColor="text1"/>
        </w:rPr>
      </w:pPr>
      <w:r w:rsidRPr="004846C5">
        <w:rPr>
          <w:color w:val="000000" w:themeColor="text1"/>
          <w:vertAlign w:val="superscript"/>
        </w:rPr>
        <w:t>*)</w:t>
      </w:r>
      <w:r w:rsidR="0005760D" w:rsidRPr="004846C5">
        <w:rPr>
          <w:color w:val="000000" w:themeColor="text1"/>
        </w:rPr>
        <w:t xml:space="preserve"> Corresponding Author</w:t>
      </w:r>
    </w:p>
    <w:p w14:paraId="681C6FF1" w14:textId="77777777" w:rsidR="00601825" w:rsidRPr="00004C70" w:rsidRDefault="00601825" w:rsidP="00CE33F4">
      <w:pPr>
        <w:spacing w:after="20" w:line="240" w:lineRule="auto"/>
        <w:ind w:left="0" w:right="0" w:firstLine="0"/>
        <w:jc w:val="left"/>
        <w:rPr>
          <w:color w:val="FF0000"/>
        </w:rPr>
      </w:pPr>
    </w:p>
    <w:p w14:paraId="25FF6358" w14:textId="77777777" w:rsidR="009265A0" w:rsidRPr="001B7A85" w:rsidRDefault="0023382E" w:rsidP="00CE33F4">
      <w:pPr>
        <w:pStyle w:val="Heading1"/>
        <w:spacing w:line="240" w:lineRule="auto"/>
        <w:ind w:left="-5"/>
        <w:rPr>
          <w:color w:val="000000" w:themeColor="text1"/>
        </w:rPr>
      </w:pPr>
      <w:r w:rsidRPr="001B7A85">
        <w:rPr>
          <w:color w:val="000000" w:themeColor="text1"/>
        </w:rPr>
        <w:t xml:space="preserve">Abstract </w:t>
      </w:r>
    </w:p>
    <w:p w14:paraId="442E6391" w14:textId="77777777" w:rsidR="001B7A85" w:rsidRDefault="001B7A85" w:rsidP="001B7A85">
      <w:pPr>
        <w:spacing w:line="240" w:lineRule="auto"/>
        <w:ind w:left="0" w:right="0" w:firstLine="0"/>
        <w:rPr>
          <w:color w:val="000000" w:themeColor="text1"/>
          <w:szCs w:val="24"/>
        </w:rPr>
      </w:pPr>
    </w:p>
    <w:p w14:paraId="0F6C2157" w14:textId="598AA6B2" w:rsidR="00056A46" w:rsidRPr="001B7A85" w:rsidRDefault="00056A46" w:rsidP="001B7A85">
      <w:pPr>
        <w:spacing w:line="240" w:lineRule="auto"/>
        <w:ind w:left="0" w:right="0" w:firstLine="0"/>
        <w:rPr>
          <w:color w:val="000000" w:themeColor="text1"/>
          <w:szCs w:val="24"/>
        </w:rPr>
      </w:pPr>
      <w:r w:rsidRPr="00056A46">
        <w:rPr>
          <w:color w:val="000000" w:themeColor="text1"/>
          <w:szCs w:val="24"/>
        </w:rPr>
        <w:t xml:space="preserve">The discourse on the application of green technology in the maritime sector is an interesting agenda to implement. The development of the world of shipping transportation which continues to experience an increase in numbers and services creates new problems in terms of fuel supply and the resulting emissions. So that the development of innovation and technology for ship machinery should be directly related to fossil fuel substitution technology, operational efficiency technology, improving performance and reducing emissions from the engine itself to be achievements and targets. Good engine performance directly has an impact on increasing the operational efficiency of the ship and being a good carrying capacity in the environment with minimal emission levels. </w:t>
      </w:r>
      <w:r w:rsidR="001337EA">
        <w:rPr>
          <w:color w:val="000000" w:themeColor="text1"/>
          <w:szCs w:val="24"/>
        </w:rPr>
        <w:t>A d</w:t>
      </w:r>
      <w:r w:rsidRPr="00056A46">
        <w:rPr>
          <w:color w:val="000000" w:themeColor="text1"/>
          <w:szCs w:val="24"/>
        </w:rPr>
        <w:t>ual</w:t>
      </w:r>
      <w:r w:rsidR="001337EA">
        <w:rPr>
          <w:color w:val="000000" w:themeColor="text1"/>
          <w:szCs w:val="24"/>
        </w:rPr>
        <w:t>-</w:t>
      </w:r>
      <w:r w:rsidRPr="00056A46">
        <w:rPr>
          <w:color w:val="000000" w:themeColor="text1"/>
          <w:szCs w:val="24"/>
        </w:rPr>
        <w:t xml:space="preserve">fuel engine is one of the engine system concepts that has several advantages, such as simple and relatively easy modifications and the use of natural gas which tends to be cleaner. Biodiesel and biogas are examples of alternative fuels that are expected to </w:t>
      </w:r>
      <w:r w:rsidR="001D30BC">
        <w:rPr>
          <w:color w:val="000000" w:themeColor="text1"/>
          <w:szCs w:val="24"/>
        </w:rPr>
        <w:t xml:space="preserve">be promising solutions for marine </w:t>
      </w:r>
      <w:bookmarkStart w:id="0" w:name="_GoBack"/>
      <w:bookmarkEnd w:id="0"/>
      <w:r w:rsidRPr="00056A46">
        <w:rPr>
          <w:color w:val="000000" w:themeColor="text1"/>
          <w:szCs w:val="24"/>
        </w:rPr>
        <w:t>engineering. This research uses a numerical study on the application of dual fuel engin</w:t>
      </w:r>
      <w:r w:rsidR="005E651F">
        <w:rPr>
          <w:color w:val="000000" w:themeColor="text1"/>
          <w:szCs w:val="24"/>
        </w:rPr>
        <w:t>es, the percentage of biodiesel-</w:t>
      </w:r>
      <w:r w:rsidRPr="00056A46">
        <w:rPr>
          <w:color w:val="000000" w:themeColor="text1"/>
          <w:szCs w:val="24"/>
        </w:rPr>
        <w:t>biogas is carried out with variations of 50:50 and 25:75, at a constant engine speed of 2200 RPM. Simulations were carried out to see the results of how the engine performance, cylinder pressure, heat release rate and HC and NOx emissions were at a constant speed variati</w:t>
      </w:r>
      <w:r w:rsidR="009E4ABB">
        <w:rPr>
          <w:color w:val="000000" w:themeColor="text1"/>
          <w:szCs w:val="24"/>
        </w:rPr>
        <w:t xml:space="preserve">on of the fuel percentage test </w:t>
      </w:r>
      <w:r w:rsidRPr="00056A46">
        <w:rPr>
          <w:color w:val="000000" w:themeColor="text1"/>
          <w:szCs w:val="24"/>
        </w:rPr>
        <w:t>NOx emission decreased at a higher biogas percentage, for UHC it increased at a higher biogas percentage, it is possible to add oxygen intake through a turbocharger or supercharger as an auxiliary equipment.</w:t>
      </w:r>
    </w:p>
    <w:p w14:paraId="50F82313" w14:textId="77777777" w:rsidR="00A41ECC" w:rsidRPr="00004C70" w:rsidRDefault="00A41ECC" w:rsidP="00CE33F4">
      <w:pPr>
        <w:spacing w:after="17" w:line="240" w:lineRule="auto"/>
        <w:ind w:left="-5" w:right="0"/>
        <w:jc w:val="left"/>
        <w:rPr>
          <w:b/>
          <w:color w:val="FF0000"/>
        </w:rPr>
      </w:pPr>
    </w:p>
    <w:p w14:paraId="5A666C36" w14:textId="32DF3974" w:rsidR="009265A0" w:rsidRPr="005013C6" w:rsidRDefault="0023382E" w:rsidP="00CE33F4">
      <w:pPr>
        <w:spacing w:after="17" w:line="240" w:lineRule="auto"/>
        <w:ind w:left="-5" w:right="0"/>
        <w:jc w:val="left"/>
        <w:rPr>
          <w:color w:val="000000" w:themeColor="text1"/>
        </w:rPr>
      </w:pPr>
      <w:r w:rsidRPr="005013C6">
        <w:rPr>
          <w:b/>
          <w:color w:val="000000" w:themeColor="text1"/>
        </w:rPr>
        <w:t xml:space="preserve">Keywords: </w:t>
      </w:r>
      <w:r w:rsidR="00056A46" w:rsidRPr="00056A46">
        <w:rPr>
          <w:b/>
          <w:color w:val="000000" w:themeColor="text1"/>
        </w:rPr>
        <w:t>Alternative energy, green shipping, dual fuel, Biodiesel, Biogas, emissions</w:t>
      </w:r>
    </w:p>
    <w:p w14:paraId="26524B6E" w14:textId="77777777" w:rsidR="009265A0" w:rsidRPr="005013C6" w:rsidRDefault="009265A0" w:rsidP="00CE33F4">
      <w:pPr>
        <w:spacing w:after="20" w:line="240" w:lineRule="auto"/>
        <w:ind w:left="0" w:right="0" w:firstLine="0"/>
        <w:jc w:val="left"/>
        <w:rPr>
          <w:color w:val="000000" w:themeColor="text1"/>
        </w:rPr>
      </w:pPr>
    </w:p>
    <w:p w14:paraId="3E247F72" w14:textId="77777777" w:rsidR="00A60BE8" w:rsidRPr="005013C6" w:rsidRDefault="0023382E" w:rsidP="00CE33F4">
      <w:pPr>
        <w:pStyle w:val="Heading1"/>
        <w:spacing w:line="240" w:lineRule="auto"/>
        <w:ind w:left="-5"/>
        <w:rPr>
          <w:color w:val="000000" w:themeColor="text1"/>
        </w:rPr>
      </w:pPr>
      <w:r w:rsidRPr="005013C6">
        <w:rPr>
          <w:color w:val="000000" w:themeColor="text1"/>
        </w:rPr>
        <w:t xml:space="preserve">1. Introduction </w:t>
      </w:r>
    </w:p>
    <w:p w14:paraId="74B475D4" w14:textId="3F9B331A" w:rsidR="00056A46" w:rsidRDefault="00056A46" w:rsidP="00F71C60">
      <w:pPr>
        <w:spacing w:line="240" w:lineRule="auto"/>
        <w:ind w:right="0"/>
        <w:rPr>
          <w:color w:val="000000" w:themeColor="text1"/>
          <w:szCs w:val="24"/>
        </w:rPr>
      </w:pPr>
      <w:r w:rsidRPr="00056A46">
        <w:rPr>
          <w:color w:val="000000" w:themeColor="text1"/>
          <w:szCs w:val="24"/>
        </w:rPr>
        <w:t>The complexity of the problems that occur in the field of transportation, where the majority o</w:t>
      </w:r>
      <w:r w:rsidR="005E651F">
        <w:rPr>
          <w:color w:val="000000" w:themeColor="text1"/>
          <w:szCs w:val="24"/>
        </w:rPr>
        <w:t xml:space="preserve">f transportation both land, sea, </w:t>
      </w:r>
      <w:r w:rsidRPr="00056A46">
        <w:rPr>
          <w:color w:val="000000" w:themeColor="text1"/>
          <w:szCs w:val="24"/>
        </w:rPr>
        <w:t xml:space="preserve">and air are highly dependent on fossil fuels. In shipping transportation itself, this is the majority. The availability of fossil fuels that continues to run out is not proportional to their increasing use. In addition to the growing gap in demand and availability, another problem that arises is emissions that have local and global impacts. Data </w:t>
      </w:r>
      <w:r w:rsidR="00BA20C1">
        <w:rPr>
          <w:color w:val="000000" w:themeColor="text1"/>
          <w:szCs w:val="24"/>
        </w:rPr>
        <w:fldChar w:fldCharType="begin" w:fldLock="1"/>
      </w:r>
      <w:r w:rsidR="00BA20C1">
        <w:rPr>
          <w:color w:val="000000" w:themeColor="text1"/>
          <w:szCs w:val="24"/>
        </w:rPr>
        <w:instrText>ADDIN CSL_CITATION {"citationItems":[{"id":"ITEM-1","itemData":{"abstract":"he international community has committed to “hold the increase in global temperature below 2°C, and take action to meet this objective consistent with science and on the basis of equity” 1 . This technical report explores options available to the shipping sector in order to support strategic decisions consistent with this commitment. It is clear that the science of climate change places stringent emissions constraints on all sectors if the 2°C commitment is to be met. Fortunately, in the case of the shipping sector, there is a range of options for achieving significant decarbonisation within appropriate timeframes. Nevertheless, debate focused on how to support the sector in making a ‘Scharnow turn’ 2 to achieve step-change decarbonisation measures is low down the policy agenda in the UK, EU and across the globe. This report serves to raise the profile of shipping decarbonisation by highlighting key research outputs from the EPSRC- funded High Seas Project.","author":[{"dropping-particle":"","family":"Bows–Larkin","given":"A.","non-dropping-particle":"","parse-names":false,"suffix":""},{"dropping-particle":"","family":"Mander","given":"S.","non-dropping-particle":"","parse-names":false,"suffix":""},{"dropping-particle":"","family":"Gilbert","given":"P.","non-dropping-particle":"","parse-names":false,"suffix":""},{"dropping-particle":"","family":"Traut","given":"M.","non-dropping-particle":"","parse-names":false,"suffix":""},{"dropping-particle":"","family":"Walsh","given":"C.","non-dropping-particle":"","parse-names":false,"suffix":""},{"dropping-particle":"","family":"Anderson","given":"K.","non-dropping-particle":"","parse-names":false,"suffix":""}],"container-title":"Tyndall Centre for Climate Change Research","id":"ITEM-1","issued":{"date-parts":[["2014"]]},"title":"High Seas, High Stakes: High Seas Project Final Report","type":"article-journal"},"uris":["http://www.mendeley.com/documents/?uuid=882096ae-3b19-35f4-bcd1-78e9020ff10f"]}],"mendeley":{"formattedCitation":"(Bows–Larkin et al., 2014)","plainTextFormattedCitation":"(Bows–Larkin et al., 2014)","previouslyFormattedCitation":"(Bows–Larkin et al., 2014)"},"properties":{"noteIndex":0},"schema":"https://github.com/citation-style-language/schema/raw/master/csl-citation.json"}</w:instrText>
      </w:r>
      <w:r w:rsidR="00BA20C1">
        <w:rPr>
          <w:color w:val="000000" w:themeColor="text1"/>
          <w:szCs w:val="24"/>
        </w:rPr>
        <w:fldChar w:fldCharType="separate"/>
      </w:r>
      <w:r w:rsidR="00BA20C1" w:rsidRPr="00BA20C1">
        <w:rPr>
          <w:noProof/>
          <w:color w:val="000000" w:themeColor="text1"/>
          <w:szCs w:val="24"/>
        </w:rPr>
        <w:t>(Bows–Larkin et al., 2014)</w:t>
      </w:r>
      <w:r w:rsidR="00BA20C1">
        <w:rPr>
          <w:color w:val="000000" w:themeColor="text1"/>
          <w:szCs w:val="24"/>
        </w:rPr>
        <w:fldChar w:fldCharType="end"/>
      </w:r>
      <w:r w:rsidRPr="00056A46">
        <w:rPr>
          <w:color w:val="000000" w:themeColor="text1"/>
          <w:szCs w:val="24"/>
        </w:rPr>
        <w:t xml:space="preserve"> shows that shipping contributes 2% of emissions and will continue to increase as the fleet grows. Global warming and climate change are common problems that must be minimized immediately.</w:t>
      </w:r>
    </w:p>
    <w:p w14:paraId="4B74F310" w14:textId="7FB15A49" w:rsidR="009E4ABB" w:rsidRDefault="00427BD9" w:rsidP="007C7AE9">
      <w:pPr>
        <w:tabs>
          <w:tab w:val="left" w:pos="3686"/>
        </w:tabs>
        <w:spacing w:after="0" w:line="240" w:lineRule="auto"/>
        <w:ind w:left="0" w:right="0" w:firstLine="431"/>
        <w:rPr>
          <w:color w:val="000000" w:themeColor="text1"/>
          <w:szCs w:val="24"/>
        </w:rPr>
      </w:pPr>
      <w:r w:rsidRPr="00427BD9">
        <w:rPr>
          <w:color w:val="000000" w:themeColor="text1"/>
          <w:szCs w:val="24"/>
        </w:rPr>
        <w:t xml:space="preserve">In response to this, the regulations continue to be amended and enforced more and more strictly. Regulations are made internationally through IMO Annexes I – VI. Annex VI contains regulations related to the energy efficiency design index (EEDI), energy efficiency operational indicators, and ship energy efficiency management plan (SEEMP). it was implemented starting in 2011 and applied </w:t>
      </w:r>
      <w:r w:rsidRPr="00427BD9">
        <w:rPr>
          <w:color w:val="000000" w:themeColor="text1"/>
          <w:szCs w:val="24"/>
        </w:rPr>
        <w:lastRenderedPageBreak/>
        <w:t>to ships built-in 2013. The impact of the emergence of these various regulations various responses from the researchers to answer the challenges of energy availability for sea transportation as well as the challenges of tackling the emissions that occur so that the ship can be licensed because it has met the</w:t>
      </w:r>
      <w:r w:rsidR="007C7AE9">
        <w:rPr>
          <w:color w:val="000000" w:themeColor="text1"/>
          <w:szCs w:val="24"/>
        </w:rPr>
        <w:t xml:space="preserve"> required standards </w:t>
      </w:r>
      <w:r w:rsidR="007C7AE9">
        <w:rPr>
          <w:color w:val="000000" w:themeColor="text1"/>
          <w:szCs w:val="24"/>
        </w:rPr>
        <w:fldChar w:fldCharType="begin" w:fldLock="1"/>
      </w:r>
      <w:r w:rsidR="007C7AE9">
        <w:rPr>
          <w:color w:val="000000" w:themeColor="text1"/>
          <w:szCs w:val="24"/>
        </w:rPr>
        <w:instrText>ADDIN CSL_CITATION {"citationItems":[{"id":"ITEM-1","itemData":{"DOI":"10.4271/2011-01-2223","ISSN":"26883627","abstract":"Diesel Dual Fuel, DDF, is a concept which promises the possibility to utilize CNG/biogas in a compression ignition engine maintaining a high compression ratio, made possible by the high knock resistance of methane, and the resulting benefits in thermal efficiency associated with Diesel combustion. A series of tests has been carried out on a single cylinder lab engine, equipped with a modern common rail injection system supplying the diesel fuel and two gas injectors, placed in the intake runners. One feature of port injected Dual Fuel is that full diesel functionality is maintained, which is of great importance when bringing the dual fuel technology to market. The objective of the study was to characterize and investigate the potential for dual fuel combustion utilizing all degrees of freedom available in a modern diesel engine. Increased diesel pilot proved efficient at reducing NOx emissions at low λ. Advanced combustion phasing has the potential to extend the lean limit for operation. Stoichiometric operation using high levels of EGR is identified as a promising field in conjunction with raised inlet temperature. Copyright © 2011 SAE International.","author":[{"dropping-particle":"","family":"Königsson","given":"Fredrik","non-dropping-particle":"","parse-names":false,"suffix":""},{"dropping-particle":"","family":"Stalhammar","given":"Per","non-dropping-particle":"","parse-names":false,"suffix":""},{"dropping-particle":"","family":"Angstrom","given":"Hans Erik","non-dropping-particle":"","parse-names":false,"suffix":""}],"container-title":"SAE Technical Papers","id":"ITEM-1","issued":{"date-parts":[["2011"]]},"title":"Characterization and potential of dual fuel combustion in a modern diesel engine","type":"paper-conference"},"uris":["http://www.mendeley.com/documents/?uuid=2e3e5fa6-e2e3-4b88-8f87-791e872c4a2a"]}],"mendeley":{"formattedCitation":"(Königsson et al., 2011)","plainTextFormattedCitation":"(Königsson et al., 2011)","previouslyFormattedCitation":"(Königsson et al., 2011)"},"properties":{"noteIndex":0},"schema":"https://github.com/citation-style-language/schema/raw/master/csl-citation.json"}</w:instrText>
      </w:r>
      <w:r w:rsidR="007C7AE9">
        <w:rPr>
          <w:color w:val="000000" w:themeColor="text1"/>
          <w:szCs w:val="24"/>
        </w:rPr>
        <w:fldChar w:fldCharType="separate"/>
      </w:r>
      <w:r w:rsidR="007C7AE9" w:rsidRPr="007C7AE9">
        <w:rPr>
          <w:noProof/>
          <w:color w:val="000000" w:themeColor="text1"/>
          <w:szCs w:val="24"/>
        </w:rPr>
        <w:t>(Königsson et al., 2011)</w:t>
      </w:r>
      <w:r w:rsidR="007C7AE9">
        <w:rPr>
          <w:color w:val="000000" w:themeColor="text1"/>
          <w:szCs w:val="24"/>
        </w:rPr>
        <w:fldChar w:fldCharType="end"/>
      </w:r>
      <w:r w:rsidR="007C7AE9">
        <w:rPr>
          <w:color w:val="000000" w:themeColor="text1"/>
          <w:szCs w:val="24"/>
        </w:rPr>
        <w:t xml:space="preserve"> </w:t>
      </w:r>
    </w:p>
    <w:p w14:paraId="34111A33" w14:textId="700F4F9E" w:rsidR="009E4ABB" w:rsidRPr="005013C6" w:rsidRDefault="00427BD9" w:rsidP="00F71C60">
      <w:pPr>
        <w:spacing w:after="0" w:line="240" w:lineRule="auto"/>
        <w:ind w:left="0" w:right="0" w:firstLine="431"/>
        <w:rPr>
          <w:color w:val="000000" w:themeColor="text1"/>
          <w:szCs w:val="24"/>
        </w:rPr>
      </w:pPr>
      <w:r w:rsidRPr="00427BD9">
        <w:rPr>
          <w:color w:val="000000" w:themeColor="text1"/>
          <w:szCs w:val="24"/>
        </w:rPr>
        <w:t>A dual-fuel is one of the engine modification innovations on the diesel engine. By making slight modifications to the intake manifold with a conversion kit, natural gas can enter the combustion chamber along with the air. For ignition, it comes from the compression of biodiesel fuel that is spra</w:t>
      </w:r>
      <w:r w:rsidR="00F72778">
        <w:rPr>
          <w:color w:val="000000" w:themeColor="text1"/>
          <w:szCs w:val="24"/>
        </w:rPr>
        <w:t>yed into the combustion chamber.</w:t>
      </w:r>
      <w:r w:rsidRPr="00102129">
        <w:rPr>
          <w:color w:val="000000" w:themeColor="text1"/>
          <w:szCs w:val="24"/>
        </w:rPr>
        <w:t xml:space="preserve"> </w:t>
      </w:r>
      <w:r w:rsidRPr="00427BD9">
        <w:rPr>
          <w:color w:val="000000" w:themeColor="text1"/>
          <w:szCs w:val="24"/>
        </w:rPr>
        <w:t xml:space="preserve">The use of gas fuel, in this case, is biogas which is expected to reduce emissions because it is cleaner, while biodiesel is expected to be the driving force for the use of alternative energy that can replace the use of liquid fossil fuels for diesel engines </w:t>
      </w:r>
      <w:r w:rsidR="00BA20C1">
        <w:rPr>
          <w:color w:val="000000" w:themeColor="text1"/>
          <w:szCs w:val="24"/>
        </w:rPr>
        <w:fldChar w:fldCharType="begin" w:fldLock="1"/>
      </w:r>
      <w:r w:rsidR="003665F5">
        <w:rPr>
          <w:color w:val="000000" w:themeColor="text1"/>
          <w:szCs w:val="24"/>
        </w:rPr>
        <w:instrText>ADDIN CSL_CITATION {"citationItems":[{"id":"ITEM-1","itemData":{"DOI":"10.1016/j.rser.2016.11.249","ISSN":"18790690","abstract":"With the continuous growth of energy demand for the commercial transport sector, the market share of diesel vehicles is rising in several areas worldwide. Global demand for transport energy is therefore believed to be strongly skewed towards heavier fuels; particularly diesel. The strengthen emissions legislation is another issue facing the current generation of diesel engines; where there is an increasing concern with their high NOx and PM emissions. Dual-fuelling of diesel engines with natural gas (NG) stands as an attractive solution to reduce the dependence on diesel fuel and mitigate the harmful effects of diesel engines emissions. The main attractions of NG as a contributor to a more sustainable fuel market include its lower carbon content and relatively higher natural reserves, in addition to the renewable aspect of methane production from biogas. In dual-fuelling strategy, most of the engine power output is provided by the NG, while a pilot amount of diesel fuel is used as an ignition source for the NG-air mixture. While the concept is not new and it has been deliberated lengthily in the past two decades, several uncertainties still exist as relative to engine combustion, exhaust emissions, and practicality. The present contribution aims at critically reviewing part of the prevalent literature about NG-diesel dual-fuel engines; highlighting the concepts and challenges. Throughout this review, several topics are explored and evaluated based on research importance and maturity. The overview of these works indicates that research effort in this field could be broadly categorized into fuel delivery researches or charge composition studies; where each category is directly linked to either the NG or the pilot fuel. Following this, a roadmap for future research directions in the field is presented, to spot some potential topics for proceedings and continuation.","author":[{"dropping-particle":"","family":"Hegab","given":"Abdelrahman","non-dropping-particle":"","parse-names":false,"suffix":""},{"dropping-particle":"","family":"Rocca","given":"Antonino","non-dropping-particle":"La","parse-names":false,"suffix":""},{"dropping-particle":"","family":"Shayler","given":"Paul","non-dropping-particle":"","parse-names":false,"suffix":""}],"container-title":"Renewable and Sustainable Energy Reviews","id":"ITEM-1","issued":{"date-parts":[["2017"]]},"title":"Towards keeping diesel fuel supply and demand in balance: Dual-fuelling of diesel engines with natural gas","type":"article"},"uris":["http://www.mendeley.com/documents/?uuid=5072934b-a44a-4b0c-b41e-6fb457f225c6"]}],"mendeley":{"formattedCitation":"(Hegab et al., 2017)","plainTextFormattedCitation":"(Hegab et al., 2017)","previouslyFormattedCitation":"(Hegab et al., 2017)"},"properties":{"noteIndex":0},"schema":"https://github.com/citation-style-language/schema/raw/master/csl-citation.json"}</w:instrText>
      </w:r>
      <w:r w:rsidR="00BA20C1">
        <w:rPr>
          <w:color w:val="000000" w:themeColor="text1"/>
          <w:szCs w:val="24"/>
        </w:rPr>
        <w:fldChar w:fldCharType="separate"/>
      </w:r>
      <w:r w:rsidR="00BA20C1" w:rsidRPr="00BA20C1">
        <w:rPr>
          <w:noProof/>
          <w:color w:val="000000" w:themeColor="text1"/>
          <w:szCs w:val="24"/>
        </w:rPr>
        <w:t>(Hegab et al., 2017)</w:t>
      </w:r>
      <w:r w:rsidR="00BA20C1">
        <w:rPr>
          <w:color w:val="000000" w:themeColor="text1"/>
          <w:szCs w:val="24"/>
        </w:rPr>
        <w:fldChar w:fldCharType="end"/>
      </w:r>
      <w:r w:rsidR="003665F5">
        <w:rPr>
          <w:color w:val="000000" w:themeColor="text1"/>
          <w:szCs w:val="24"/>
        </w:rPr>
        <w:t xml:space="preserve"> </w:t>
      </w:r>
      <w:r w:rsidR="003665F5">
        <w:rPr>
          <w:color w:val="000000" w:themeColor="text1"/>
          <w:szCs w:val="24"/>
        </w:rPr>
        <w:fldChar w:fldCharType="begin" w:fldLock="1"/>
      </w:r>
      <w:r w:rsidR="003665F5">
        <w:rPr>
          <w:color w:val="000000" w:themeColor="text1"/>
          <w:szCs w:val="24"/>
        </w:rPr>
        <w:instrText>ADDIN CSL_CITATION {"citationItems":[{"id":"ITEM-1","itemData":{"DOI":"10.1016/j.energy.2013.09.022","ISSN":"03605442","abstract":"Dual-fuel gas-diesel engines present an environmentally attractive substitute for conventional diesel engines that operate with a finite resource petroleum fuel and emit large amount of harmful emissions. However, this engine configuration, in which the gaseous fuel is used as a primary fuel while the diesel fuel is used as an ignition source, suffers from lower thermal efficiency, slower burning rate, and higher CO (carbon monoxide) and HC (unburned hydrocarbon) emissions; particularly at part loads. Prolonged ignition delay and increased tendency to knock are other negative aspects of these engines. The addition of oxygen to the intake air, commonly known as oxygen-enrichment, is expected to partially resolve these problems. In the present experimental study, a single-cylinder DI (direct injection) diesel engine has been properly modified to run on dual-fuel mode with natural gas as a main fuel and diesel fuel as a pilot; with the ability to enrich the intake air with variable amounts of oxygen. Comparative results are given for both plain dual-fuel (without oxygen-enrichment), and dual-fuel with different percentages of oxygen-enrichment of the intake air, at different load conditions; revealing the effect of adding oxygen to the intake air on engine performance, emissions, and knock tendency. © 2013 Elsevier Ltd.","author":[{"dropping-particle":"","family":"Abdelaal","given":"Mohsen M.","non-dropping-particle":"","parse-names":false,"suffix":""},{"dropping-particle":"","family":"Rabee","given":"Basem A.","non-dropping-particle":"","parse-names":false,"suffix":""},{"dropping-particle":"","family":"Hegab","given":"Abdelrahman H.","non-dropping-particle":"","parse-names":false,"suffix":""}],"container-title":"Energy","id":"ITEM-1","issued":{"date-parts":[["2013"]]},"title":"Effect of adding oxygen to the intake air on a dual-fuel engine performance, emissions, and knock tendency","type":"article-journal"},"uris":["http://www.mendeley.com/documents/?uuid=defc6e5f-3894-4f6c-a4a2-ed461e0c3dd7"]}],"mendeley":{"formattedCitation":"(Abdelaal et al., 2013)","plainTextFormattedCitation":"(Abdelaal et al., 2013)","previouslyFormattedCitation":"(Abdelaal et al., 2013)"},"properties":{"noteIndex":0},"schema":"https://github.com/citation-style-language/schema/raw/master/csl-citation.json"}</w:instrText>
      </w:r>
      <w:r w:rsidR="003665F5">
        <w:rPr>
          <w:color w:val="000000" w:themeColor="text1"/>
          <w:szCs w:val="24"/>
        </w:rPr>
        <w:fldChar w:fldCharType="separate"/>
      </w:r>
      <w:r w:rsidR="003665F5" w:rsidRPr="003665F5">
        <w:rPr>
          <w:noProof/>
          <w:color w:val="000000" w:themeColor="text1"/>
          <w:szCs w:val="24"/>
        </w:rPr>
        <w:t>(Abdelaal et al., 2013)</w:t>
      </w:r>
      <w:r w:rsidR="003665F5">
        <w:rPr>
          <w:color w:val="000000" w:themeColor="text1"/>
          <w:szCs w:val="24"/>
        </w:rPr>
        <w:fldChar w:fldCharType="end"/>
      </w:r>
      <w:r w:rsidR="003665F5">
        <w:rPr>
          <w:color w:val="000000" w:themeColor="text1"/>
          <w:szCs w:val="24"/>
        </w:rPr>
        <w:fldChar w:fldCharType="begin" w:fldLock="1"/>
      </w:r>
      <w:r w:rsidR="003665F5">
        <w:rPr>
          <w:color w:val="000000" w:themeColor="text1"/>
          <w:szCs w:val="24"/>
        </w:rPr>
        <w:instrText>ADDIN CSL_CITATION {"citationItems":[{"id":"ITEM-1","itemData":{"DOI":"10.1063/1.5138258","ISBN":"9780735419346","ISSN":"15517616","abstract":"Development of marine engine technology is driven increasingly by strict emissions regulations. Dual fuel technology which uses natural gas as supporting fuel is a smart solution due to it is cleaner, cheaper and can reduces dependency on fossil fuel oil. However the phenomenon of methane slip is the biggest challenges on applications of diesel - natural gas dual fuel engine. A large amount of fuel with poor oxygen especially when engine on low load condition make some parts of methane were unburned, these uncompleted combustion raises methane slip. Meanwhile crevice or dead volume in the cylinder make gas trapped and come out as exhaust gas without participating on combustion. It is evident that being the same greenhouse gases the effect of methane slip is more dangerous than CO2 causing global warming and climate change. This research was carried out experimentally to find out how the natural gas injection time affected on the combustion performance and methane slip. On this study, three variation pulse width as injection timing of natural gas 260° BTDC, 230° BTDC and 214° BTDC were investigated to single cylinder diesel engine on constant speed 2000 rpm. The pressure of gas injection was taken fixed 3 bar, while the pilot injection timing was constant at 18 BTDC. From 30 cycles analyzed at each injection time, a significant relationship was found between optimizing the gas injection time and the gas duration to the methane slip value. Backing the injection time towards the closing of the intake valve with the right injection duration can reduce the value of methane slip. Although the 260° BTDC injection time in this research is optimal compared to the others due to the CNG wasted due to the duration of the injection that passes through the intake valve.","author":[{"dropping-particle":"","family":"Ariani","given":"Betty","non-dropping-particle":"","parse-names":false,"suffix":""},{"dropping-particle":"","family":"Ariana","given":"I. Made","non-dropping-particle":"","parse-names":false,"suffix":""},{"dropping-particle":"","family":"Fathallah","given":"M. Aguk","non-dropping-particle":"","parse-names":false,"suffix":""}],"container-title":"AIP Conference Proceedings","id":"ITEM-1","issued":{"date-parts":[["2019"]]},"title":"Effect of natural gas injection timing on combustion performance &amp; methane slip emission of diesel - NG dual fuel engine: An experimental study","type":"paper-conference"},"uris":["http://www.mendeley.com/documents/?uuid=a452153e-7a1e-4b37-b618-3415de7bd83e"]}],"mendeley":{"formattedCitation":"(Ariani et al., 2019)","plainTextFormattedCitation":"(Ariani et al., 2019)","previouslyFormattedCitation":"(Ariani et al., 2019)"},"properties":{"noteIndex":0},"schema":"https://github.com/citation-style-language/schema/raw/master/csl-citation.json"}</w:instrText>
      </w:r>
      <w:r w:rsidR="003665F5">
        <w:rPr>
          <w:color w:val="000000" w:themeColor="text1"/>
          <w:szCs w:val="24"/>
        </w:rPr>
        <w:fldChar w:fldCharType="separate"/>
      </w:r>
      <w:r w:rsidR="003665F5" w:rsidRPr="003665F5">
        <w:rPr>
          <w:noProof/>
          <w:color w:val="000000" w:themeColor="text1"/>
          <w:szCs w:val="24"/>
        </w:rPr>
        <w:t>(Ariani et al., 2019)</w:t>
      </w:r>
      <w:r w:rsidR="003665F5">
        <w:rPr>
          <w:color w:val="000000" w:themeColor="text1"/>
          <w:szCs w:val="24"/>
        </w:rPr>
        <w:fldChar w:fldCharType="end"/>
      </w:r>
      <w:r w:rsidR="003665F5">
        <w:rPr>
          <w:color w:val="000000" w:themeColor="text1"/>
          <w:szCs w:val="24"/>
        </w:rPr>
        <w:t>,</w:t>
      </w:r>
      <w:r w:rsidR="003665F5">
        <w:rPr>
          <w:color w:val="000000" w:themeColor="text1"/>
          <w:szCs w:val="24"/>
        </w:rPr>
        <w:fldChar w:fldCharType="begin" w:fldLock="1"/>
      </w:r>
      <w:r w:rsidR="003665F5">
        <w:rPr>
          <w:color w:val="000000" w:themeColor="text1"/>
          <w:szCs w:val="24"/>
        </w:rPr>
        <w:instrText>ADDIN CSL_CITATION {"citationItems":[{"id":"ITEM-1","itemData":{"DOI":"10.15866/ireme.v14i9.19821","ISSN":"25325655","abstract":"– Natural gas proposed to replace liquid fossil fuels in high-speed engines, which were considered a cleaner fuel, lower emissions, and more efficient. However, natural gas had several disadvantages. Natural gas was thought to cause abnormal combustion and methane slip phenomenon as the primary fuel in the dual-fuel engines. This experiment has investigated the natural gas injection on a dual-fuel engine. This study aims to minimize the appearance of abnormal combustion phenomena, such as knocking, misfiring, and pre-ignition, while reducing methane slip. Investigations were carried out to see how injection timing, duration, and natural gas intake pressure on combustion performance at low load. This study concluded that the injection timing should be reversed near the intake valve closure by adjusting the injection duration or reducing gas pressure. It affects to reduce the abnormal combustion and methane slip in low load. The injection timing effect was more dominant on combustion operations than the duration injection and intake gas pressure setting to reduce methane slip and avoid abnormal combustion in diesel – natural gas dual-fuel engine.","author":[{"dropping-particle":"","family":"Ariani","given":"Betty","non-dropping-particle":"","parse-names":false,"suffix":""},{"dropping-particle":"","family":"Ariana","given":"I. M.","non-dropping-particle":"","parse-names":false,"suffix":""},{"dropping-particle":"","family":"Fathallah","given":"Aguk Z.M.","non-dropping-particle":"","parse-names":false,"suffix":""}],"container-title":"International Review of Mechanical Engineering","id":"ITEM-1","issue":"9","issued":{"date-parts":[["2020"]]},"title":"Experimental investigation on natural gas injection to minimize abnormal combustion and methane slip in the diesel-natural gas dual fuel engine at low load","type":"article-journal","volume":"14"},"uris":["http://www.mendeley.com/documents/?uuid=583e1310-e209-38d3-9610-5d842c4a5b2e"]}],"mendeley":{"formattedCitation":"(Ariani et al., 2020)","plainTextFormattedCitation":"(Ariani et al., 2020)","previouslyFormattedCitation":"(Ariani et al., 2020)"},"properties":{"noteIndex":0},"schema":"https://github.com/citation-style-language/schema/raw/master/csl-citation.json"}</w:instrText>
      </w:r>
      <w:r w:rsidR="003665F5">
        <w:rPr>
          <w:color w:val="000000" w:themeColor="text1"/>
          <w:szCs w:val="24"/>
        </w:rPr>
        <w:fldChar w:fldCharType="separate"/>
      </w:r>
      <w:r w:rsidR="003665F5" w:rsidRPr="003665F5">
        <w:rPr>
          <w:noProof/>
          <w:color w:val="000000" w:themeColor="text1"/>
          <w:szCs w:val="24"/>
        </w:rPr>
        <w:t>(Ariani et al., 2020)</w:t>
      </w:r>
      <w:r w:rsidR="003665F5">
        <w:rPr>
          <w:color w:val="000000" w:themeColor="text1"/>
          <w:szCs w:val="24"/>
        </w:rPr>
        <w:fldChar w:fldCharType="end"/>
      </w:r>
      <w:r w:rsidR="007C7AE9">
        <w:rPr>
          <w:color w:val="000000" w:themeColor="text1"/>
          <w:szCs w:val="24"/>
        </w:rPr>
        <w:t xml:space="preserve"> </w:t>
      </w:r>
    </w:p>
    <w:p w14:paraId="4063ED4F" w14:textId="775BE17B" w:rsidR="009E4ABB" w:rsidRPr="00E879CF" w:rsidRDefault="00427BD9" w:rsidP="00F71C60">
      <w:pPr>
        <w:spacing w:after="0" w:line="240" w:lineRule="auto"/>
        <w:ind w:left="0" w:right="0" w:firstLine="416"/>
        <w:rPr>
          <w:color w:val="000000" w:themeColor="text1"/>
        </w:rPr>
      </w:pPr>
      <w:r w:rsidRPr="00427BD9">
        <w:rPr>
          <w:color w:val="000000" w:themeColor="text1"/>
        </w:rPr>
        <w:t>The term green shipping refers to the designation of a ship as an environmentally friendly vehicle. Environmentally friendly on ships is currently defined as efforts to reduce greenhouse gases in ship operations and building. One of the things that are being strived for is the management of fuel efficiency in operations, including efforts to use alternative fuels</w:t>
      </w:r>
      <w:r w:rsidR="00647F72">
        <w:rPr>
          <w:color w:val="000000" w:themeColor="text1"/>
        </w:rPr>
        <w:t xml:space="preserve"> </w:t>
      </w:r>
      <w:r w:rsidR="003665F5">
        <w:rPr>
          <w:color w:val="000000" w:themeColor="text1"/>
        </w:rPr>
        <w:fldChar w:fldCharType="begin" w:fldLock="1"/>
      </w:r>
      <w:r w:rsidR="00647F72">
        <w:rPr>
          <w:color w:val="000000" w:themeColor="text1"/>
        </w:rPr>
        <w:instrText>ADDIN CSL_CITATION {"citationItems":[{"id":"ITEM-1","itemData":{"DOI":"10.1016/j.ajsl.2017.12.009","ISSN":"20925212","abstract":"The purpose of this study is to define green shipping and eco-friendly vessels and identify the regulations and current market situation regarding eco-friendly vessels in major countries such as Europe, United States, Japan, China and South Korea within the framework of shipping companies, shipyards, ports, and policies. This conceptual study defines and analyzes the current market situation of green shipping based on the previous literatures as well as the cases of each stakeholder in major countries. As the results, this study identifies six major problems and proposes countermeasures to enhance strategic plans in preparation for green shipping in South Korea. The countermeasures are 1) the establishment of a shipping–shipbuilding collaborative network, 2) information sharing and joint cost reduction for shipping and shipbuilding industry, 3) investment in R&amp;D in eco-friendly vessels by shipbuilding industry, 4) expanded support for LNG fueled ship.","author":[{"dropping-particle":"","family":"Lee","given":"Taehee","non-dropping-particle":"","parse-names":false,"suffix":""},{"dropping-particle":"","family":"Nam","given":"Hyunjeong","non-dropping-particle":"","parse-names":false,"suffix":""}],"container-title":"Asian Journal of Shipping and Logistics","id":"ITEM-1","issue":"4","issued":{"date-parts":[["2017"]]},"title":"A Study on Green Shipping in Major Countries: In the View of Shipyards, Shipping Companies, Ports, and Policies","type":"article-journal","volume":"33"},"uris":["http://www.mendeley.com/documents/?uuid=101e7d0d-da15-3dee-b884-1205a6ff50f3"]}],"mendeley":{"formattedCitation":"(Lee &amp; Nam, 2017)","plainTextFormattedCitation":"(Lee &amp; Nam, 2017)","previouslyFormattedCitation":"(Lee &amp; Nam, 2017)"},"properties":{"noteIndex":0},"schema":"https://github.com/citation-style-language/schema/raw/master/csl-citation.json"}</w:instrText>
      </w:r>
      <w:r w:rsidR="003665F5">
        <w:rPr>
          <w:color w:val="000000" w:themeColor="text1"/>
        </w:rPr>
        <w:fldChar w:fldCharType="separate"/>
      </w:r>
      <w:r w:rsidR="003665F5" w:rsidRPr="003665F5">
        <w:rPr>
          <w:noProof/>
          <w:color w:val="000000" w:themeColor="text1"/>
        </w:rPr>
        <w:t>(Lee &amp; Nam, 2017)</w:t>
      </w:r>
      <w:r w:rsidR="003665F5">
        <w:rPr>
          <w:color w:val="000000" w:themeColor="text1"/>
        </w:rPr>
        <w:fldChar w:fldCharType="end"/>
      </w:r>
      <w:r w:rsidR="00647F72">
        <w:rPr>
          <w:color w:val="000000" w:themeColor="text1"/>
        </w:rPr>
        <w:t xml:space="preserve">. </w:t>
      </w:r>
      <w:r w:rsidRPr="00427BD9">
        <w:rPr>
          <w:color w:val="000000" w:themeColor="text1"/>
        </w:rPr>
        <w:t xml:space="preserve">The decrease in fossil fuels, the level of price increases and fluctuations, increasingly stringent environmental policies and regulations, as well as the increasing demand for energy conversion as </w:t>
      </w:r>
      <w:r w:rsidR="007B5B38">
        <w:rPr>
          <w:color w:val="000000" w:themeColor="text1"/>
        </w:rPr>
        <w:t xml:space="preserve">a substitute for fossil fuels, </w:t>
      </w:r>
      <w:r w:rsidRPr="00427BD9">
        <w:rPr>
          <w:color w:val="000000" w:themeColor="text1"/>
        </w:rPr>
        <w:t>make the discourse of alternative fuels in internal combustion engines a necessity that attracts many parties</w:t>
      </w:r>
      <w:r w:rsidR="00647F72">
        <w:rPr>
          <w:color w:val="000000" w:themeColor="text1"/>
        </w:rPr>
        <w:t xml:space="preserve"> </w:t>
      </w:r>
      <w:r w:rsidR="00647F72">
        <w:rPr>
          <w:color w:val="000000" w:themeColor="text1"/>
        </w:rPr>
        <w:fldChar w:fldCharType="begin" w:fldLock="1"/>
      </w:r>
      <w:r w:rsidR="00647F72">
        <w:rPr>
          <w:color w:val="000000" w:themeColor="text1"/>
        </w:rPr>
        <w:instrText>ADDIN CSL_CITATION {"citationItems":[{"id":"ITEM-1","itemData":{"DOI":"10.1016/j.egyr.2018.12.002","ISSN":"23524847","abstract":"Due to the depletion of petroleum products and fatal emissions from the tailpipe of diesel engines it has become a need to seek for the alternative of petroleum products for long-term use. Currently, researchers and experts have come to the conclusion that biodiesel along with higher alcohols can be an appropriate substitute for this situation. Former investigations have presented that biodiesel and higher alcohol can help in improving the performance and depreciating harmful exhaust gases in a diesel engine. In the current investigation blends of diesel, rice bran biodiesel and n-butanol were prepared to check its effect on performance and emission characteristics of a diesel engine. Biodiesel was prepared by single stage alkaline transesterification process in this study and after that blends of diesel–biodiesel and diesel–biodiesel-n butanol were prepared as B10, B20, B10 nb10 and B20 nb20. Then these blends were tested in a single cylinder, small utility diesel engine with a rated power output of 3.73 kW to compare them with baseline diesel. Experimental investigation demonstrates that blends of rice bran biodiesel and n-butanol can be used as a fuel in a diesel engine without any change in the engine.","author":[{"dropping-particle":"","family":"Goga","given":"Geetesh","non-dropping-particle":"","parse-names":false,"suffix":""},{"dropping-particle":"","family":"Chauhan","given":"Bhupendra Singh","non-dropping-particle":"","parse-names":false,"suffix":""},{"dropping-particle":"","family":"Mahla","given":"Sunil Kumar","non-dropping-particle":"","parse-names":false,"suffix":""},{"dropping-particle":"","family":"Cho","given":"Haeng Muk","non-dropping-particle":"","parse-names":false,"suffix":""}],"container-title":"Energy Reports","id":"ITEM-1","issued":{"date-parts":[["2019"]]},"title":"Performance and emission characteristics of diesel engine fueled with rice bran biodiesel and n-butanol","type":"article-journal","volume":"5"},"uris":["http://www.mendeley.com/documents/?uuid=067d1745-e679-3305-88e0-e7a236828048"]}],"mendeley":{"formattedCitation":"(Goga et al., 2019)","plainTextFormattedCitation":"(Goga et al., 2019)","previouslyFormattedCitation":"(Goga et al., 2019)"},"properties":{"noteIndex":0},"schema":"https://github.com/citation-style-language/schema/raw/master/csl-citation.json"}</w:instrText>
      </w:r>
      <w:r w:rsidR="00647F72">
        <w:rPr>
          <w:color w:val="000000" w:themeColor="text1"/>
        </w:rPr>
        <w:fldChar w:fldCharType="separate"/>
      </w:r>
      <w:r w:rsidR="00647F72" w:rsidRPr="00647F72">
        <w:rPr>
          <w:noProof/>
          <w:color w:val="000000" w:themeColor="text1"/>
        </w:rPr>
        <w:t>(Goga et al., 2019)</w:t>
      </w:r>
      <w:r w:rsidR="00647F72">
        <w:rPr>
          <w:color w:val="000000" w:themeColor="text1"/>
        </w:rPr>
        <w:fldChar w:fldCharType="end"/>
      </w:r>
      <w:r w:rsidR="00647F72">
        <w:rPr>
          <w:color w:val="000000" w:themeColor="text1"/>
        </w:rPr>
        <w:t xml:space="preserve"> </w:t>
      </w:r>
      <w:r w:rsidR="00647F72">
        <w:rPr>
          <w:color w:val="000000" w:themeColor="text1"/>
        </w:rPr>
        <w:fldChar w:fldCharType="begin" w:fldLock="1"/>
      </w:r>
      <w:r w:rsidR="00CC35BC">
        <w:rPr>
          <w:color w:val="000000" w:themeColor="text1"/>
        </w:rPr>
        <w:instrText>ADDIN CSL_CITATION {"citationItems":[{"id":"ITEM-1","itemData":{"DOI":"10.1016/j.energy.2019.04.185","ISSN":"03605442","abstract":"Limited fossil fuel reserves led to focus on alternatives fuels for combustion engines. Several studies reported optimal (20%)biodiesel blend for utility in compression ignition engine at constant compression ratio. Literature lacks on the study of palm-based biodiesel in blended form at varying engine compression ratios. In this study, an initiative was undertaken to study the effect of variable compression ratio (16:1, 17:1 and 18:1)on various engine characteristics by fuelling 20% palm biodiesel blending compression ignition engine. The ignition delay period decreased, whereas the peak cylinder pressure and brake thermal efficiency increased with increase in the engine compression ratio from 16:1 to 18:1. At 3.5 bar bmep, brake thermal efficiency values were observed to be 28.9, 30.8 and 33.8% at 16:1, 17:1 and 18:1 CRs, respectively in B20 fuel. Moreover, increasing compression ratio from 16:1 to 18:1, the average reduction in emissions of hydrocarbon, carbon monoxide and smoke opacity were observed to be 47.8, 41.0 and 35.7%, respectively whereas, oxides of nitrogen emissions increased by 41.1%. Thus, it is inferred that B20 fuel performed well at high engine compression ratio.","author":[{"dropping-particle":"","family":"Rosha","given":"Pali","non-dropping-particle":"","parse-names":false,"suffix":""},{"dropping-particle":"","family":"Mohapatra","given":"Saroj Kumar","non-dropping-particle":"","parse-names":false,"suffix":""},{"dropping-particle":"","family":"Mahla","given":"Sunil Kumar","non-dropping-particle":"","parse-names":false,"suffix":""},{"dropping-particle":"","family":"Cho","given":"Haeng Muk","non-dropping-particle":"","parse-names":false,"suffix":""},{"dropping-particle":"","family":"Chauhan","given":"Bhupendra Singh","non-dropping-particle":"","parse-names":false,"suffix":""},{"dropping-particle":"","family":"Dhir","given":"Amit","non-dropping-particle":"","parse-names":false,"suffix":""}],"container-title":"Energy","id":"ITEM-1","issued":{"date-parts":[["2019"]]},"title":"Effect of compression ratio on combustion, performance, and emission characteristics of compression ignition engine fueled with palm (B20)biodiesel blend","type":"article-journal","volume":"178"},"uris":["http://www.mendeley.com/documents/?uuid=f1ea909b-b9c4-329e-959e-ed98a430c9bc"]}],"mendeley":{"formattedCitation":"(Rosha et al., 2019)","plainTextFormattedCitation":"(Rosha et al., 2019)","previouslyFormattedCitation":"(Rosha et al., 2019)"},"properties":{"noteIndex":0},"schema":"https://github.com/citation-style-language/schema/raw/master/csl-citation.json"}</w:instrText>
      </w:r>
      <w:r w:rsidR="00647F72">
        <w:rPr>
          <w:color w:val="000000" w:themeColor="text1"/>
        </w:rPr>
        <w:fldChar w:fldCharType="separate"/>
      </w:r>
      <w:r w:rsidR="00647F72" w:rsidRPr="00647F72">
        <w:rPr>
          <w:noProof/>
          <w:color w:val="000000" w:themeColor="text1"/>
        </w:rPr>
        <w:t>(Rosha et al., 2019)</w:t>
      </w:r>
      <w:r w:rsidR="00647F72">
        <w:rPr>
          <w:color w:val="000000" w:themeColor="text1"/>
        </w:rPr>
        <w:fldChar w:fldCharType="end"/>
      </w:r>
    </w:p>
    <w:p w14:paraId="30B023C9" w14:textId="66867B13" w:rsidR="00E879CF" w:rsidRPr="00E879CF" w:rsidRDefault="00806855" w:rsidP="00F71C60">
      <w:pPr>
        <w:spacing w:after="0" w:line="240" w:lineRule="auto"/>
        <w:ind w:left="0" w:right="0" w:firstLine="416"/>
        <w:rPr>
          <w:color w:val="000000" w:themeColor="text1"/>
        </w:rPr>
      </w:pPr>
      <w:r w:rsidRPr="00806855">
        <w:rPr>
          <w:color w:val="000000" w:themeColor="text1"/>
        </w:rPr>
        <w:t xml:space="preserve">Biogas is one of the potential renewable energies, has abundant potential availability and will be a sanitary solution for the environment </w:t>
      </w:r>
      <w:r w:rsidR="00CC35BC">
        <w:rPr>
          <w:color w:val="000000" w:themeColor="text1"/>
        </w:rPr>
        <w:fldChar w:fldCharType="begin" w:fldLock="1"/>
      </w:r>
      <w:r w:rsidR="00CC35BC">
        <w:rPr>
          <w:color w:val="000000" w:themeColor="text1"/>
        </w:rPr>
        <w:instrText>ADDIN CSL_CITATION {"citationItems":[{"id":"ITEM-1","itemData":{"DOI":"10.1016/j.joei.2015.03.002","ISSN":"17460220","abstract":"This study is aimed to investigate the combustion, performance and emission characteristics of a direct injection (DI) diesel engine, modified to operate with raw biogas–diesel dual fuel. The injection timing of diesel was varied from 23 °CA bTDC to 27.5 °CA bTDC in steps of 1.5 °CA, in the dual fuel operation. The results indicated that, dual fuel operation with the injection timing of 26 °CA bTDC gave an overall better result, than other injection timings. The brake specific carbon monoxide (BSCO) and brake specific hydrocarbon (BSHC) emissions were higher by about 2% and 10% respectively, than diesel operation, at full load. At full load, the smoke emission was lower by about 39% than that of diesel. The cylinder peak pressure was higher by about 14 bar and the brake specific fuel consumption (BSFC) was higher by about 25%, than those of diesel operation, at full load. At part load, the engine performance in the dual fuel operation was improved with advanced injection timing, with significant reduction in the exhaust emissions. The brake specific nitric oxide (BSNO) emission was higher with advanced pilot injections, than that of original injection timing but, it was about 16% lower than diesel, at full load.","author":[{"dropping-particle":"","family":"Barik","given":"Debabrata","non-dropping-particle":"","parse-names":false,"suffix":""},{"dropping-particle":"","family":"Murugan","given":"S.","non-dropping-particle":"","parse-names":false,"suffix":""}],"container-title":"Journal of the Energy Institute","id":"ITEM-1","issue":"3","issued":{"date-parts":[["2016"]]},"title":"Experimental investigation on the behavior of a DI diesel engine fueled with raw biogas–diesel dual fuel at different injection timing","type":"article-journal","volume":"89"},"uris":["http://www.mendeley.com/documents/?uuid=f7898a95-7c58-39de-b410-26763d375d73"]}],"mendeley":{"formattedCitation":"(Barik &amp; Murugan, 2016)","plainTextFormattedCitation":"(Barik &amp; Murugan, 2016)","previouslyFormattedCitation":"(Barik &amp; Murugan, 2016)"},"properties":{"noteIndex":0},"schema":"https://github.com/citation-style-language/schema/raw/master/csl-citation.json"}</w:instrText>
      </w:r>
      <w:r w:rsidR="00CC35BC">
        <w:rPr>
          <w:color w:val="000000" w:themeColor="text1"/>
        </w:rPr>
        <w:fldChar w:fldCharType="separate"/>
      </w:r>
      <w:r w:rsidR="00CC35BC" w:rsidRPr="00CC35BC">
        <w:rPr>
          <w:noProof/>
          <w:color w:val="000000" w:themeColor="text1"/>
        </w:rPr>
        <w:t>(Barik &amp; Murugan, 2016)</w:t>
      </w:r>
      <w:r w:rsidR="00CC35BC">
        <w:rPr>
          <w:color w:val="000000" w:themeColor="text1"/>
        </w:rPr>
        <w:fldChar w:fldCharType="end"/>
      </w:r>
      <w:r w:rsidR="00CC35BC">
        <w:rPr>
          <w:color w:val="000000" w:themeColor="text1"/>
        </w:rPr>
        <w:t xml:space="preserve">. </w:t>
      </w:r>
      <w:r w:rsidRPr="00806855">
        <w:rPr>
          <w:color w:val="000000" w:themeColor="text1"/>
        </w:rPr>
        <w:t xml:space="preserve">Biogas has a low cetane value and high auto ignition so it is difficult to burn with compression, it requires good ignition with spark plugs on the spark engine as well as with pilot fuel on the dual fuel engine </w:t>
      </w:r>
      <w:r w:rsidR="00CC35BC">
        <w:rPr>
          <w:color w:val="000000" w:themeColor="text1"/>
        </w:rPr>
        <w:fldChar w:fldCharType="begin" w:fldLock="1"/>
      </w:r>
      <w:r w:rsidR="00CC35BC">
        <w:rPr>
          <w:color w:val="000000" w:themeColor="text1"/>
        </w:rPr>
        <w:instrText>ADDIN CSL_CITATION {"citationItems":[{"id":"ITEM-1","itemData":{"DOI":"10.1016/j.energy.2014.05.106","ISSN":"03605442","abstract":"In this research work, biogas was produced by the anaerobic digestion of non-edible de-oiled cakes obtained from oil crushing units. Further, the biogas was used as an alternative gaseous fuel in a DI (direct injection) diesel engine, in the dual fuel mode. Diesel was used as an injected fuel and biogas was inducted through the intake manifold, at four different flow rates, viz., 0.3kg/h, 0.6kg/h, 0.9kg/h and 1.2kg/h, along with the air. The combustion, performance and emission characteristics of the engine in the dual fuel operation were experimentally analyzed, and compared with those of diesel operation. The results indicated that, the biogas inducted at a flow rate of 0.9kg/h was found to give a better performance and lower emission, than that of the other flow rates. The ignition delay in the dual fuel operation is found to be longer than that of diesel throughout the load spectrum. The cylinder peak pressure in the dual fuel operation is found to be overall higher by about 11bar than that of diesel operation. The NO (nitric oxide) and smoke emissions in the dual fuel operation are found to be lower overall by about 39% and 49%, compared to that of diesel operation. © 2014 Elsevier Ltd.","author":[{"dropping-particle":"","family":"Barik","given":"Debabrata","non-dropping-particle":"","parse-names":false,"suffix":""},{"dropping-particle":"","family":"Murugan","given":"S.","non-dropping-particle":"","parse-names":false,"suffix":""}],"container-title":"Energy","id":"ITEM-1","issued":{"date-parts":[["2014"]]},"title":"Investigation on combustion performance and emission characteristics of a DI (direct injection) diesel engine fueled with biogas-diesel in dual fuel mode","type":"article-journal","volume":"72"},"uris":["http://www.mendeley.com/documents/?uuid=58480ef2-b39a-32e9-9176-2a2bbec35244"]}],"mendeley":{"formattedCitation":"(Barik &amp; Murugan, 2014)","plainTextFormattedCitation":"(Barik &amp; Murugan, 2014)","previouslyFormattedCitation":"(Barik &amp; Murugan, 2014)"},"properties":{"noteIndex":0},"schema":"https://github.com/citation-style-language/schema/raw/master/csl-citation.json"}</w:instrText>
      </w:r>
      <w:r w:rsidR="00CC35BC">
        <w:rPr>
          <w:color w:val="000000" w:themeColor="text1"/>
        </w:rPr>
        <w:fldChar w:fldCharType="separate"/>
      </w:r>
      <w:r w:rsidR="00CC35BC" w:rsidRPr="00CC35BC">
        <w:rPr>
          <w:noProof/>
          <w:color w:val="000000" w:themeColor="text1"/>
        </w:rPr>
        <w:t>(Barik &amp; Murugan, 2014)</w:t>
      </w:r>
      <w:r w:rsidR="00CC35BC">
        <w:rPr>
          <w:color w:val="000000" w:themeColor="text1"/>
        </w:rPr>
        <w:fldChar w:fldCharType="end"/>
      </w:r>
      <w:r w:rsidR="00CC35BC">
        <w:rPr>
          <w:color w:val="000000" w:themeColor="text1"/>
        </w:rPr>
        <w:fldChar w:fldCharType="begin" w:fldLock="1"/>
      </w:r>
      <w:r w:rsidR="00CC35BC">
        <w:rPr>
          <w:color w:val="000000" w:themeColor="text1"/>
        </w:rPr>
        <w:instrText>ADDIN CSL_CITATION {"citationItems":[{"id":"ITEM-1","itemData":{"DOI":"10.1016/j.fuproc.2010.12.021","ISSN":"03783820","abstract":"An experimental investigation was performed to study the influence of dual-fuel combustion characteristics on the exhaust emissions and combustion performance in a diesel engine fueled with biogas-biodiesel dual-fuel. In this work, the combustion pressure and the rate of heat release were evaluated under various conditions in order to analyze the combustion and emission characteristics for single-fuel (diesel and biodiesel) and dual-fuel (biogas-diesel and biogas-biodiesel) combustion modes in a diesel engine. In addition, to compare the engine performances and exhaust emission characteristics with combustion mode, fuel consumption, exhaust gas temperature, efficiency, and exhaust emissions were also investigated under various test conditions. For the dual-fuel system, the intake system of the test engine was modified to convert into biogas and biodiesel of a dual-fueled combustion engine. Biogas was injected during the intake process by two electronically controlled gas injectors, which were installed in the intake pipe. The results of this study showed that the combustion characteristics of single-fuel combustion for biodiesel and diesel indicated the similar patterns at various engine loads. In dual-fuel mode, the peak pressure and heat release for biogas-biodiesel were slightly lower compared to biogas-diesel at low load. At 60% load, biogas-biodiesel combustion exhibited the slightly higher peak pressure, rate of heat release (ROHR) and indicated mean effective pressure (IMEP) than those of diesel. Also, the ignition delay for biogas-biodiesel indicated shortened trends compared to ULSD dual-fueling due to the higher cetane number (CN) of biodiesel. Significantly lower NOx emissions were emitted under dual-fuel operation for both cases of pilot fuels compared to single-fuel mode at all engine load conditions. Also, biogas-biodiesel provided superior performance in reductions of soot emissions due to the absence of aromatics, the low sulfur, and oxygen contents for biodiesel. © 2010 Elsevier B.V.","author":[{"dropping-particle":"","family":"Yoon","given":"Seung Hyun","non-dropping-particle":"","parse-names":false,"suffix":""},{"dropping-particle":"","family":"Lee","given":"Chang Sik","non-dropping-particle":"","parse-names":false,"suffix":""}],"container-title":"Fuel Processing Technology","id":"ITEM-1","issue":"5","issued":{"date-parts":[["2011"]]},"title":"Experimental investigation on the combustion and exhaust emission characteristics of biogas-biodiesel dual-fuel combustion in a CI engine","type":"article-journal","volume":"92"},"uris":["http://www.mendeley.com/documents/?uuid=b958fa7a-948d-3f63-9755-0fd4ead7f231"]}],"mendeley":{"formattedCitation":"(Yoon &amp; Lee, 2011)","plainTextFormattedCitation":"(Yoon &amp; Lee, 2011)","previouslyFormattedCitation":"(Yoon &amp; Lee, 2011)"},"properties":{"noteIndex":0},"schema":"https://github.com/citation-style-language/schema/raw/master/csl-citation.json"}</w:instrText>
      </w:r>
      <w:r w:rsidR="00CC35BC">
        <w:rPr>
          <w:color w:val="000000" w:themeColor="text1"/>
        </w:rPr>
        <w:fldChar w:fldCharType="separate"/>
      </w:r>
      <w:r w:rsidR="00CC35BC" w:rsidRPr="00CC35BC">
        <w:rPr>
          <w:noProof/>
          <w:color w:val="000000" w:themeColor="text1"/>
        </w:rPr>
        <w:t>(Yoon &amp; Lee, 2011)</w:t>
      </w:r>
      <w:r w:rsidR="00CC35BC">
        <w:rPr>
          <w:color w:val="000000" w:themeColor="text1"/>
        </w:rPr>
        <w:fldChar w:fldCharType="end"/>
      </w:r>
      <w:r w:rsidR="00CC35BC">
        <w:rPr>
          <w:color w:val="000000" w:themeColor="text1"/>
        </w:rPr>
        <w:t xml:space="preserve">. </w:t>
      </w:r>
      <w:r w:rsidRPr="00806855">
        <w:rPr>
          <w:color w:val="000000" w:themeColor="text1"/>
        </w:rPr>
        <w:t>The potential of biogas to replace fossil fuels is still being debated by many circles because the production produced is still very minimal in terms of energy. Biogas consists of 50-80% methane, 15-45% carbon dioxide, water, hydrogen sulfide, and nitrogen. The part that is used as fuel is methane, so many processes are needed to purify biogas.</w:t>
      </w:r>
    </w:p>
    <w:p w14:paraId="3B3F0368" w14:textId="359580D4" w:rsidR="00E879CF" w:rsidRDefault="00D669D8" w:rsidP="00F71C60">
      <w:pPr>
        <w:spacing w:after="0" w:line="240" w:lineRule="auto"/>
        <w:ind w:right="0"/>
        <w:rPr>
          <w:color w:val="000000" w:themeColor="text1"/>
        </w:rPr>
      </w:pPr>
      <w:r>
        <w:rPr>
          <w:color w:val="000000" w:themeColor="text1"/>
        </w:rPr>
        <w:tab/>
      </w:r>
      <w:r w:rsidR="00E879CF" w:rsidRPr="00E879CF">
        <w:rPr>
          <w:color w:val="000000" w:themeColor="text1"/>
        </w:rPr>
        <w:tab/>
      </w:r>
      <w:r w:rsidR="00806855" w:rsidRPr="00806855">
        <w:rPr>
          <w:color w:val="000000" w:themeColor="text1"/>
        </w:rPr>
        <w:t xml:space="preserve">Biodiesel or vegetable oil ethyl ester is one of the strongest candidates as a substitute for diesel fuel. Biodiesel is the name given to vegetable oil that has been transesterified and replaces diesel fuel </w:t>
      </w:r>
      <w:r w:rsidR="00CC35BC">
        <w:rPr>
          <w:color w:val="000000" w:themeColor="text1"/>
        </w:rPr>
        <w:fldChar w:fldCharType="begin" w:fldLock="1"/>
      </w:r>
      <w:r w:rsidR="00EE190D">
        <w:rPr>
          <w:color w:val="000000" w:themeColor="text1"/>
        </w:rPr>
        <w:instrText>ADDIN CSL_CITATION {"citationItems":[{"id":"ITEM-1","itemData":{"DOI":"10.1016/j.enconman.2008.09.001","ISSN":"01968904","abstract":"Fossil fuel resources are decreasing daily. Biodiesel fuels are attracting increasing attention worldwide as blending components or direct replacements for diesel fuel in vehicle engines. Biodiesel fuel typically comprises lower alkyl fatty acid (chain length C14-C22), esters of short-chain alcohols, primarily, methanol or ethanol. Various methods have been reported for the production of biodiesel from vegetable oil, such as direct use and blending, microemulsification, pyrolysis, and transesterification. Among these, transesterification is an attractive and widely accepted technique. The purpose of the transesterification process is to lower the viscosity of the oil. The most important variables affecting methyl ester yield during the transesterification reaction are the molar ratio of alcohol to vegetable oil and the reaction temperature. Methanol is the commonly used alcohol in this process, due in part to its low cost. Methyl esters of vegetable oils have several outstanding advantages over other new-renewable and clean engine fuel alternatives. Biodiesel fuel is a renewable substitute fuel for petroleum diesel or petrodiesel fuel made from vegetable or animal fats; it can be used in any mixture with petrodiesel fuel, as it has very similar characteristics, but it has lower exhaust emissions. Biodiesel fuel has better properties than petrodiesel fuel; it is renewable, biodegradable, non-toxic, and essentially free of sulfur and aromatics. Biodiesel seems to be a realistic fuel for future; it has become more attractive recently because of its environmental benefits. Biodiesel is an environmentally friendly fuel that can be used in any diesel engine without modification. © 2008 Elsevier Ltd. All rights reserved.","author":[{"dropping-particle":"","family":"Demirbas","given":"Ayhan","non-dropping-particle":"","parse-names":false,"suffix":""}],"container-title":"Energy Conversion and Management","id":"ITEM-1","issue":"1","issued":{"date-parts":[["2009"]]},"title":"Progress and recent trends in biodiesel fuels","type":"article-journal","volume":"50"},"uris":["http://www.mendeley.com/documents/?uuid=e2185e86-b9e7-329b-a2bf-fa9d1fd921d2"]}],"mendeley":{"formattedCitation":"(Demirbas, 2009)","plainTextFormattedCitation":"(Demirbas, 2009)","previouslyFormattedCitation":"(Demirbas, 2009)"},"properties":{"noteIndex":0},"schema":"https://github.com/citation-style-language/schema/raw/master/csl-citation.json"}</w:instrText>
      </w:r>
      <w:r w:rsidR="00CC35BC">
        <w:rPr>
          <w:color w:val="000000" w:themeColor="text1"/>
        </w:rPr>
        <w:fldChar w:fldCharType="separate"/>
      </w:r>
      <w:r w:rsidR="00CC35BC" w:rsidRPr="00CC35BC">
        <w:rPr>
          <w:noProof/>
          <w:color w:val="000000" w:themeColor="text1"/>
        </w:rPr>
        <w:t>(Demirbas, 2009)</w:t>
      </w:r>
      <w:r w:rsidR="00CC35BC">
        <w:rPr>
          <w:color w:val="000000" w:themeColor="text1"/>
        </w:rPr>
        <w:fldChar w:fldCharType="end"/>
      </w:r>
      <w:r w:rsidR="00806855" w:rsidRPr="00806855">
        <w:rPr>
          <w:color w:val="000000" w:themeColor="text1"/>
        </w:rPr>
        <w:t xml:space="preserve">. In addition to its relatively abundant and renewable availability, it is relatively cleaner than diesel fuel </w:t>
      </w:r>
      <w:r w:rsidR="00EE190D">
        <w:rPr>
          <w:color w:val="000000" w:themeColor="text1"/>
        </w:rPr>
        <w:fldChar w:fldCharType="begin" w:fldLock="1"/>
      </w:r>
      <w:r w:rsidR="00EE190D">
        <w:rPr>
          <w:color w:val="000000" w:themeColor="text1"/>
        </w:rPr>
        <w:instrText>ADDIN CSL_CITATION {"citationItems":[{"id":"ITEM-1","itemData":{"DOI":"10.1016/j.biortech.2005.03.014","ISSN":"09608524","abstract":"A central composite rotatable design was used to study the effect of methanol quantity, acid concentration and reaction time on the reduction of free fatty acids content of mahua oil during its pretreatment for making biodiesel. All the three variables significantly affected the acid value of the product, methanol being the most effective followed by reaction time and acid catalyst concentration. Using response surface methodology, a quadratic polynomial equation was obtained for acid value by multiple regression analysis. Verification experiments confirmed the validity of the predicted model. The optimum combinations for reducing the acid level of mahua oil to less than 1% after pretreatment was 0.32 v/v methanol-to-oil ratio, 1.24% v/v H 2SO4 catalyst and 1.26 h reaction time at 60°C. After the pretreatment of mahua oil, transesterification reaction was carried out with 0.25 v/v methanol-to-oil ratio (6:1 molar ratio) and 0.7% w/v KOH as an alkaline catalyst to produce biodiesel. The fuel properties of mahua biodiesel so obtained complied the requirements of both the American and European standards for biodiesel. © 2005 Elsevier Ltd. All rights reserved.","author":[{"dropping-particle":"","family":"Ghadge","given":"Shashikant Vilas","non-dropping-particle":"","parse-names":false,"suffix":""},{"dropping-particle":"","family":"Raheman","given":"Hifjur","non-dropping-particle":"","parse-names":false,"suffix":""}],"container-title":"Bioresource Technology","id":"ITEM-1","issue":"3","issued":{"date-parts":[["2006"]]},"title":"Process optimization for biodiesel production from mahua (Madhuca indica) oil using response surface methodology","type":"article-journal","volume":"97"},"uris":["http://www.mendeley.com/documents/?uuid=39f93f9b-82a9-3d59-ba3f-412a3171d07d"]}],"mendeley":{"formattedCitation":"(Ghadge &amp; Raheman, 2006)","plainTextFormattedCitation":"(Ghadge &amp; Raheman, 2006)","previouslyFormattedCitation":"(Ghadge &amp; Raheman, 2006)"},"properties":{"noteIndex":0},"schema":"https://github.com/citation-style-language/schema/raw/master/csl-citation.json"}</w:instrText>
      </w:r>
      <w:r w:rsidR="00EE190D">
        <w:rPr>
          <w:color w:val="000000" w:themeColor="text1"/>
        </w:rPr>
        <w:fldChar w:fldCharType="separate"/>
      </w:r>
      <w:r w:rsidR="00EE190D" w:rsidRPr="00EE190D">
        <w:rPr>
          <w:noProof/>
          <w:color w:val="000000" w:themeColor="text1"/>
        </w:rPr>
        <w:t>(Ghadge &amp; Raheman, 2006)</w:t>
      </w:r>
      <w:r w:rsidR="00EE190D">
        <w:rPr>
          <w:color w:val="000000" w:themeColor="text1"/>
        </w:rPr>
        <w:fldChar w:fldCharType="end"/>
      </w:r>
      <w:r w:rsidR="00806855" w:rsidRPr="00806855">
        <w:rPr>
          <w:color w:val="000000" w:themeColor="text1"/>
        </w:rPr>
        <w:t xml:space="preserve">. According to </w:t>
      </w:r>
      <w:r w:rsidR="00EE190D">
        <w:rPr>
          <w:color w:val="000000" w:themeColor="text1"/>
        </w:rPr>
        <w:fldChar w:fldCharType="begin" w:fldLock="1"/>
      </w:r>
      <w:r w:rsidR="00EE190D">
        <w:rPr>
          <w:color w:val="000000" w:themeColor="text1"/>
        </w:rPr>
        <w:instrText>ADDIN CSL_CITATION {"citationItems":[{"id":"ITEM-1","itemData":{"abstract":"Bala, BK( 2005), Studies on biodiesels from transformation of vegetable oils for diesel engines, Energy Educ. Sci. Technol. 15: 1–43","author":[{"dropping-particle":"","family":"Bala","given":"BK","non-dropping-particle":"","parse-names":false,"suffix":""}],"container-title":"Energy Educ. Sci. Technol.","id":"ITEM-1","issued":{"date-parts":[["2005"]]},"title":"Studies on biodiesels from transformation of vegetable oils for diesel engines","type":"article-journal","volume":"15"},"uris":["http://www.mendeley.com/documents/?uuid=d6e40264-492f-3dea-8710-e6ee40fdfded"]}],"mendeley":{"formattedCitation":"(Bala, 2005)","plainTextFormattedCitation":"(Bala, 2005)","previouslyFormattedCitation":"(Bala, 2005)"},"properties":{"noteIndex":0},"schema":"https://github.com/citation-style-language/schema/raw/master/csl-citation.json"}</w:instrText>
      </w:r>
      <w:r w:rsidR="00EE190D">
        <w:rPr>
          <w:color w:val="000000" w:themeColor="text1"/>
        </w:rPr>
        <w:fldChar w:fldCharType="separate"/>
      </w:r>
      <w:r w:rsidR="00EE190D" w:rsidRPr="00EE190D">
        <w:rPr>
          <w:noProof/>
          <w:color w:val="000000" w:themeColor="text1"/>
        </w:rPr>
        <w:t>(Bala, 2005)</w:t>
      </w:r>
      <w:r w:rsidR="00EE190D">
        <w:rPr>
          <w:color w:val="000000" w:themeColor="text1"/>
        </w:rPr>
        <w:fldChar w:fldCharType="end"/>
      </w:r>
      <w:r w:rsidR="00EE190D">
        <w:rPr>
          <w:color w:val="000000" w:themeColor="text1"/>
        </w:rPr>
        <w:t xml:space="preserve"> </w:t>
      </w:r>
      <w:r w:rsidR="00806855" w:rsidRPr="00806855">
        <w:rPr>
          <w:color w:val="000000" w:themeColor="text1"/>
        </w:rPr>
        <w:t>biodiesel has advantages when compared to diesel fuel in terms of sulfur content, flash point, aromatic content and biodegradability. However, it produces slightly lower power, and consumes more fuel for the same unit of power.</w:t>
      </w:r>
      <w:r>
        <w:rPr>
          <w:color w:val="000000" w:themeColor="text1"/>
        </w:rPr>
        <w:t xml:space="preserve"> </w:t>
      </w:r>
    </w:p>
    <w:p w14:paraId="087E34E2" w14:textId="35B3C9FC" w:rsidR="00D669D8" w:rsidRDefault="00806855" w:rsidP="00F71C60">
      <w:pPr>
        <w:spacing w:after="0" w:line="240" w:lineRule="auto"/>
        <w:ind w:left="0" w:right="0" w:firstLine="710"/>
        <w:rPr>
          <w:color w:val="000000" w:themeColor="text1"/>
        </w:rPr>
      </w:pPr>
      <w:r w:rsidRPr="00806855">
        <w:rPr>
          <w:color w:val="000000" w:themeColor="text1"/>
        </w:rPr>
        <w:t>Various works related to biogas as fuel in diesel engines operated in dual fuel mode are ex</w:t>
      </w:r>
      <w:r w:rsidR="00EE190D">
        <w:rPr>
          <w:color w:val="000000" w:themeColor="text1"/>
        </w:rPr>
        <w:t xml:space="preserve">plored in the literature. </w:t>
      </w:r>
      <w:r w:rsidR="00EE190D">
        <w:rPr>
          <w:color w:val="000000" w:themeColor="text1"/>
        </w:rPr>
        <w:fldChar w:fldCharType="begin" w:fldLock="1"/>
      </w:r>
      <w:r w:rsidR="00EE190D">
        <w:rPr>
          <w:color w:val="000000" w:themeColor="text1"/>
        </w:rPr>
        <w:instrText>ADDIN CSL_CITATION {"citationItems":[{"id":"ITEM-1","itemData":{"DOI":"10.1016/j.biombioe.2012.06.003","ISSN":"09619534","abstract":"The effect of oxygen enriched air was tested for a diesel-biogas dual fuel engine. The operation and performance characteristics, such as thermal efficiency, pollutant emissions and combustion parameters were determined. Experiments have been carried out with a stationary compression ignition (CI) engine coupled with a generator in dual mode using a typical biogas composition of 60 vol. %CH 4 and 40% vol. %CO 2. For every engine load evaluated, the oxygen concentration in the intake air engine was varied from 21% to 27% O 2 v/v. Ignition delay time and methane emissions were decreased when using oxygen enriched air with respect to normal air (21%O 2), whereas the thermal efficiency was increased. © 2012 Elsevier Ltd.","author":[{"dropping-particle":"","family":"Cacua","given":"Karen","non-dropping-particle":"","parse-names":false,"suffix":""},{"dropping-particle":"","family":"Amell","given":"Andrés","non-dropping-particle":"","parse-names":false,"suffix":""},{"dropping-particle":"","family":"Cadavid","given":"Francisco","non-dropping-particle":"","parse-names":false,"suffix":""}],"container-title":"Biomass and Bioenergy","id":"ITEM-1","issued":{"date-parts":[["2012"]]},"title":"Effects of oxygen enriched air on the operation and performance of a diesel-biogas dual fuel engine","type":"article-journal","volume":"45"},"uris":["http://www.mendeley.com/documents/?uuid=25719ad1-e8fb-3e42-a53b-c8367698f49c"]}],"mendeley":{"formattedCitation":"(Cacua et al., 2012)","plainTextFormattedCitation":"(Cacua et al., 2012)","previouslyFormattedCitation":"(Cacua et al., 2012)"},"properties":{"noteIndex":0},"schema":"https://github.com/citation-style-language/schema/raw/master/csl-citation.json"}</w:instrText>
      </w:r>
      <w:r w:rsidR="00EE190D">
        <w:rPr>
          <w:color w:val="000000" w:themeColor="text1"/>
        </w:rPr>
        <w:fldChar w:fldCharType="separate"/>
      </w:r>
      <w:r w:rsidR="00EE190D" w:rsidRPr="00EE190D">
        <w:rPr>
          <w:noProof/>
          <w:color w:val="000000" w:themeColor="text1"/>
        </w:rPr>
        <w:t>(Cacua et al., 2012)</w:t>
      </w:r>
      <w:r w:rsidR="00EE190D">
        <w:rPr>
          <w:color w:val="000000" w:themeColor="text1"/>
        </w:rPr>
        <w:fldChar w:fldCharType="end"/>
      </w:r>
      <w:r w:rsidR="00EE190D">
        <w:rPr>
          <w:color w:val="000000" w:themeColor="text1"/>
        </w:rPr>
        <w:t xml:space="preserve"> </w:t>
      </w:r>
      <w:r w:rsidRPr="00806855">
        <w:rPr>
          <w:color w:val="000000" w:themeColor="text1"/>
        </w:rPr>
        <w:t>investigated the effect of oxygen enrichment on the performance of a diesel engine converted to dual mode using biogas with a composition of 60% CH4 and 40% CO2. The concentration of oxygen (O2) was varied with the proportion of 21% to 27% O2 in the intake air. A four stroke, double cylinder with a rated power of 20 kW at a diesel engine speed of 3000 rpm coupled to a generator was used to carry out the experiment. From these results, the authors determined that with the application of oxygen enrichment thermal efficiency increased and methane emissions, as well as ignition delay</w:t>
      </w:r>
      <w:r w:rsidR="007B5B38">
        <w:rPr>
          <w:color w:val="000000" w:themeColor="text1"/>
        </w:rPr>
        <w:t xml:space="preserve">, decreased. </w:t>
      </w:r>
      <w:r w:rsidR="00EE190D">
        <w:rPr>
          <w:color w:val="000000" w:themeColor="text1"/>
        </w:rPr>
        <w:fldChar w:fldCharType="begin" w:fldLock="1"/>
      </w:r>
      <w:r w:rsidR="00EE190D">
        <w:rPr>
          <w:color w:val="000000" w:themeColor="text1"/>
        </w:rPr>
        <w:instrText>ADDIN CSL_CITATION {"citationItems":[{"id":"ITEM-1","itemData":{"DOI":"10.1016/j.biosystemseng.2007.06.013","ISSN":"15375110","abstract":"Biogas from anaerobic digestion of animal manure waste can be used as a renewable energy source for on-farm power generation. In this study, biogas was used in a single-cylinder, direct-injection, compression ignition engine, which has been modified to operate under dual-fuel condition to generate electricity. The primary fuel is biogas, which is ignited by a pilot diesel liquid injection. Long-term engine operation up to 2000 h was carried out. Performance in terms of output power, specific fuel consumption and thermal efficiency was evaluated over a fixed load and a range of engine speeds, and compared against a conventional diesel engine for the first 50 h of operation. Engine components were weighed, inspected visually and given rating for wear, at the start and after 2000 h of operation. Results indicated that short-term performance between conventional diesel and dual-fuel operations was comparable. Biogas/diesel dual-fuel engine was observed to operate successfully with biogas substitution rate at above 90% by mass. Long-term fuel economy was not found to be adversely affected by running time, and the engine was able to maintain 1.45 kW output of electricity throughout the period. Thin layers of carbon deposits were found to build up on the piston, combustion chamber wall, the intake port and exhaust valve stems. Minor surface wear was evident but not significant enough to cause deterioration in engine performance. Overall, the dual-fuel engine appeared to perform well and have great potential for useful on-farm energy utilisation. © 2007 IAgrE.","author":[{"dropping-particle":"","family":"Tippayawong","given":"N.","non-dropping-particle":"","parse-names":false,"suffix":""},{"dropping-particle":"","family":"Promwungkwa","given":"A.","non-dropping-particle":"","parse-names":false,"suffix":""},{"dropping-particle":"","family":"Rerkkriangkrai","given":"P.","non-dropping-particle":"","parse-names":false,"suffix":""}],"container-title":"Biosystems Engineering","id":"ITEM-1","issue":"1","issued":{"date-parts":[["2007"]]},"title":"Long-term operation of a small biogas/diesel dual-fuel engine for on-farm electricity generation","type":"article-journal","volume":"98"},"uris":["http://www.mendeley.com/documents/?uuid=47ed07de-7217-3870-aeeb-cb18b2a43805"]}],"mendeley":{"formattedCitation":"(Tippayawong et al., 2007)","plainTextFormattedCitation":"(Tippayawong et al., 2007)","previouslyFormattedCitation":"(Tippayawong et al., 2007)"},"properties":{"noteIndex":0},"schema":"https://github.com/citation-style-language/schema/raw/master/csl-citation.json"}</w:instrText>
      </w:r>
      <w:r w:rsidR="00EE190D">
        <w:rPr>
          <w:color w:val="000000" w:themeColor="text1"/>
        </w:rPr>
        <w:fldChar w:fldCharType="separate"/>
      </w:r>
      <w:r w:rsidR="00EE190D" w:rsidRPr="00EE190D">
        <w:rPr>
          <w:noProof/>
          <w:color w:val="000000" w:themeColor="text1"/>
        </w:rPr>
        <w:t>(Tippayawong et al., 2007)</w:t>
      </w:r>
      <w:r w:rsidR="00EE190D">
        <w:rPr>
          <w:color w:val="000000" w:themeColor="text1"/>
        </w:rPr>
        <w:fldChar w:fldCharType="end"/>
      </w:r>
      <w:r w:rsidRPr="00806855">
        <w:rPr>
          <w:color w:val="000000" w:themeColor="text1"/>
        </w:rPr>
        <w:t xml:space="preserve"> analyzed the impact of long-term operation on the performance and wear of a dual fuel engine using a small on-farm diesel engine with dual fuel mode using biogas with a composition of</w:t>
      </w:r>
      <w:r>
        <w:rPr>
          <w:color w:val="000000" w:themeColor="text1"/>
        </w:rPr>
        <w:t xml:space="preserve"> </w:t>
      </w:r>
      <w:r w:rsidR="007B5B38">
        <w:rPr>
          <w:color w:val="000000" w:themeColor="text1"/>
        </w:rPr>
        <w:t>methane concentration 65,</w:t>
      </w:r>
      <w:r w:rsidRPr="00806855">
        <w:rPr>
          <w:color w:val="000000" w:themeColor="text1"/>
        </w:rPr>
        <w:t>6%.</w:t>
      </w:r>
    </w:p>
    <w:p w14:paraId="4015930B" w14:textId="3ACFFB97" w:rsidR="00F71C60" w:rsidRDefault="00806855" w:rsidP="00F71C60">
      <w:pPr>
        <w:spacing w:after="0" w:line="240" w:lineRule="auto"/>
        <w:ind w:left="0" w:right="0"/>
        <w:rPr>
          <w:color w:val="000000" w:themeColor="text1"/>
        </w:rPr>
      </w:pPr>
      <w:r w:rsidRPr="00806855">
        <w:rPr>
          <w:color w:val="000000" w:themeColor="text1"/>
        </w:rPr>
        <w:t xml:space="preserve">By observing these results, the authors conclude that complete diesel fuel can be substituted using biogas as fuel. Meanwhile, due to the implementation of the supercharger mixing </w:t>
      </w:r>
      <w:r w:rsidR="00F71C60">
        <w:rPr>
          <w:color w:val="000000" w:themeColor="text1"/>
        </w:rPr>
        <w:t xml:space="preserve">system, pilot fuel substitution, </w:t>
      </w:r>
      <w:r w:rsidRPr="00806855">
        <w:rPr>
          <w:color w:val="000000" w:themeColor="text1"/>
        </w:rPr>
        <w:t>as well as the t</w:t>
      </w:r>
      <w:r w:rsidR="00F71C60">
        <w:rPr>
          <w:color w:val="000000" w:themeColor="text1"/>
        </w:rPr>
        <w:t xml:space="preserve">hermal efficiency of the brakes, </w:t>
      </w:r>
      <w:r w:rsidRPr="00806855">
        <w:rPr>
          <w:color w:val="000000" w:themeColor="text1"/>
        </w:rPr>
        <w:t>has increased. Emissions of exhaust gases such as carbon monoxide and methane were observed to decrease. From the literature survey above, various authors have experienced positive results from the use of biogas as an alternative fuel in diesel engines with dual fuel mode and to reduce greenhouse gas emissions and to replace the d</w:t>
      </w:r>
      <w:r w:rsidR="00F71C60">
        <w:rPr>
          <w:color w:val="000000" w:themeColor="text1"/>
        </w:rPr>
        <w:t>e</w:t>
      </w:r>
      <w:r w:rsidR="00EE190D">
        <w:rPr>
          <w:color w:val="000000" w:themeColor="text1"/>
        </w:rPr>
        <w:t xml:space="preserve">pleting fossil fuels </w:t>
      </w:r>
      <w:r w:rsidR="00EE190D">
        <w:rPr>
          <w:color w:val="000000" w:themeColor="text1"/>
        </w:rPr>
        <w:fldChar w:fldCharType="begin" w:fldLock="1"/>
      </w:r>
      <w:r w:rsidR="00102129">
        <w:rPr>
          <w:color w:val="000000" w:themeColor="text1"/>
        </w:rPr>
        <w:instrText>ADDIN CSL_CITATION {"citationItems":[{"id":"ITEM-1","itemData":{"DOI":"10.1016/j.csite.2017.06.003","ISSN":"2214157X","abstract":"A small compression ignition (CI) engine with a rated power of 4.41 kW has been tested in dual-fuel (diesel-biogas) mode without any significant modification. The objectives are to explore the effects of biogas flow rate and methane concentration on the performance and emissions of the CI engine run in dual-fuel mode. The experiments have been carried out at engine load and speed vary from 1000 rpm to 1500 rpm and 600 W to 1500 W, respectively. The results show that the output power and specific fuel consumption of the CI engine run in dual-fuel mode are higher than the CI engine run in pure diesel mode. Brake thermal efficiency of the CI engine run in dual-fuel mode strongly affected by biogas flow rate and methane concentration. There exists an optimum biogas flow rate for a maximum brake thermal efficiency. The biogas can reduce the diesel fuel consumption significantly. In the present CI engine, diesel replacement ratio varies from 15.3% to 87.5%. At engine load and speed of 1500 W and 1500 rpm, to get maximum efficiency, the present CI engine should be operated at biogas energy ratios of 15% and 18% using biogas with 60% and 70% methane concentrations, respectively.","author":[{"dropping-particle":"","family":"Ambarita","given":"Himsar","non-dropping-particle":"","parse-names":false,"suffix":""}],"container-title":"Case Studies in Thermal Engineering","id":"ITEM-1","issued":{"date-parts":[["2017"]]},"title":"Performance and emission characteristics of a small diesel engine run in dual-fuel (diesel-biogas) mode","type":"article-journal","volume":"10"},"uris":["http://www.mendeley.com/documents/?uuid=e53931ee-fa15-3883-a6d9-e09ee8fd9c8f"]}],"mendeley":{"formattedCitation":"(Ambarita, 2017)","plainTextFormattedCitation":"(Ambarita, 2017)","previouslyFormattedCitation":"(Ambarita, 2017)"},"properties":{"noteIndex":0},"schema":"https://github.com/citation-style-language/schema/raw/master/csl-citation.json"}</w:instrText>
      </w:r>
      <w:r w:rsidR="00EE190D">
        <w:rPr>
          <w:color w:val="000000" w:themeColor="text1"/>
        </w:rPr>
        <w:fldChar w:fldCharType="separate"/>
      </w:r>
      <w:r w:rsidR="00EE190D" w:rsidRPr="00EE190D">
        <w:rPr>
          <w:noProof/>
          <w:color w:val="000000" w:themeColor="text1"/>
        </w:rPr>
        <w:t>(Ambarita, 2017)</w:t>
      </w:r>
      <w:r w:rsidR="00EE190D">
        <w:rPr>
          <w:color w:val="000000" w:themeColor="text1"/>
        </w:rPr>
        <w:fldChar w:fldCharType="end"/>
      </w:r>
    </w:p>
    <w:p w14:paraId="5A11AA89" w14:textId="539CEE65" w:rsidR="00B7010C" w:rsidRPr="00F71C60" w:rsidRDefault="00806855" w:rsidP="00F71C60">
      <w:pPr>
        <w:spacing w:after="0" w:line="240" w:lineRule="auto"/>
        <w:ind w:left="0" w:right="0" w:firstLine="0"/>
        <w:rPr>
          <w:color w:val="000000" w:themeColor="text1"/>
        </w:rPr>
      </w:pPr>
      <w:r w:rsidRPr="00806855">
        <w:rPr>
          <w:szCs w:val="24"/>
        </w:rPr>
        <w:lastRenderedPageBreak/>
        <w:t>In this research, a numerical test will be conducted regarding how the effect of variations in the percentage of biodiesel-biogas in a dual fuel engine on the</w:t>
      </w:r>
      <w:r w:rsidR="00F71C60">
        <w:rPr>
          <w:szCs w:val="24"/>
        </w:rPr>
        <w:t xml:space="preserve"> performance, combustion, </w:t>
      </w:r>
      <w:r w:rsidRPr="00806855">
        <w:rPr>
          <w:szCs w:val="24"/>
        </w:rPr>
        <w:t>and emissions it produces. It is hoped that the results of this study can provide input regarding the ideal conditioning of the biodiesel – biogas ratio that produces good performance and low emission levels.</w:t>
      </w:r>
    </w:p>
    <w:p w14:paraId="7499893A" w14:textId="77777777" w:rsidR="00806855" w:rsidRPr="00202E43" w:rsidRDefault="00806855" w:rsidP="000F7892">
      <w:pPr>
        <w:spacing w:line="240" w:lineRule="auto"/>
        <w:ind w:left="0" w:right="0" w:firstLine="0"/>
        <w:rPr>
          <w:szCs w:val="24"/>
        </w:rPr>
      </w:pPr>
    </w:p>
    <w:p w14:paraId="72C83789" w14:textId="77777777" w:rsidR="009265A0" w:rsidRDefault="0023382E" w:rsidP="00CE33F4">
      <w:pPr>
        <w:pStyle w:val="Heading1"/>
        <w:spacing w:line="240" w:lineRule="auto"/>
        <w:ind w:left="0" w:firstLine="0"/>
      </w:pPr>
      <w:r>
        <w:t xml:space="preserve">2. Methods </w:t>
      </w:r>
    </w:p>
    <w:p w14:paraId="2F9FCCB2" w14:textId="15339E7F" w:rsidR="00806855" w:rsidRDefault="00806855" w:rsidP="00F71C60">
      <w:pPr>
        <w:spacing w:after="0" w:line="240" w:lineRule="auto"/>
        <w:ind w:right="0"/>
      </w:pPr>
      <w:r w:rsidRPr="00806855">
        <w:t>The research was carried out in the form of CFD simulations to test how the effect of variations</w:t>
      </w:r>
      <w:r w:rsidR="00F71C60">
        <w:t xml:space="preserve"> in the percentage of biodiesel-</w:t>
      </w:r>
      <w:r w:rsidRPr="00806855">
        <w:t>biog</w:t>
      </w:r>
      <w:r w:rsidR="00F71C60">
        <w:t>as on the performance of a dual-</w:t>
      </w:r>
      <w:r w:rsidRPr="00806855">
        <w:t>fuel engine including power, torque, fuel consumption, and combustion performance in the form of cylinder pressure, heat releas</w:t>
      </w:r>
      <w:r>
        <w:t xml:space="preserve">e rate and emissions that arise. </w:t>
      </w:r>
      <w:r w:rsidRPr="00806855">
        <w:t>The numerical simulation that will be carried out is used to see how the res</w:t>
      </w:r>
      <w:r w:rsidR="00F71C60">
        <w:t xml:space="preserve">ults of performance, combustion, </w:t>
      </w:r>
      <w:r w:rsidRPr="00806855">
        <w:t>and emissions when the engine uses 100% biodiesel fuel, hereinafter referred to as single fuel (SF) and 50% Biodiesel + 50% Biogas and 25% Biodiesel + 75% Biogas which hereinafter referred to as dual fuel (DF). The following are the steps involved in the simulation test process in this research:</w:t>
      </w:r>
    </w:p>
    <w:p w14:paraId="1C1DE6D3" w14:textId="4AD41E55" w:rsidR="008E3DA9" w:rsidRDefault="008E3DA9" w:rsidP="00806855">
      <w:r w:rsidRPr="008E3DA9">
        <w:t>The following is the engine specification data used:</w:t>
      </w:r>
    </w:p>
    <w:p w14:paraId="6455507E" w14:textId="296D96BC" w:rsidR="000F7892" w:rsidRDefault="000F7892" w:rsidP="000F7892">
      <w:pPr>
        <w:spacing w:line="240" w:lineRule="auto"/>
        <w:ind w:firstLine="0"/>
        <w:jc w:val="center"/>
      </w:pPr>
      <w:r>
        <w:t xml:space="preserve">Table 1. Engine Spesification </w:t>
      </w:r>
    </w:p>
    <w:tbl>
      <w:tblPr>
        <w:tblW w:w="4100" w:type="dxa"/>
        <w:jc w:val="center"/>
        <w:tblLook w:val="04A0" w:firstRow="1" w:lastRow="0" w:firstColumn="1" w:lastColumn="0" w:noHBand="0" w:noVBand="1"/>
      </w:tblPr>
      <w:tblGrid>
        <w:gridCol w:w="2740"/>
        <w:gridCol w:w="1360"/>
      </w:tblGrid>
      <w:tr w:rsidR="000F7892" w:rsidRPr="00005F04" w14:paraId="61328873" w14:textId="77777777" w:rsidTr="0081495D">
        <w:trPr>
          <w:trHeight w:val="300"/>
          <w:jc w:val="center"/>
        </w:trPr>
        <w:tc>
          <w:tcPr>
            <w:tcW w:w="2740" w:type="dxa"/>
            <w:tcBorders>
              <w:top w:val="single" w:sz="4" w:space="0" w:color="auto"/>
              <w:left w:val="nil"/>
              <w:bottom w:val="single" w:sz="4" w:space="0" w:color="auto"/>
              <w:right w:val="nil"/>
            </w:tcBorders>
            <w:shd w:val="clear" w:color="auto" w:fill="auto"/>
            <w:noWrap/>
            <w:vAlign w:val="bottom"/>
            <w:hideMark/>
          </w:tcPr>
          <w:p w14:paraId="37FDDD39" w14:textId="44EA37C2" w:rsidR="000F7892" w:rsidRPr="00005F04" w:rsidRDefault="00401EF1" w:rsidP="0081495D">
            <w:pPr>
              <w:spacing w:after="0" w:line="240" w:lineRule="auto"/>
              <w:ind w:left="0" w:right="0" w:firstLine="0"/>
              <w:jc w:val="left"/>
              <w:rPr>
                <w:b/>
                <w:sz w:val="22"/>
              </w:rPr>
            </w:pPr>
            <w:r>
              <w:rPr>
                <w:b/>
                <w:sz w:val="22"/>
              </w:rPr>
              <w:t>Spesifikasi</w:t>
            </w:r>
          </w:p>
        </w:tc>
        <w:tc>
          <w:tcPr>
            <w:tcW w:w="1360" w:type="dxa"/>
            <w:tcBorders>
              <w:top w:val="single" w:sz="4" w:space="0" w:color="auto"/>
              <w:left w:val="nil"/>
              <w:bottom w:val="single" w:sz="4" w:space="0" w:color="auto"/>
              <w:right w:val="nil"/>
            </w:tcBorders>
            <w:shd w:val="clear" w:color="auto" w:fill="auto"/>
            <w:noWrap/>
            <w:vAlign w:val="bottom"/>
            <w:hideMark/>
          </w:tcPr>
          <w:p w14:paraId="211C9951" w14:textId="77777777" w:rsidR="000F7892" w:rsidRPr="00005F04" w:rsidRDefault="000F7892" w:rsidP="0081495D">
            <w:pPr>
              <w:spacing w:after="0" w:line="240" w:lineRule="auto"/>
              <w:ind w:left="0" w:right="0" w:firstLine="0"/>
              <w:jc w:val="left"/>
              <w:rPr>
                <w:b/>
                <w:sz w:val="22"/>
              </w:rPr>
            </w:pPr>
            <w:r w:rsidRPr="00005F04">
              <w:rPr>
                <w:b/>
                <w:sz w:val="22"/>
              </w:rPr>
              <w:t>Value</w:t>
            </w:r>
          </w:p>
        </w:tc>
      </w:tr>
      <w:tr w:rsidR="000F7892" w:rsidRPr="00005F04" w14:paraId="4C6E2C5E" w14:textId="77777777" w:rsidTr="0081495D">
        <w:trPr>
          <w:trHeight w:val="315"/>
          <w:jc w:val="center"/>
        </w:trPr>
        <w:tc>
          <w:tcPr>
            <w:tcW w:w="2740" w:type="dxa"/>
            <w:tcBorders>
              <w:top w:val="nil"/>
              <w:left w:val="nil"/>
              <w:bottom w:val="nil"/>
              <w:right w:val="nil"/>
            </w:tcBorders>
            <w:shd w:val="clear" w:color="auto" w:fill="auto"/>
            <w:noWrap/>
            <w:vAlign w:val="bottom"/>
            <w:hideMark/>
          </w:tcPr>
          <w:p w14:paraId="6AA97D50" w14:textId="7B163FC6" w:rsidR="000F7892" w:rsidRPr="00F71C60" w:rsidRDefault="008E3DA9" w:rsidP="0081495D">
            <w:pPr>
              <w:spacing w:after="0" w:line="240" w:lineRule="auto"/>
              <w:ind w:left="0" w:right="0" w:firstLine="0"/>
              <w:jc w:val="left"/>
              <w:rPr>
                <w:szCs w:val="24"/>
              </w:rPr>
            </w:pPr>
            <w:r w:rsidRPr="00F71C60">
              <w:rPr>
                <w:szCs w:val="24"/>
              </w:rPr>
              <w:t>Cylinder</w:t>
            </w:r>
          </w:p>
        </w:tc>
        <w:tc>
          <w:tcPr>
            <w:tcW w:w="1360" w:type="dxa"/>
            <w:tcBorders>
              <w:top w:val="nil"/>
              <w:left w:val="nil"/>
              <w:bottom w:val="nil"/>
              <w:right w:val="nil"/>
            </w:tcBorders>
            <w:shd w:val="clear" w:color="auto" w:fill="auto"/>
            <w:noWrap/>
            <w:vAlign w:val="bottom"/>
            <w:hideMark/>
          </w:tcPr>
          <w:p w14:paraId="03396897" w14:textId="73D10513" w:rsidR="000F7892" w:rsidRPr="00F71C60" w:rsidRDefault="00C025FA" w:rsidP="0081495D">
            <w:pPr>
              <w:spacing w:after="0" w:line="240" w:lineRule="auto"/>
              <w:ind w:left="0" w:right="0" w:firstLine="0"/>
              <w:jc w:val="left"/>
              <w:rPr>
                <w:szCs w:val="24"/>
              </w:rPr>
            </w:pPr>
            <w:r w:rsidRPr="00F71C60">
              <w:rPr>
                <w:szCs w:val="24"/>
              </w:rPr>
              <w:t>1</w:t>
            </w:r>
          </w:p>
        </w:tc>
      </w:tr>
      <w:tr w:rsidR="000F7892" w:rsidRPr="00005F04" w14:paraId="75C2B4F2" w14:textId="77777777" w:rsidTr="0081495D">
        <w:trPr>
          <w:trHeight w:val="300"/>
          <w:jc w:val="center"/>
        </w:trPr>
        <w:tc>
          <w:tcPr>
            <w:tcW w:w="2740" w:type="dxa"/>
            <w:tcBorders>
              <w:top w:val="nil"/>
              <w:left w:val="nil"/>
              <w:bottom w:val="nil"/>
              <w:right w:val="nil"/>
            </w:tcBorders>
            <w:shd w:val="clear" w:color="auto" w:fill="auto"/>
            <w:noWrap/>
            <w:vAlign w:val="bottom"/>
            <w:hideMark/>
          </w:tcPr>
          <w:p w14:paraId="39A8DEE1" w14:textId="5F267357" w:rsidR="000F7892" w:rsidRPr="00F71C60" w:rsidRDefault="008E3DA9" w:rsidP="0081495D">
            <w:pPr>
              <w:spacing w:after="0" w:line="240" w:lineRule="auto"/>
              <w:ind w:left="0" w:right="0" w:firstLine="0"/>
              <w:jc w:val="left"/>
              <w:rPr>
                <w:szCs w:val="24"/>
              </w:rPr>
            </w:pPr>
            <w:r w:rsidRPr="00F71C60">
              <w:rPr>
                <w:szCs w:val="24"/>
              </w:rPr>
              <w:t>Combustion Syst</w:t>
            </w:r>
          </w:p>
        </w:tc>
        <w:tc>
          <w:tcPr>
            <w:tcW w:w="1360" w:type="dxa"/>
            <w:tcBorders>
              <w:top w:val="nil"/>
              <w:left w:val="nil"/>
              <w:bottom w:val="nil"/>
              <w:right w:val="nil"/>
            </w:tcBorders>
            <w:shd w:val="clear" w:color="auto" w:fill="auto"/>
            <w:noWrap/>
            <w:vAlign w:val="bottom"/>
            <w:hideMark/>
          </w:tcPr>
          <w:p w14:paraId="1E7B2838" w14:textId="0CB21631" w:rsidR="000F7892" w:rsidRPr="00F71C60" w:rsidRDefault="00C025FA" w:rsidP="0081495D">
            <w:pPr>
              <w:spacing w:after="0" w:line="240" w:lineRule="auto"/>
              <w:ind w:left="0" w:right="0" w:firstLine="0"/>
              <w:jc w:val="left"/>
              <w:rPr>
                <w:szCs w:val="24"/>
              </w:rPr>
            </w:pPr>
            <w:r w:rsidRPr="00F71C60">
              <w:rPr>
                <w:szCs w:val="24"/>
              </w:rPr>
              <w:t>DI</w:t>
            </w:r>
          </w:p>
        </w:tc>
      </w:tr>
      <w:tr w:rsidR="000F7892" w:rsidRPr="00005F04" w14:paraId="63FCC3E1" w14:textId="77777777" w:rsidTr="0081495D">
        <w:trPr>
          <w:trHeight w:val="300"/>
          <w:jc w:val="center"/>
        </w:trPr>
        <w:tc>
          <w:tcPr>
            <w:tcW w:w="2740" w:type="dxa"/>
            <w:tcBorders>
              <w:top w:val="nil"/>
              <w:left w:val="nil"/>
              <w:bottom w:val="nil"/>
              <w:right w:val="nil"/>
            </w:tcBorders>
            <w:shd w:val="clear" w:color="auto" w:fill="auto"/>
            <w:noWrap/>
            <w:vAlign w:val="bottom"/>
            <w:hideMark/>
          </w:tcPr>
          <w:p w14:paraId="49A4A87E" w14:textId="006BA501" w:rsidR="000F7892" w:rsidRPr="00F71C60" w:rsidRDefault="00401EF1" w:rsidP="0081495D">
            <w:pPr>
              <w:spacing w:after="0" w:line="240" w:lineRule="auto"/>
              <w:ind w:left="0" w:right="0" w:firstLine="0"/>
              <w:jc w:val="left"/>
              <w:rPr>
                <w:szCs w:val="24"/>
              </w:rPr>
            </w:pPr>
            <w:r w:rsidRPr="00F71C60">
              <w:rPr>
                <w:szCs w:val="24"/>
              </w:rPr>
              <w:t>Bore X Stroke</w:t>
            </w:r>
          </w:p>
        </w:tc>
        <w:tc>
          <w:tcPr>
            <w:tcW w:w="1360" w:type="dxa"/>
            <w:tcBorders>
              <w:top w:val="nil"/>
              <w:left w:val="nil"/>
              <w:bottom w:val="nil"/>
              <w:right w:val="nil"/>
            </w:tcBorders>
            <w:shd w:val="clear" w:color="auto" w:fill="auto"/>
            <w:noWrap/>
            <w:vAlign w:val="bottom"/>
            <w:hideMark/>
          </w:tcPr>
          <w:p w14:paraId="4CE0B7EC" w14:textId="49320206" w:rsidR="000F7892" w:rsidRPr="00F71C60" w:rsidRDefault="00C025FA" w:rsidP="0081495D">
            <w:pPr>
              <w:spacing w:after="0" w:line="240" w:lineRule="auto"/>
              <w:ind w:left="0" w:right="0" w:firstLine="0"/>
              <w:jc w:val="left"/>
              <w:rPr>
                <w:szCs w:val="24"/>
              </w:rPr>
            </w:pPr>
            <w:r w:rsidRPr="00F71C60">
              <w:rPr>
                <w:szCs w:val="24"/>
              </w:rPr>
              <w:t>85x87 mm</w:t>
            </w:r>
          </w:p>
        </w:tc>
      </w:tr>
      <w:tr w:rsidR="000F7892" w:rsidRPr="00005F04" w14:paraId="42A4EF4F" w14:textId="77777777" w:rsidTr="0081495D">
        <w:trPr>
          <w:trHeight w:val="300"/>
          <w:jc w:val="center"/>
        </w:trPr>
        <w:tc>
          <w:tcPr>
            <w:tcW w:w="2740" w:type="dxa"/>
            <w:tcBorders>
              <w:top w:val="nil"/>
              <w:left w:val="nil"/>
              <w:bottom w:val="nil"/>
              <w:right w:val="nil"/>
            </w:tcBorders>
            <w:shd w:val="clear" w:color="auto" w:fill="auto"/>
            <w:noWrap/>
            <w:vAlign w:val="bottom"/>
            <w:hideMark/>
          </w:tcPr>
          <w:p w14:paraId="72F38532" w14:textId="6123C33E" w:rsidR="000F7892" w:rsidRPr="00F71C60" w:rsidRDefault="00401EF1" w:rsidP="0081495D">
            <w:pPr>
              <w:spacing w:after="0" w:line="240" w:lineRule="auto"/>
              <w:ind w:left="0" w:right="0" w:firstLine="0"/>
              <w:jc w:val="left"/>
              <w:rPr>
                <w:szCs w:val="24"/>
              </w:rPr>
            </w:pPr>
            <w:r w:rsidRPr="00F71C60">
              <w:rPr>
                <w:szCs w:val="24"/>
              </w:rPr>
              <w:t>Displacemen</w:t>
            </w:r>
            <w:r w:rsidR="008E3DA9" w:rsidRPr="00F71C60">
              <w:rPr>
                <w:szCs w:val="24"/>
              </w:rPr>
              <w:t>t</w:t>
            </w:r>
          </w:p>
        </w:tc>
        <w:tc>
          <w:tcPr>
            <w:tcW w:w="1360" w:type="dxa"/>
            <w:tcBorders>
              <w:top w:val="nil"/>
              <w:left w:val="nil"/>
              <w:bottom w:val="nil"/>
              <w:right w:val="nil"/>
            </w:tcBorders>
            <w:shd w:val="clear" w:color="auto" w:fill="auto"/>
            <w:noWrap/>
            <w:vAlign w:val="bottom"/>
            <w:hideMark/>
          </w:tcPr>
          <w:p w14:paraId="0349D60A" w14:textId="2938150E" w:rsidR="000F7892" w:rsidRPr="00F71C60" w:rsidRDefault="00C025FA" w:rsidP="0081495D">
            <w:pPr>
              <w:spacing w:after="0" w:line="240" w:lineRule="auto"/>
              <w:ind w:left="0" w:right="0" w:firstLine="0"/>
              <w:jc w:val="left"/>
              <w:rPr>
                <w:szCs w:val="24"/>
              </w:rPr>
            </w:pPr>
            <w:r w:rsidRPr="00F71C60">
              <w:rPr>
                <w:szCs w:val="24"/>
              </w:rPr>
              <w:t>493 cc</w:t>
            </w:r>
          </w:p>
        </w:tc>
      </w:tr>
      <w:tr w:rsidR="000F7892" w:rsidRPr="00005F04" w14:paraId="3E22C494" w14:textId="77777777" w:rsidTr="0081495D">
        <w:trPr>
          <w:trHeight w:val="300"/>
          <w:jc w:val="center"/>
        </w:trPr>
        <w:tc>
          <w:tcPr>
            <w:tcW w:w="2740" w:type="dxa"/>
            <w:tcBorders>
              <w:top w:val="nil"/>
              <w:left w:val="nil"/>
              <w:bottom w:val="nil"/>
              <w:right w:val="nil"/>
            </w:tcBorders>
            <w:shd w:val="clear" w:color="auto" w:fill="auto"/>
            <w:noWrap/>
            <w:vAlign w:val="bottom"/>
            <w:hideMark/>
          </w:tcPr>
          <w:p w14:paraId="4C7D93F3" w14:textId="69C47430" w:rsidR="000F7892" w:rsidRPr="00F71C60" w:rsidRDefault="008E3DA9" w:rsidP="0081495D">
            <w:pPr>
              <w:spacing w:after="0" w:line="240" w:lineRule="auto"/>
              <w:ind w:left="0" w:right="0" w:firstLine="0"/>
              <w:jc w:val="left"/>
              <w:rPr>
                <w:szCs w:val="24"/>
              </w:rPr>
            </w:pPr>
            <w:r w:rsidRPr="00F71C60">
              <w:rPr>
                <w:szCs w:val="24"/>
              </w:rPr>
              <w:t>Compression Ratio</w:t>
            </w:r>
          </w:p>
        </w:tc>
        <w:tc>
          <w:tcPr>
            <w:tcW w:w="1360" w:type="dxa"/>
            <w:tcBorders>
              <w:top w:val="nil"/>
              <w:left w:val="nil"/>
              <w:bottom w:val="nil"/>
              <w:right w:val="nil"/>
            </w:tcBorders>
            <w:shd w:val="clear" w:color="auto" w:fill="auto"/>
            <w:noWrap/>
            <w:vAlign w:val="bottom"/>
            <w:hideMark/>
          </w:tcPr>
          <w:p w14:paraId="08A1B17D" w14:textId="13B283B3" w:rsidR="000F7892" w:rsidRPr="00F71C60" w:rsidRDefault="00C025FA" w:rsidP="0081495D">
            <w:pPr>
              <w:spacing w:after="0" w:line="240" w:lineRule="auto"/>
              <w:ind w:left="0" w:right="0" w:firstLine="0"/>
              <w:jc w:val="left"/>
              <w:rPr>
                <w:szCs w:val="24"/>
              </w:rPr>
            </w:pPr>
            <w:r w:rsidRPr="00F71C60">
              <w:rPr>
                <w:szCs w:val="24"/>
              </w:rPr>
              <w:t>18:1</w:t>
            </w:r>
          </w:p>
        </w:tc>
      </w:tr>
      <w:tr w:rsidR="000F7892" w:rsidRPr="00005F04" w14:paraId="2E51968E" w14:textId="77777777" w:rsidTr="00401EF1">
        <w:trPr>
          <w:trHeight w:val="300"/>
          <w:jc w:val="center"/>
        </w:trPr>
        <w:tc>
          <w:tcPr>
            <w:tcW w:w="2740" w:type="dxa"/>
            <w:tcBorders>
              <w:top w:val="nil"/>
              <w:left w:val="nil"/>
              <w:bottom w:val="nil"/>
              <w:right w:val="nil"/>
            </w:tcBorders>
            <w:shd w:val="clear" w:color="auto" w:fill="auto"/>
            <w:noWrap/>
            <w:vAlign w:val="bottom"/>
            <w:hideMark/>
          </w:tcPr>
          <w:p w14:paraId="56DC3622" w14:textId="6FA22A20" w:rsidR="000F7892" w:rsidRPr="00F71C60" w:rsidRDefault="00401EF1" w:rsidP="0081495D">
            <w:pPr>
              <w:spacing w:after="0" w:line="240" w:lineRule="auto"/>
              <w:ind w:left="0" w:right="0" w:firstLine="0"/>
              <w:jc w:val="left"/>
              <w:rPr>
                <w:szCs w:val="24"/>
              </w:rPr>
            </w:pPr>
            <w:r w:rsidRPr="00F71C60">
              <w:rPr>
                <w:szCs w:val="24"/>
              </w:rPr>
              <w:t xml:space="preserve">Max engine speed </w:t>
            </w:r>
          </w:p>
        </w:tc>
        <w:tc>
          <w:tcPr>
            <w:tcW w:w="1360" w:type="dxa"/>
            <w:tcBorders>
              <w:top w:val="nil"/>
              <w:left w:val="nil"/>
              <w:bottom w:val="nil"/>
              <w:right w:val="nil"/>
            </w:tcBorders>
            <w:shd w:val="clear" w:color="auto" w:fill="auto"/>
            <w:noWrap/>
            <w:vAlign w:val="bottom"/>
            <w:hideMark/>
          </w:tcPr>
          <w:p w14:paraId="5915A46C" w14:textId="5719FA32" w:rsidR="000F7892" w:rsidRPr="00F71C60" w:rsidRDefault="00C025FA" w:rsidP="0081495D">
            <w:pPr>
              <w:spacing w:after="0" w:line="240" w:lineRule="auto"/>
              <w:ind w:left="0" w:right="0" w:firstLine="0"/>
              <w:jc w:val="left"/>
              <w:rPr>
                <w:szCs w:val="24"/>
              </w:rPr>
            </w:pPr>
            <w:r w:rsidRPr="00F71C60">
              <w:rPr>
                <w:szCs w:val="24"/>
              </w:rPr>
              <w:t>2200 Rpm</w:t>
            </w:r>
          </w:p>
        </w:tc>
      </w:tr>
      <w:tr w:rsidR="00401EF1" w:rsidRPr="00005F04" w14:paraId="5A56B692" w14:textId="77777777" w:rsidTr="00401EF1">
        <w:trPr>
          <w:trHeight w:val="300"/>
          <w:jc w:val="center"/>
        </w:trPr>
        <w:tc>
          <w:tcPr>
            <w:tcW w:w="2740" w:type="dxa"/>
            <w:tcBorders>
              <w:top w:val="nil"/>
              <w:left w:val="nil"/>
              <w:bottom w:val="nil"/>
              <w:right w:val="nil"/>
            </w:tcBorders>
            <w:shd w:val="clear" w:color="auto" w:fill="auto"/>
            <w:noWrap/>
            <w:vAlign w:val="bottom"/>
          </w:tcPr>
          <w:p w14:paraId="2524F05A" w14:textId="4BA6EE3B" w:rsidR="00401EF1" w:rsidRPr="00F71C60" w:rsidRDefault="00401EF1" w:rsidP="0081495D">
            <w:pPr>
              <w:spacing w:after="0" w:line="240" w:lineRule="auto"/>
              <w:ind w:left="0" w:right="0" w:firstLine="0"/>
              <w:jc w:val="left"/>
              <w:rPr>
                <w:szCs w:val="24"/>
              </w:rPr>
            </w:pPr>
            <w:r w:rsidRPr="00F71C60">
              <w:rPr>
                <w:szCs w:val="24"/>
              </w:rPr>
              <w:t>Continuous Power Output</w:t>
            </w:r>
          </w:p>
        </w:tc>
        <w:tc>
          <w:tcPr>
            <w:tcW w:w="1360" w:type="dxa"/>
            <w:tcBorders>
              <w:top w:val="nil"/>
              <w:left w:val="nil"/>
              <w:bottom w:val="nil"/>
              <w:right w:val="nil"/>
            </w:tcBorders>
            <w:shd w:val="clear" w:color="auto" w:fill="auto"/>
            <w:noWrap/>
            <w:vAlign w:val="bottom"/>
          </w:tcPr>
          <w:p w14:paraId="15257DC5" w14:textId="1AA0341F" w:rsidR="00401EF1" w:rsidRPr="00F71C60" w:rsidRDefault="00C025FA" w:rsidP="0081495D">
            <w:pPr>
              <w:spacing w:after="0" w:line="240" w:lineRule="auto"/>
              <w:ind w:left="0" w:right="0" w:firstLine="0"/>
              <w:jc w:val="left"/>
              <w:rPr>
                <w:szCs w:val="24"/>
              </w:rPr>
            </w:pPr>
            <w:r w:rsidRPr="00F71C60">
              <w:rPr>
                <w:szCs w:val="24"/>
              </w:rPr>
              <w:t>7,5 kW</w:t>
            </w:r>
          </w:p>
        </w:tc>
      </w:tr>
      <w:tr w:rsidR="00401EF1" w:rsidRPr="00005F04" w14:paraId="11DE75A5" w14:textId="77777777" w:rsidTr="00401EF1">
        <w:trPr>
          <w:trHeight w:val="300"/>
          <w:jc w:val="center"/>
        </w:trPr>
        <w:tc>
          <w:tcPr>
            <w:tcW w:w="2740" w:type="dxa"/>
            <w:tcBorders>
              <w:top w:val="nil"/>
              <w:left w:val="nil"/>
              <w:bottom w:val="nil"/>
              <w:right w:val="nil"/>
            </w:tcBorders>
            <w:shd w:val="clear" w:color="auto" w:fill="auto"/>
            <w:noWrap/>
            <w:vAlign w:val="bottom"/>
          </w:tcPr>
          <w:p w14:paraId="234789C9" w14:textId="1E53F23E" w:rsidR="00401EF1" w:rsidRPr="00F71C60" w:rsidRDefault="00401EF1" w:rsidP="0081495D">
            <w:pPr>
              <w:spacing w:after="0" w:line="240" w:lineRule="auto"/>
              <w:ind w:left="0" w:right="0" w:firstLine="0"/>
              <w:jc w:val="left"/>
              <w:rPr>
                <w:szCs w:val="24"/>
              </w:rPr>
            </w:pPr>
            <w:r w:rsidRPr="00F71C60">
              <w:rPr>
                <w:szCs w:val="24"/>
              </w:rPr>
              <w:t>Spesific Fuel Consumption</w:t>
            </w:r>
          </w:p>
        </w:tc>
        <w:tc>
          <w:tcPr>
            <w:tcW w:w="1360" w:type="dxa"/>
            <w:tcBorders>
              <w:top w:val="nil"/>
              <w:left w:val="nil"/>
              <w:bottom w:val="nil"/>
              <w:right w:val="nil"/>
            </w:tcBorders>
            <w:shd w:val="clear" w:color="auto" w:fill="auto"/>
            <w:noWrap/>
            <w:vAlign w:val="bottom"/>
          </w:tcPr>
          <w:p w14:paraId="0A7DA98E" w14:textId="0EFC4894" w:rsidR="00401EF1" w:rsidRPr="00F71C60" w:rsidRDefault="00C025FA" w:rsidP="0081495D">
            <w:pPr>
              <w:spacing w:after="0" w:line="240" w:lineRule="auto"/>
              <w:ind w:left="0" w:right="0" w:firstLine="0"/>
              <w:jc w:val="left"/>
              <w:rPr>
                <w:szCs w:val="24"/>
              </w:rPr>
            </w:pPr>
            <w:r w:rsidRPr="00F71C60">
              <w:rPr>
                <w:szCs w:val="24"/>
              </w:rPr>
              <w:t>171 gr/hp.h</w:t>
            </w:r>
          </w:p>
        </w:tc>
      </w:tr>
      <w:tr w:rsidR="00401EF1" w:rsidRPr="00005F04" w14:paraId="383F964B" w14:textId="77777777" w:rsidTr="0081495D">
        <w:trPr>
          <w:trHeight w:val="300"/>
          <w:jc w:val="center"/>
        </w:trPr>
        <w:tc>
          <w:tcPr>
            <w:tcW w:w="2740" w:type="dxa"/>
            <w:tcBorders>
              <w:top w:val="nil"/>
              <w:left w:val="nil"/>
              <w:bottom w:val="single" w:sz="4" w:space="0" w:color="auto"/>
              <w:right w:val="nil"/>
            </w:tcBorders>
            <w:shd w:val="clear" w:color="auto" w:fill="auto"/>
            <w:noWrap/>
            <w:vAlign w:val="bottom"/>
          </w:tcPr>
          <w:p w14:paraId="2E797608" w14:textId="7A758892" w:rsidR="00401EF1" w:rsidRPr="00F71C60" w:rsidRDefault="00401EF1" w:rsidP="0081495D">
            <w:pPr>
              <w:spacing w:after="0" w:line="240" w:lineRule="auto"/>
              <w:ind w:left="0" w:right="0" w:firstLine="0"/>
              <w:jc w:val="left"/>
              <w:rPr>
                <w:szCs w:val="24"/>
              </w:rPr>
            </w:pPr>
            <w:r w:rsidRPr="00F71C60">
              <w:rPr>
                <w:szCs w:val="24"/>
              </w:rPr>
              <w:t>Volume per Injection</w:t>
            </w:r>
          </w:p>
        </w:tc>
        <w:tc>
          <w:tcPr>
            <w:tcW w:w="1360" w:type="dxa"/>
            <w:tcBorders>
              <w:top w:val="nil"/>
              <w:left w:val="nil"/>
              <w:bottom w:val="single" w:sz="4" w:space="0" w:color="auto"/>
              <w:right w:val="nil"/>
            </w:tcBorders>
            <w:shd w:val="clear" w:color="auto" w:fill="auto"/>
            <w:noWrap/>
            <w:vAlign w:val="bottom"/>
          </w:tcPr>
          <w:p w14:paraId="04B1E8E0" w14:textId="7F791BE5" w:rsidR="00401EF1" w:rsidRPr="00F71C60" w:rsidRDefault="00C025FA" w:rsidP="0081495D">
            <w:pPr>
              <w:spacing w:after="0" w:line="240" w:lineRule="auto"/>
              <w:ind w:left="0" w:right="0" w:firstLine="0"/>
              <w:jc w:val="left"/>
              <w:rPr>
                <w:szCs w:val="24"/>
              </w:rPr>
            </w:pPr>
            <w:r w:rsidRPr="00F71C60">
              <w:rPr>
                <w:szCs w:val="24"/>
              </w:rPr>
              <w:t>0,07 ml</w:t>
            </w:r>
          </w:p>
        </w:tc>
      </w:tr>
    </w:tbl>
    <w:p w14:paraId="66E79FCD" w14:textId="77777777" w:rsidR="000F7892" w:rsidRDefault="000F7892" w:rsidP="00C025FA">
      <w:pPr>
        <w:ind w:left="0" w:firstLine="0"/>
      </w:pPr>
    </w:p>
    <w:p w14:paraId="675CE288" w14:textId="4B7CD053" w:rsidR="00F31DC2" w:rsidRPr="00BE61B2" w:rsidRDefault="008E3DA9" w:rsidP="00F71C60">
      <w:pPr>
        <w:spacing w:after="0" w:line="240" w:lineRule="auto"/>
        <w:ind w:left="0" w:right="0" w:firstLine="0"/>
      </w:pPr>
      <w:r w:rsidRPr="008E3DA9">
        <w:t>In this process, the model is made using solid work. The image made is an existing picture of the condition of the piston and combustion chamber. The next step is to input the main engine data and im</w:t>
      </w:r>
      <w:r>
        <w:t>port images from solid work to A</w:t>
      </w:r>
      <w:r w:rsidRPr="008E3DA9">
        <w:t>nsys forte as well as setting the direction of the pilot fuel spray. The activity of meshing or forming into smaller cells for the nex</w:t>
      </w:r>
      <w:r>
        <w:t>t calculation process with the A</w:t>
      </w:r>
      <w:r w:rsidRPr="008E3DA9">
        <w:t>nsys forte solver becomes an advanced process. The calculation process begins with determining the fuel to be used, determining the injection timing and the mass of the injected fuel, determining the boundary conditions and the direction of the piston motion, determining the initial conditions and gas mixture. The simulation control process includes determining the crank angle that you want to display, the running process produces graphic visualization, while the rendering process will produce contour output as we want such as displaying pressure, temperature and velocity visualizations. While the final process is rendering the visual output on the forte monitor according to what we want to display, it can be in th</w:t>
      </w:r>
      <w:r w:rsidR="00030691">
        <w:t xml:space="preserve">e form of velocity, temperature, </w:t>
      </w:r>
      <w:r w:rsidRPr="008E3DA9">
        <w:t>or pressure contours</w:t>
      </w:r>
    </w:p>
    <w:p w14:paraId="716DDF7E" w14:textId="78C81CCC" w:rsidR="005D3894" w:rsidRDefault="00F31DC2" w:rsidP="00CE33F4">
      <w:pPr>
        <w:spacing w:line="240" w:lineRule="auto"/>
        <w:rPr>
          <w:noProof/>
        </w:rPr>
      </w:pPr>
      <w:r>
        <w:rPr>
          <w:noProof/>
        </w:rPr>
        <w:lastRenderedPageBreak/>
        <w:drawing>
          <wp:inline distT="0" distB="0" distL="0" distR="0" wp14:anchorId="5F255D13" wp14:editId="48A15131">
            <wp:extent cx="2942896" cy="2111155"/>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21127" t="17107" r="24429" b="26056"/>
                    <a:stretch/>
                  </pic:blipFill>
                  <pic:spPr bwMode="auto">
                    <a:xfrm>
                      <a:off x="0" y="0"/>
                      <a:ext cx="2959916" cy="2123364"/>
                    </a:xfrm>
                    <a:prstGeom prst="rect">
                      <a:avLst/>
                    </a:prstGeom>
                    <a:ln>
                      <a:noFill/>
                    </a:ln>
                    <a:extLst>
                      <a:ext uri="{53640926-AAD7-44D8-BBD7-CCE9431645EC}">
                        <a14:shadowObscured xmlns:a14="http://schemas.microsoft.com/office/drawing/2010/main"/>
                      </a:ext>
                    </a:extLst>
                  </pic:spPr>
                </pic:pic>
              </a:graphicData>
            </a:graphic>
          </wp:inline>
        </w:drawing>
      </w:r>
      <w:r>
        <w:rPr>
          <w:szCs w:val="24"/>
        </w:rPr>
        <w:t xml:space="preserve">  </w:t>
      </w:r>
      <w:r>
        <w:rPr>
          <w:noProof/>
        </w:rPr>
        <w:t xml:space="preserve">     </w:t>
      </w:r>
      <w:r>
        <w:rPr>
          <w:noProof/>
        </w:rPr>
        <w:drawing>
          <wp:inline distT="0" distB="0" distL="0" distR="0" wp14:anchorId="567271A3" wp14:editId="49C9245E">
            <wp:extent cx="2816773" cy="2111941"/>
            <wp:effectExtent l="0" t="0" r="3175"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20955" t="23217" r="24600" b="15362"/>
                    <a:stretch/>
                  </pic:blipFill>
                  <pic:spPr bwMode="auto">
                    <a:xfrm>
                      <a:off x="0" y="0"/>
                      <a:ext cx="2822719" cy="2116399"/>
                    </a:xfrm>
                    <a:prstGeom prst="rect">
                      <a:avLst/>
                    </a:prstGeom>
                    <a:ln>
                      <a:noFill/>
                    </a:ln>
                    <a:extLst>
                      <a:ext uri="{53640926-AAD7-44D8-BBD7-CCE9431645EC}">
                        <a14:shadowObscured xmlns:a14="http://schemas.microsoft.com/office/drawing/2010/main"/>
                      </a:ext>
                    </a:extLst>
                  </pic:spPr>
                </pic:pic>
              </a:graphicData>
            </a:graphic>
          </wp:inline>
        </w:drawing>
      </w:r>
    </w:p>
    <w:p w14:paraId="283D2EA4" w14:textId="77777777" w:rsidR="00F31DC2" w:rsidRDefault="00F31DC2" w:rsidP="00CE33F4">
      <w:pPr>
        <w:spacing w:line="240" w:lineRule="auto"/>
        <w:rPr>
          <w:noProof/>
        </w:rPr>
      </w:pPr>
    </w:p>
    <w:p w14:paraId="4E331CF9" w14:textId="4EC08BD5" w:rsidR="00F31DC2" w:rsidRDefault="00573B6A" w:rsidP="00565E3D">
      <w:pPr>
        <w:spacing w:line="240" w:lineRule="auto"/>
        <w:jc w:val="center"/>
        <w:rPr>
          <w:noProof/>
        </w:rPr>
      </w:pPr>
      <w:r>
        <w:rPr>
          <w:b/>
          <w:noProof/>
        </w:rPr>
        <w:t>Figure</w:t>
      </w:r>
      <w:r w:rsidR="00F31DC2" w:rsidRPr="00565E3D">
        <w:rPr>
          <w:b/>
          <w:noProof/>
        </w:rPr>
        <w:t>.1</w:t>
      </w:r>
      <w:r w:rsidR="008E3DA9">
        <w:rPr>
          <w:noProof/>
        </w:rPr>
        <w:t xml:space="preserve"> </w:t>
      </w:r>
      <w:r w:rsidR="008E3DA9" w:rsidRPr="008E3DA9">
        <w:rPr>
          <w:noProof/>
        </w:rPr>
        <w:t>The process of determining injection and boundary conditions</w:t>
      </w:r>
    </w:p>
    <w:p w14:paraId="19EB6B0E" w14:textId="77777777" w:rsidR="00F31DC2" w:rsidRPr="005D3894" w:rsidRDefault="00F31DC2" w:rsidP="00CE33F4">
      <w:pPr>
        <w:spacing w:line="240" w:lineRule="auto"/>
        <w:rPr>
          <w:szCs w:val="24"/>
        </w:rPr>
      </w:pPr>
    </w:p>
    <w:p w14:paraId="1F23E4AE" w14:textId="77777777" w:rsidR="009265A0" w:rsidRDefault="0023382E" w:rsidP="00CE33F4">
      <w:pPr>
        <w:pStyle w:val="Heading1"/>
        <w:spacing w:line="240" w:lineRule="auto"/>
        <w:ind w:left="-5"/>
      </w:pPr>
      <w:r w:rsidRPr="005D3894">
        <w:rPr>
          <w:szCs w:val="24"/>
        </w:rPr>
        <w:t>3</w:t>
      </w:r>
      <w:r>
        <w:t>. Results And Discussion</w:t>
      </w:r>
    </w:p>
    <w:p w14:paraId="0EB25432" w14:textId="77777777" w:rsidR="00AF6339" w:rsidRDefault="00AF6339" w:rsidP="00CE33F4">
      <w:pPr>
        <w:spacing w:line="240" w:lineRule="auto"/>
        <w:ind w:firstLine="0"/>
        <w:jc w:val="center"/>
      </w:pPr>
    </w:p>
    <w:p w14:paraId="27606718" w14:textId="65F617B9" w:rsidR="005652B5" w:rsidRDefault="005652B5" w:rsidP="005652B5">
      <w:pPr>
        <w:spacing w:line="240" w:lineRule="auto"/>
        <w:ind w:firstLine="0"/>
        <w:jc w:val="left"/>
      </w:pPr>
      <w:r>
        <w:rPr>
          <w:noProof/>
        </w:rPr>
        <w:drawing>
          <wp:inline distT="0" distB="0" distL="0" distR="0" wp14:anchorId="197D91E5" wp14:editId="7DD60E57">
            <wp:extent cx="2914650" cy="21526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14650" cy="2152650"/>
                    </a:xfrm>
                    <a:prstGeom prst="rect">
                      <a:avLst/>
                    </a:prstGeom>
                    <a:noFill/>
                  </pic:spPr>
                </pic:pic>
              </a:graphicData>
            </a:graphic>
          </wp:inline>
        </w:drawing>
      </w:r>
      <w:r>
        <w:t xml:space="preserve">  </w:t>
      </w:r>
      <w:r>
        <w:rPr>
          <w:noProof/>
        </w:rPr>
        <w:drawing>
          <wp:inline distT="0" distB="0" distL="0" distR="0" wp14:anchorId="6EA97657" wp14:editId="44D5B823">
            <wp:extent cx="2952750" cy="212153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952750" cy="2121535"/>
                    </a:xfrm>
                    <a:prstGeom prst="rect">
                      <a:avLst/>
                    </a:prstGeom>
                    <a:noFill/>
                  </pic:spPr>
                </pic:pic>
              </a:graphicData>
            </a:graphic>
          </wp:inline>
        </w:drawing>
      </w:r>
    </w:p>
    <w:p w14:paraId="0534FEDF" w14:textId="3A121CAA" w:rsidR="005652B5" w:rsidRDefault="0035272D" w:rsidP="0035272D">
      <w:pPr>
        <w:pStyle w:val="ListParagraph"/>
        <w:numPr>
          <w:ilvl w:val="0"/>
          <w:numId w:val="11"/>
        </w:numPr>
        <w:spacing w:line="240" w:lineRule="auto"/>
      </w:pPr>
      <w:r>
        <w:t xml:space="preserve">                                                                                     (b)</w:t>
      </w:r>
    </w:p>
    <w:p w14:paraId="29A856AE" w14:textId="097F248D" w:rsidR="0035272D" w:rsidRPr="0035272D" w:rsidRDefault="00573B6A" w:rsidP="0035272D">
      <w:pPr>
        <w:pStyle w:val="ListParagraph"/>
        <w:spacing w:line="240" w:lineRule="auto"/>
        <w:ind w:left="2650"/>
        <w:rPr>
          <w:rFonts w:ascii="Times New Roman" w:hAnsi="Times New Roman" w:cs="Times New Roman"/>
        </w:rPr>
      </w:pPr>
      <w:r>
        <w:rPr>
          <w:rFonts w:ascii="Times New Roman" w:hAnsi="Times New Roman" w:cs="Times New Roman"/>
          <w:b/>
        </w:rPr>
        <w:t>Figure</w:t>
      </w:r>
      <w:r w:rsidR="0035272D" w:rsidRPr="0035272D">
        <w:rPr>
          <w:rFonts w:ascii="Times New Roman" w:hAnsi="Times New Roman" w:cs="Times New Roman"/>
          <w:b/>
        </w:rPr>
        <w:t xml:space="preserve"> 2</w:t>
      </w:r>
      <w:r w:rsidR="0035272D" w:rsidRPr="0035272D">
        <w:rPr>
          <w:rFonts w:ascii="Times New Roman" w:hAnsi="Times New Roman" w:cs="Times New Roman"/>
        </w:rPr>
        <w:t xml:space="preserve">. </w:t>
      </w:r>
      <w:r>
        <w:rPr>
          <w:rFonts w:ascii="Times New Roman" w:hAnsi="Times New Roman" w:cs="Times New Roman"/>
        </w:rPr>
        <w:t>Graph of engine performance</w:t>
      </w:r>
    </w:p>
    <w:p w14:paraId="0EBF9430" w14:textId="467D26BB" w:rsidR="005652B5" w:rsidRPr="006128D5" w:rsidRDefault="00573B6A" w:rsidP="00030691">
      <w:pPr>
        <w:spacing w:after="0" w:line="240" w:lineRule="auto"/>
        <w:ind w:left="0" w:right="0" w:firstLine="0"/>
        <w:rPr>
          <w:rFonts w:eastAsia="Calibri"/>
          <w:color w:val="auto"/>
          <w:szCs w:val="24"/>
        </w:rPr>
      </w:pPr>
      <w:r w:rsidRPr="00573B6A">
        <w:rPr>
          <w:rFonts w:eastAsia="Calibri"/>
          <w:color w:val="auto"/>
          <w:szCs w:val="24"/>
        </w:rPr>
        <w:t>In Figure 2 it can be seen that the increase in the percentage of biogas causes an increase in engine performance. The increase in gross indicated power by 23.4% while IMEP increased by 23.2% occurred with a change in the biogas percentage setting from 0% to 50%. This is proof that biodiesel – biogas is worthy of being used as an alternative fuel. Increasing the percentage of biogas has a good impact on the maximum operating speed of the engine rotation. The lower level of fuel consumption for higher power output causes the brake thermal</w:t>
      </w:r>
      <w:r w:rsidR="00030691">
        <w:rPr>
          <w:rFonts w:eastAsia="Calibri"/>
          <w:color w:val="auto"/>
          <w:szCs w:val="24"/>
        </w:rPr>
        <w:t xml:space="preserve"> efficiency (BTE) value of dual-</w:t>
      </w:r>
      <w:r w:rsidRPr="00573B6A">
        <w:rPr>
          <w:rFonts w:eastAsia="Calibri"/>
          <w:color w:val="auto"/>
          <w:szCs w:val="24"/>
        </w:rPr>
        <w:t>fuel with a perce</w:t>
      </w:r>
      <w:r w:rsidR="00030691">
        <w:rPr>
          <w:rFonts w:eastAsia="Calibri"/>
          <w:color w:val="auto"/>
          <w:szCs w:val="24"/>
        </w:rPr>
        <w:t>ntage of 50% biodiesel–</w:t>
      </w:r>
      <w:r w:rsidRPr="00573B6A">
        <w:rPr>
          <w:rFonts w:eastAsia="Calibri"/>
          <w:color w:val="auto"/>
          <w:szCs w:val="24"/>
        </w:rPr>
        <w:t>biogas to be optim</w:t>
      </w:r>
      <w:r w:rsidR="00030691">
        <w:rPr>
          <w:rFonts w:eastAsia="Calibri"/>
          <w:color w:val="auto"/>
          <w:szCs w:val="24"/>
        </w:rPr>
        <w:t>al for DF operations at 2200 RPM</w:t>
      </w:r>
      <w:r w:rsidRPr="00573B6A">
        <w:rPr>
          <w:rFonts w:eastAsia="Calibri"/>
          <w:color w:val="auto"/>
          <w:szCs w:val="24"/>
        </w:rPr>
        <w:t xml:space="preserve">. The increase in BTE was 10.25% with a decrease in indicated specific fuel consumption of 19%. The trend of increasing IMEP on increasing biogas injection in dual fuel engines was also found in the research of </w:t>
      </w:r>
      <w:r w:rsidR="00102129">
        <w:rPr>
          <w:rFonts w:eastAsia="Calibri"/>
          <w:color w:val="auto"/>
          <w:szCs w:val="24"/>
        </w:rPr>
        <w:fldChar w:fldCharType="begin" w:fldLock="1"/>
      </w:r>
      <w:r w:rsidR="00102129">
        <w:rPr>
          <w:rFonts w:eastAsia="Calibri"/>
          <w:color w:val="auto"/>
          <w:szCs w:val="24"/>
        </w:rPr>
        <w:instrText>ADDIN CSL_CITATION {"citationItems":[{"id":"ITEM-1","itemData":{"DOI":"10.1016/j.energy.2014.02.007","ISSN":"03605442","abstract":"The purpose of this investigation is to study the effect of biogas mixing on the combustion and emission characteristics of DME fueled diesel engine. Combustion performance was assessed in terms of combustion pressure, rate of heat release (ROHR), ignition delay, and an indicated mean effective pressure (IMEP). NOx, soot, HC and CO emissions were also analyzed using an emission analyzer.Increase in biogas mixing ratio caused a decrease in peak combustion pressure, ignition retardation and reduction in rate of combustion pressure increase. Increase in biogas also induced a decrease in the peak value and gradient of ROHR. Injection and ignition timings showed a linear correlation regardless of biogas mixing ratio when DME was injected toward the piston bowl. At the same injection timing, the increase of biogas caused a decrease in IMEP when DME was injected into the piston bowl. When DME was injected toward the crevice and squish region, IMEP increased as the biogas mixing ratio increased, and IMEP showed a linear correlation with SOI. ISNOx emissions decreased with the increase in biogas. The soot emissions level was close to zero in all test conditions. However, ISHC and ISCO emissions showed an increasing trend with increasing biogas mixing ratio. © 2014 Elsevier Ltd.","author":[{"dropping-particle":"","family":"Park","given":"Su Han","non-dropping-particle":"","parse-names":false,"suffix":""},{"dropping-particle":"","family":"Yoon","given":"Seung Hyun","non-dropping-particle":"","parse-names":false,"suffix":""},{"dropping-particle":"","family":"Cha","given":"Junepyo","non-dropping-particle":"","parse-names":false,"suffix":""},{"dropping-particle":"","family":"Lee","given":"Chang Sik","non-dropping-particle":"","parse-names":false,"suffix":""}],"container-title":"Energy","id":"ITEM-1","issued":{"date-parts":[["2014"]]},"title":"Mixing effects of biogas and dimethyl ether (DME) on combustion andemission characteristics of DME fueled high-speed diesel engine","type":"article-journal","volume":"66"},"uris":["http://www.mendeley.com/documents/?uuid=3be4091a-859c-3b54-8518-421ea05949ad"]}],"mendeley":{"formattedCitation":"(Park et al., 2014)","plainTextFormattedCitation":"(Park et al., 2014)","previouslyFormattedCitation":"(Park et al., 2014)"},"properties":{"noteIndex":0},"schema":"https://github.com/citation-style-language/schema/raw/master/csl-citation.json"}</w:instrText>
      </w:r>
      <w:r w:rsidR="00102129">
        <w:rPr>
          <w:rFonts w:eastAsia="Calibri"/>
          <w:color w:val="auto"/>
          <w:szCs w:val="24"/>
        </w:rPr>
        <w:fldChar w:fldCharType="separate"/>
      </w:r>
      <w:r w:rsidR="00102129" w:rsidRPr="00102129">
        <w:rPr>
          <w:rFonts w:eastAsia="Calibri"/>
          <w:noProof/>
          <w:color w:val="auto"/>
          <w:szCs w:val="24"/>
        </w:rPr>
        <w:t>(Park et al., 2014)</w:t>
      </w:r>
      <w:r w:rsidR="00102129">
        <w:rPr>
          <w:rFonts w:eastAsia="Calibri"/>
          <w:color w:val="auto"/>
          <w:szCs w:val="24"/>
        </w:rPr>
        <w:fldChar w:fldCharType="end"/>
      </w:r>
      <w:r w:rsidR="00102129">
        <w:rPr>
          <w:rFonts w:eastAsia="Calibri"/>
          <w:color w:val="auto"/>
          <w:szCs w:val="24"/>
        </w:rPr>
        <w:t xml:space="preserve"> </w:t>
      </w:r>
      <w:r w:rsidRPr="00573B6A">
        <w:rPr>
          <w:rFonts w:eastAsia="Calibri"/>
          <w:color w:val="auto"/>
          <w:szCs w:val="24"/>
        </w:rPr>
        <w:t>and</w:t>
      </w:r>
      <w:r w:rsidR="00102129">
        <w:rPr>
          <w:rFonts w:eastAsia="Calibri"/>
          <w:color w:val="auto"/>
          <w:szCs w:val="24"/>
        </w:rPr>
        <w:fldChar w:fldCharType="begin" w:fldLock="1"/>
      </w:r>
      <w:r w:rsidR="00102129">
        <w:rPr>
          <w:rFonts w:eastAsia="Calibri"/>
          <w:color w:val="auto"/>
          <w:szCs w:val="24"/>
        </w:rPr>
        <w:instrText>ADDIN CSL_CITATION {"citationItems":[{"id":"ITEM-1","itemData":{"DOI":"10.1080/15567036.2019.1647314","ISSN":"15567230","abstract":"In this experimental work characteristic such as performance, combustion and emission of a single cylinder, four-stroke constant speed, direct injection, water-cooled diesel engine is investigated. The engine is operated by dual fuel mode using methane-enriched biogas (88.10%-CH4 + 11.89%-CO2) obtained from the food waste. Biogas (BG) is inducted into the engine at intake manifold with various mixtures like BG20, BG30 and BG40 mixed with air (i.e. BG40-40% of CH4 by mass respectively) at actual injection timing of 27.5° before top dead centre (bTDC) for different loads. The performance, combustion and emission characteristics of the engine operated by dual fuel mode were experimentally investigated, and compared with respect to diesel. By observing the experimental results, BG40 was optimized on the basis of lesser emissions and improved performance. BG40 showed lesser brake thermal efficiency and higher brake specific energy consumption than BG20 and BG30 for all loads. On the other hand, BG40 showed lower BTE by 15.5% and 15.62% compared to diesel at 3/4th and full load. Whereas the cylinder peak pressure for BG40 is higher than diesel by 5.36% and the net heat release rate is 14.9% higher than the diesel at full load. BG40 emitted higher carbon monoxide (CO) emissions than diesel by 5% at full load. The nitrogen oxide (NOx) emission for BG40 was lesser by 26.60% than diesel at full load, whereas the soot emission was 22.71% lower than diesel at full load respectively.","author":[{"dropping-particle":"","family":"Jagadish","given":"C.","non-dropping-particle":"","parse-names":false,"suffix":""},{"dropping-particle":"","family":"Gumtapure","given":"Veershetty","non-dropping-particle":"","parse-names":false,"suffix":""}],"container-title":"Energy Sources, Part A: Recovery, Utilization and Environmental Effects","id":"ITEM-1","issued":{"date-parts":[["2019"]]},"title":"Experimental investigation of methane-enriched biogas in a single cylinder diesel engine by the dual fuel mode","type":"article-journal"},"uris":["http://www.mendeley.com/documents/?uuid=6bd3bd85-8332-32d6-98bb-e210629c7cf6"]}],"mendeley":{"formattedCitation":"(Jagadish &amp; Gumtapure, 2019)","plainTextFormattedCitation":"(Jagadish &amp; Gumtapure, 2019)","previouslyFormattedCitation":"(Jagadish &amp; Gumtapure, 2019)"},"properties":{"noteIndex":0},"schema":"https://github.com/citation-style-language/schema/raw/master/csl-citation.json"}</w:instrText>
      </w:r>
      <w:r w:rsidR="00102129">
        <w:rPr>
          <w:rFonts w:eastAsia="Calibri"/>
          <w:color w:val="auto"/>
          <w:szCs w:val="24"/>
        </w:rPr>
        <w:fldChar w:fldCharType="separate"/>
      </w:r>
      <w:r w:rsidR="00102129" w:rsidRPr="00102129">
        <w:rPr>
          <w:rFonts w:eastAsia="Calibri"/>
          <w:noProof/>
          <w:color w:val="auto"/>
          <w:szCs w:val="24"/>
        </w:rPr>
        <w:t>(Jagadish &amp; Gumtapure, 2019)</w:t>
      </w:r>
      <w:r w:rsidR="00102129">
        <w:rPr>
          <w:rFonts w:eastAsia="Calibri"/>
          <w:color w:val="auto"/>
          <w:szCs w:val="24"/>
        </w:rPr>
        <w:fldChar w:fldCharType="end"/>
      </w:r>
      <w:r w:rsidR="00102129">
        <w:rPr>
          <w:rFonts w:eastAsia="Calibri"/>
          <w:color w:val="auto"/>
          <w:szCs w:val="24"/>
        </w:rPr>
        <w:t xml:space="preserve"> </w:t>
      </w:r>
      <w:r w:rsidRPr="00573B6A">
        <w:rPr>
          <w:rFonts w:eastAsia="Calibri"/>
          <w:color w:val="auto"/>
          <w:szCs w:val="24"/>
        </w:rPr>
        <w:t xml:space="preserve"> which stated that there was a trend of increasing overall performance by increasing biogas injection on dual fuel engines. The same result was also reported by </w:t>
      </w:r>
      <w:r w:rsidR="00102129">
        <w:rPr>
          <w:rFonts w:eastAsia="Calibri"/>
          <w:color w:val="auto"/>
          <w:szCs w:val="24"/>
        </w:rPr>
        <w:fldChar w:fldCharType="begin" w:fldLock="1"/>
      </w:r>
      <w:r w:rsidR="00102129">
        <w:rPr>
          <w:rFonts w:eastAsia="Calibri"/>
          <w:color w:val="auto"/>
          <w:szCs w:val="24"/>
        </w:rPr>
        <w:instrText>ADDIN CSL_CITATION {"citationItems":[{"id":"ITEM-1","itemData":{"DOI":"10.1016/j.csite.2017.06.003","ISSN":"2214157X","abstract":"A small compression ignition (CI) engine with a rated power of 4.41 kW has been tested in dual-fuel (diesel-biogas) mode without any significant modification. The objectives are to explore the effects of biogas flow rate and methane concentration on the performance and emissions of the CI engine run in dual-fuel mode. The experiments have been carried out at engine load and speed vary from 1000 rpm to 1500 rpm and 600 W to 1500 W, respectively. The results show that the output power and specific fuel consumption of the CI engine run in dual-fuel mode are higher than the CI engine run in pure diesel mode. Brake thermal efficiency of the CI engine run in dual-fuel mode strongly affected by biogas flow rate and methane concentration. There exists an optimum biogas flow rate for a maximum brake thermal efficiency. The biogas can reduce the diesel fuel consumption significantly. In the present CI engine, diesel replacement ratio varies from 15.3% to 87.5%. At engine load and speed of 1500 W and 1500 rpm, to get maximum efficiency, the present CI engine should be operated at biogas energy ratios of 15% and 18% using biogas with 60% and 70% methane concentrations, respectively.","author":[{"dropping-particle":"","family":"Ambarita","given":"Himsar","non-dropping-particle":"","parse-names":false,"suffix":""}],"container-title":"Case Studies in Thermal Engineering","id":"ITEM-1","issued":{"date-parts":[["2017"]]},"title":"Performance and emission characteristics of a small diesel engine run in dual-fuel (diesel-biogas) mode","type":"article-journal","volume":"10"},"uris":["http://www.mendeley.com/documents/?uuid=e53931ee-fa15-3883-a6d9-e09ee8fd9c8f"]}],"mendeley":{"formattedCitation":"(Ambarita, 2017)","plainTextFormattedCitation":"(Ambarita, 2017)","previouslyFormattedCitation":"(Ambarita, 2017)"},"properties":{"noteIndex":0},"schema":"https://github.com/citation-style-language/schema/raw/master/csl-citation.json"}</w:instrText>
      </w:r>
      <w:r w:rsidR="00102129">
        <w:rPr>
          <w:rFonts w:eastAsia="Calibri"/>
          <w:color w:val="auto"/>
          <w:szCs w:val="24"/>
        </w:rPr>
        <w:fldChar w:fldCharType="separate"/>
      </w:r>
      <w:r w:rsidR="00102129" w:rsidRPr="00102129">
        <w:rPr>
          <w:rFonts w:eastAsia="Calibri"/>
          <w:noProof/>
          <w:color w:val="auto"/>
          <w:szCs w:val="24"/>
        </w:rPr>
        <w:t>(Ambarita, 2017)</w:t>
      </w:r>
      <w:r w:rsidR="00102129">
        <w:rPr>
          <w:rFonts w:eastAsia="Calibri"/>
          <w:color w:val="auto"/>
          <w:szCs w:val="24"/>
        </w:rPr>
        <w:fldChar w:fldCharType="end"/>
      </w:r>
      <w:r w:rsidR="00102129">
        <w:rPr>
          <w:rFonts w:eastAsia="Calibri"/>
          <w:color w:val="auto"/>
          <w:szCs w:val="24"/>
        </w:rPr>
        <w:t xml:space="preserve"> </w:t>
      </w:r>
      <w:r w:rsidRPr="00573B6A">
        <w:rPr>
          <w:rFonts w:eastAsia="Calibri"/>
          <w:color w:val="auto"/>
          <w:szCs w:val="24"/>
        </w:rPr>
        <w:t>which stated that at the same load and speed, the CI output power running in dual fuel mode was higher than in pure diesel mode.</w:t>
      </w:r>
    </w:p>
    <w:p w14:paraId="3B7B64F3" w14:textId="284CF860" w:rsidR="00CE33F4" w:rsidRDefault="005652B5" w:rsidP="00573B6A">
      <w:pPr>
        <w:spacing w:after="0" w:line="240" w:lineRule="auto"/>
        <w:ind w:left="-5" w:right="0"/>
        <w:jc w:val="left"/>
        <w:rPr>
          <w:noProof/>
        </w:rPr>
      </w:pPr>
      <w:r>
        <w:rPr>
          <w:noProof/>
        </w:rPr>
        <w:lastRenderedPageBreak/>
        <w:drawing>
          <wp:inline distT="0" distB="0" distL="0" distR="0" wp14:anchorId="6444F89D" wp14:editId="2AA6B0E1">
            <wp:extent cx="2886075" cy="2057382"/>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97764" cy="2065714"/>
                    </a:xfrm>
                    <a:prstGeom prst="rect">
                      <a:avLst/>
                    </a:prstGeom>
                    <a:noFill/>
                  </pic:spPr>
                </pic:pic>
              </a:graphicData>
            </a:graphic>
          </wp:inline>
        </w:drawing>
      </w:r>
      <w:r>
        <w:rPr>
          <w:noProof/>
        </w:rPr>
        <w:t xml:space="preserve">        </w:t>
      </w:r>
      <w:r>
        <w:rPr>
          <w:noProof/>
        </w:rPr>
        <w:drawing>
          <wp:inline distT="0" distB="0" distL="0" distR="0" wp14:anchorId="0CBC0F83" wp14:editId="764CC417">
            <wp:extent cx="2590800" cy="21717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592279" cy="2172940"/>
                    </a:xfrm>
                    <a:prstGeom prst="rect">
                      <a:avLst/>
                    </a:prstGeom>
                    <a:noFill/>
                  </pic:spPr>
                </pic:pic>
              </a:graphicData>
            </a:graphic>
          </wp:inline>
        </w:drawing>
      </w:r>
    </w:p>
    <w:p w14:paraId="642B34CD" w14:textId="4F1203EB" w:rsidR="007563C7" w:rsidRPr="007563C7" w:rsidRDefault="007563C7" w:rsidP="00573B6A">
      <w:pPr>
        <w:pStyle w:val="ListParagraph"/>
        <w:numPr>
          <w:ilvl w:val="0"/>
          <w:numId w:val="12"/>
        </w:numPr>
        <w:spacing w:after="0" w:line="240" w:lineRule="auto"/>
        <w:rPr>
          <w:rFonts w:ascii="Times New Roman" w:hAnsi="Times New Roman" w:cs="Times New Roman"/>
          <w:noProof/>
        </w:rPr>
      </w:pPr>
      <w:r w:rsidRPr="007563C7">
        <w:rPr>
          <w:rFonts w:ascii="Times New Roman" w:hAnsi="Times New Roman" w:cs="Times New Roman"/>
          <w:noProof/>
        </w:rPr>
        <w:t xml:space="preserve">         </w:t>
      </w:r>
      <w:r w:rsidR="00573B6A">
        <w:rPr>
          <w:rFonts w:ascii="Times New Roman" w:hAnsi="Times New Roman" w:cs="Times New Roman"/>
          <w:noProof/>
        </w:rPr>
        <w:t xml:space="preserve">                               </w:t>
      </w:r>
      <w:r w:rsidRPr="007563C7">
        <w:rPr>
          <w:rFonts w:ascii="Times New Roman" w:hAnsi="Times New Roman" w:cs="Times New Roman"/>
          <w:noProof/>
        </w:rPr>
        <w:t xml:space="preserve">                                                    (b)</w:t>
      </w:r>
    </w:p>
    <w:p w14:paraId="5E55AC69" w14:textId="5C781E3C" w:rsidR="007563C7" w:rsidRPr="007563C7" w:rsidRDefault="00573B6A" w:rsidP="00573B6A">
      <w:pPr>
        <w:spacing w:after="120" w:line="240" w:lineRule="auto"/>
        <w:ind w:left="-5" w:right="0"/>
        <w:jc w:val="center"/>
        <w:rPr>
          <w:noProof/>
          <w:sz w:val="22"/>
        </w:rPr>
      </w:pPr>
      <w:r>
        <w:rPr>
          <w:b/>
          <w:noProof/>
          <w:sz w:val="22"/>
        </w:rPr>
        <w:t xml:space="preserve">Figure </w:t>
      </w:r>
      <w:r w:rsidR="007563C7" w:rsidRPr="007563C7">
        <w:rPr>
          <w:b/>
          <w:noProof/>
          <w:sz w:val="22"/>
        </w:rPr>
        <w:t>3</w:t>
      </w:r>
      <w:r w:rsidR="007563C7" w:rsidRPr="007563C7">
        <w:rPr>
          <w:noProof/>
          <w:sz w:val="22"/>
        </w:rPr>
        <w:t>. Gr</w:t>
      </w:r>
      <w:r>
        <w:rPr>
          <w:noProof/>
          <w:sz w:val="22"/>
        </w:rPr>
        <w:t>aph of combustion</w:t>
      </w:r>
    </w:p>
    <w:p w14:paraId="2BE1462E" w14:textId="38587805" w:rsidR="005652B5" w:rsidRDefault="00030691" w:rsidP="003D6891">
      <w:pPr>
        <w:spacing w:after="120" w:line="240" w:lineRule="auto"/>
        <w:ind w:left="0" w:right="0" w:firstLine="0"/>
        <w:rPr>
          <w:rFonts w:eastAsia="Calibri"/>
          <w:color w:val="auto"/>
          <w:szCs w:val="24"/>
        </w:rPr>
      </w:pPr>
      <w:r w:rsidRPr="00030691">
        <w:rPr>
          <w:rFonts w:eastAsia="Calibri"/>
          <w:color w:val="auto"/>
          <w:szCs w:val="24"/>
        </w:rPr>
        <w:t>The increase in-cylinder pressure and temperature make the energy release rate and the combustion process run better at the 50% biodiesel – biogas percentage. The increase in temperature occurs by 13% in conditions of 0% biogas to 50% biogas. While the increase in-cylinder pressure occurs by 10%. This is in conditions of a maximum engine speed of 2200 rpm. The increase in temperature has an impact on the increase in the total cumulative heat release (total CHR). A 13.3% increase in temperature from 0% biogas to 50% causes a 23.9% increase in total CHR. Meanwhile, the combustion pressure decreases with the addition of biogas fuel injection, as is the trend of the results obtained in the research of</w:t>
      </w:r>
      <w:r w:rsidR="00102129">
        <w:rPr>
          <w:rFonts w:eastAsia="Calibri"/>
          <w:color w:val="auto"/>
          <w:szCs w:val="24"/>
        </w:rPr>
        <w:t xml:space="preserve"> </w:t>
      </w:r>
      <w:r w:rsidR="00102129">
        <w:rPr>
          <w:rFonts w:eastAsia="Calibri"/>
          <w:color w:val="auto"/>
          <w:szCs w:val="24"/>
        </w:rPr>
        <w:fldChar w:fldCharType="begin" w:fldLock="1"/>
      </w:r>
      <w:r w:rsidR="00102129">
        <w:rPr>
          <w:rFonts w:eastAsia="Calibri"/>
          <w:color w:val="auto"/>
          <w:szCs w:val="24"/>
        </w:rPr>
        <w:instrText>ADDIN CSL_CITATION {"citationItems":[{"id":"ITEM-1","itemData":{"DOI":"10.1016/j.energy.2014.02.007","ISSN":"03605442","abstract":"The purpose of this investigation is to study the effect of biogas mixing on the combustion and emission characteristics of DME fueled diesel engine. Combustion performance was assessed in terms of combustion pressure, rate of heat release (ROHR), ignition delay, and an indicated mean effective pressure (IMEP). NOx, soot, HC and CO emissions were also analyzed using an emission analyzer.Increase in biogas mixing ratio caused a decrease in peak combustion pressure, ignition retardation and reduction in rate of combustion pressure increase. Increase in biogas also induced a decrease in the peak value and gradient of ROHR. Injection and ignition timings showed a linear correlation regardless of biogas mixing ratio when DME was injected toward the piston bowl. At the same injection timing, the increase of biogas caused a decrease in IMEP when DME was injected into the piston bowl. When DME was injected toward the crevice and squish region, IMEP increased as the biogas mixing ratio increased, and IMEP showed a linear correlation with SOI. ISNOx emissions decreased with the increase in biogas. The soot emissions level was close to zero in all test conditions. However, ISHC and ISCO emissions showed an increasing trend with increasing biogas mixing ratio. © 2014 Elsevier Ltd.","author":[{"dropping-particle":"","family":"Park","given":"Su Han","non-dropping-particle":"","parse-names":false,"suffix":""},{"dropping-particle":"","family":"Yoon","given":"Seung Hyun","non-dropping-particle":"","parse-names":false,"suffix":""},{"dropping-particle":"","family":"Cha","given":"Junepyo","non-dropping-particle":"","parse-names":false,"suffix":""},{"dropping-particle":"","family":"Lee","given":"Chang Sik","non-dropping-particle":"","parse-names":false,"suffix":""}],"container-title":"Energy","id":"ITEM-1","issued":{"date-parts":[["2014"]]},"title":"Mixing effects of biogas and dimethyl ether (DME) on combustion andemission characteristics of DME fueled high-speed diesel engine","type":"article-journal","volume":"66"},"uris":["http://www.mendeley.com/documents/?uuid=3be4091a-859c-3b54-8518-421ea05949ad"]}],"mendeley":{"formattedCitation":"(Park et al., 2014)","plainTextFormattedCitation":"(Park et al., 2014)","previouslyFormattedCitation":"(Park et al., 2014)"},"properties":{"noteIndex":0},"schema":"https://github.com/citation-style-language/schema/raw/master/csl-citation.json"}</w:instrText>
      </w:r>
      <w:r w:rsidR="00102129">
        <w:rPr>
          <w:rFonts w:eastAsia="Calibri"/>
          <w:color w:val="auto"/>
          <w:szCs w:val="24"/>
        </w:rPr>
        <w:fldChar w:fldCharType="separate"/>
      </w:r>
      <w:r w:rsidR="00102129" w:rsidRPr="00102129">
        <w:rPr>
          <w:rFonts w:eastAsia="Calibri"/>
          <w:noProof/>
          <w:color w:val="auto"/>
          <w:szCs w:val="24"/>
        </w:rPr>
        <w:t>(Park et al., 2014)</w:t>
      </w:r>
      <w:r w:rsidR="00102129">
        <w:rPr>
          <w:rFonts w:eastAsia="Calibri"/>
          <w:color w:val="auto"/>
          <w:szCs w:val="24"/>
        </w:rPr>
        <w:fldChar w:fldCharType="end"/>
      </w:r>
      <w:r w:rsidRPr="00030691">
        <w:rPr>
          <w:rFonts w:eastAsia="Calibri"/>
          <w:color w:val="auto"/>
          <w:szCs w:val="24"/>
        </w:rPr>
        <w:t>.</w:t>
      </w:r>
      <w:r w:rsidR="00102129">
        <w:rPr>
          <w:rFonts w:eastAsia="Calibri"/>
          <w:color w:val="auto"/>
          <w:szCs w:val="24"/>
        </w:rPr>
        <w:t xml:space="preserve"> </w:t>
      </w:r>
      <w:r w:rsidR="00573B6A" w:rsidRPr="00573B6A">
        <w:rPr>
          <w:rFonts w:eastAsia="Calibri"/>
          <w:color w:val="auto"/>
          <w:szCs w:val="24"/>
        </w:rPr>
        <w:t xml:space="preserve">The increase in cylinder pressure and temperature makes the energy release rate and the combustion process run better at the 50% biodiesel – biogas percentage. </w:t>
      </w:r>
    </w:p>
    <w:p w14:paraId="46BC2969" w14:textId="77777777" w:rsidR="003D6891" w:rsidRPr="00A47B98" w:rsidRDefault="003D6891" w:rsidP="003D6891">
      <w:pPr>
        <w:spacing w:after="120" w:line="240" w:lineRule="auto"/>
        <w:ind w:left="0" w:right="0" w:firstLine="0"/>
        <w:rPr>
          <w:rFonts w:eastAsia="Calibri"/>
          <w:color w:val="auto"/>
          <w:szCs w:val="24"/>
        </w:rPr>
      </w:pPr>
    </w:p>
    <w:p w14:paraId="7C4E1B3D" w14:textId="1C7C92D6" w:rsidR="005652B5" w:rsidRDefault="005652B5" w:rsidP="003D6891">
      <w:pPr>
        <w:spacing w:before="120" w:after="0" w:line="240" w:lineRule="auto"/>
        <w:ind w:left="-5" w:right="0"/>
        <w:jc w:val="left"/>
        <w:rPr>
          <w:noProof/>
        </w:rPr>
      </w:pPr>
      <w:r>
        <w:rPr>
          <w:noProof/>
        </w:rPr>
        <w:drawing>
          <wp:inline distT="0" distB="0" distL="0" distR="0" wp14:anchorId="30DFC363" wp14:editId="517CCFB7">
            <wp:extent cx="2523744" cy="1807845"/>
            <wp:effectExtent l="0" t="0" r="0" b="19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543269" cy="1821831"/>
                    </a:xfrm>
                    <a:prstGeom prst="rect">
                      <a:avLst/>
                    </a:prstGeom>
                    <a:noFill/>
                  </pic:spPr>
                </pic:pic>
              </a:graphicData>
            </a:graphic>
          </wp:inline>
        </w:drawing>
      </w:r>
      <w:r w:rsidR="00B14909">
        <w:t xml:space="preserve"> </w:t>
      </w:r>
      <w:r>
        <w:rPr>
          <w:noProof/>
        </w:rPr>
        <w:t xml:space="preserve"> </w:t>
      </w:r>
      <w:r w:rsidR="00F53A6B">
        <w:rPr>
          <w:noProof/>
        </w:rPr>
        <w:t xml:space="preserve">               </w:t>
      </w:r>
      <w:r>
        <w:rPr>
          <w:noProof/>
        </w:rPr>
        <w:drawing>
          <wp:inline distT="0" distB="0" distL="0" distR="0" wp14:anchorId="31603567" wp14:editId="36EF7C33">
            <wp:extent cx="2574187" cy="1821028"/>
            <wp:effectExtent l="0" t="0" r="0" b="825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589652" cy="1831968"/>
                    </a:xfrm>
                    <a:prstGeom prst="rect">
                      <a:avLst/>
                    </a:prstGeom>
                    <a:noFill/>
                  </pic:spPr>
                </pic:pic>
              </a:graphicData>
            </a:graphic>
          </wp:inline>
        </w:drawing>
      </w:r>
    </w:p>
    <w:p w14:paraId="50BCB5A0" w14:textId="27DB4A3C" w:rsidR="00AE7BAC" w:rsidRDefault="00A47B98" w:rsidP="00A47B98">
      <w:pPr>
        <w:pStyle w:val="ListParagraph"/>
        <w:numPr>
          <w:ilvl w:val="0"/>
          <w:numId w:val="13"/>
        </w:numPr>
        <w:spacing w:after="120" w:line="240" w:lineRule="auto"/>
      </w:pPr>
      <w:r>
        <w:t xml:space="preserve">                                                                                               (b)</w:t>
      </w:r>
    </w:p>
    <w:p w14:paraId="71F32109" w14:textId="22BB98F8" w:rsidR="00B14909" w:rsidRPr="00B14909" w:rsidRDefault="00A47B98" w:rsidP="00A47B98">
      <w:pPr>
        <w:spacing w:after="120" w:line="240" w:lineRule="auto"/>
        <w:ind w:left="-5" w:right="0"/>
        <w:jc w:val="center"/>
        <w:rPr>
          <w:sz w:val="22"/>
        </w:rPr>
      </w:pPr>
      <w:r>
        <w:rPr>
          <w:b/>
          <w:sz w:val="22"/>
        </w:rPr>
        <w:t>Figure</w:t>
      </w:r>
      <w:r w:rsidR="00B14909" w:rsidRPr="00B14909">
        <w:rPr>
          <w:b/>
          <w:sz w:val="22"/>
        </w:rPr>
        <w:t>.4</w:t>
      </w:r>
      <w:r>
        <w:rPr>
          <w:sz w:val="22"/>
        </w:rPr>
        <w:t xml:space="preserve"> Graph of Emission </w:t>
      </w:r>
    </w:p>
    <w:p w14:paraId="0FE5C495" w14:textId="3F0A3659" w:rsidR="00840E76" w:rsidRPr="00840E76" w:rsidRDefault="00030691" w:rsidP="003D6891">
      <w:pPr>
        <w:spacing w:after="0" w:line="240" w:lineRule="auto"/>
        <w:ind w:left="0" w:right="0" w:firstLine="0"/>
        <w:rPr>
          <w:rFonts w:eastAsia="Calibri"/>
          <w:color w:val="auto"/>
          <w:szCs w:val="24"/>
        </w:rPr>
      </w:pPr>
      <w:r w:rsidRPr="00030691">
        <w:rPr>
          <w:rFonts w:eastAsia="Calibri"/>
          <w:color w:val="auto"/>
          <w:szCs w:val="24"/>
        </w:rPr>
        <w:t xml:space="preserve">An increase in biogas intake in a dual fuel engine operating system generally causes a decrease in emissions, a better level of combustion efficiency being one of the factors that underline that the use of dual-fuel can be used as an alternative. The increase in the percentage of biogas causes the concentration of gas in the combustion chamber to become more so that it reduces the portion of the oxygen space. This tends to cause an increase in unburned hydrocarbons at a higher percentage of biogas. The same trend of results was stated by </w:t>
      </w:r>
      <w:r w:rsidR="00102129">
        <w:rPr>
          <w:rFonts w:eastAsia="Calibri"/>
          <w:color w:val="auto"/>
          <w:szCs w:val="24"/>
        </w:rPr>
        <w:fldChar w:fldCharType="begin" w:fldLock="1"/>
      </w:r>
      <w:r w:rsidR="00102129">
        <w:rPr>
          <w:rFonts w:eastAsia="Calibri"/>
          <w:color w:val="auto"/>
          <w:szCs w:val="24"/>
        </w:rPr>
        <w:instrText>ADDIN CSL_CITATION {"citationItems":[{"id":"ITEM-1","itemData":{"DOI":"10.1016/j.csite.2017.06.003","ISSN":"2214157X","abstract":"A small compression ignition (CI) engine with a rated power of 4.41 kW has been tested in dual-fuel (diesel-biogas) mode without any significant modification. The objectives are to explore the effects of biogas flow rate and methane concentration on the performance and emissions of the CI engine run in dual-fuel mode. The experiments have been carried out at engine load and speed vary from 1000 rpm to 1500 rpm and 600 W to 1500 W, respectively. The results show that the output power and specific fuel consumption of the CI engine run in dual-fuel mode are higher than the CI engine run in pure diesel mode. Brake thermal efficiency of the CI engine run in dual-fuel mode strongly affected by biogas flow rate and methane concentration. There exists an optimum biogas flow rate for a maximum brake thermal efficiency. The biogas can reduce the diesel fuel consumption significantly. In the present CI engine, diesel replacement ratio varies from 15.3% to 87.5%. At engine load and speed of 1500 W and 1500 rpm, to get maximum efficiency, the present CI engine should be operated at biogas energy ratios of 15% and 18% using biogas with 60% and 70% methane concentrations, respectively.","author":[{"dropping-particle":"","family":"Ambarita","given":"Himsar","non-dropping-particle":"","parse-names":false,"suffix":""}],"container-title":"Case Studies in Thermal Engineering","id":"ITEM-1","issued":{"date-parts":[["2017"]]},"title":"Performance and emission characteristics of a small diesel engine run in dual-fuel (diesel-biogas) mode","type":"article-journal","volume":"10"},"uris":["http://www.mendeley.com/documents/?uuid=e53931ee-fa15-3883-a6d9-e09ee8fd9c8f"]}],"mendeley":{"formattedCitation":"(Ambarita, 2017)","plainTextFormattedCitation":"(Ambarita, 2017)","previouslyFormattedCitation":"(Ambarita, 2017)"},"properties":{"noteIndex":0},"schema":"https://github.com/citation-style-language/schema/raw/master/csl-citation.json"}</w:instrText>
      </w:r>
      <w:r w:rsidR="00102129">
        <w:rPr>
          <w:rFonts w:eastAsia="Calibri"/>
          <w:color w:val="auto"/>
          <w:szCs w:val="24"/>
        </w:rPr>
        <w:fldChar w:fldCharType="separate"/>
      </w:r>
      <w:r w:rsidR="00102129" w:rsidRPr="00102129">
        <w:rPr>
          <w:rFonts w:eastAsia="Calibri"/>
          <w:noProof/>
          <w:color w:val="auto"/>
          <w:szCs w:val="24"/>
        </w:rPr>
        <w:t>(Ambarita, 2017)</w:t>
      </w:r>
      <w:r w:rsidR="00102129">
        <w:rPr>
          <w:rFonts w:eastAsia="Calibri"/>
          <w:color w:val="auto"/>
          <w:szCs w:val="24"/>
        </w:rPr>
        <w:fldChar w:fldCharType="end"/>
      </w:r>
      <w:r w:rsidRPr="00030691">
        <w:rPr>
          <w:rFonts w:eastAsia="Calibri"/>
          <w:color w:val="auto"/>
          <w:szCs w:val="24"/>
        </w:rPr>
        <w:t xml:space="preserve">, </w:t>
      </w:r>
      <w:r w:rsidR="00102129">
        <w:rPr>
          <w:rFonts w:eastAsia="Calibri"/>
          <w:color w:val="auto"/>
          <w:szCs w:val="24"/>
        </w:rPr>
        <w:fldChar w:fldCharType="begin" w:fldLock="1"/>
      </w:r>
      <w:r w:rsidR="00102129">
        <w:rPr>
          <w:rFonts w:eastAsia="Calibri"/>
          <w:color w:val="auto"/>
          <w:szCs w:val="24"/>
        </w:rPr>
        <w:instrText>ADDIN CSL_CITATION {"citationItems":[{"id":"ITEM-1","itemData":{"DOI":"10.1016/j.energy.2014.02.007","ISSN":"03605442","abstract":"The purpose of this investigation is to study the effect of biogas mixing on the combustion and emission characteristics of DME fueled diesel engine. Combustion performance was assessed in terms of combustion pressure, rate of heat release (ROHR), ignition delay, and an indicated mean effective pressure (IMEP). NOx, soot, HC and CO emissions were also analyzed using an emission analyzer.Increase in biogas mixing ratio caused a decrease in peak combustion pressure, ignition retardation and reduction in rate of combustion pressure increase. Increase in biogas also induced a decrease in the peak value and gradient of ROHR. Injection and ignition timings showed a linear correlation regardless of biogas mixing ratio when DME was injected toward the piston bowl. At the same injection timing, the increase of biogas caused a decrease in IMEP when DME was injected into the piston bowl. When DME was injected toward the crevice and squish region, IMEP increased as the biogas mixing ratio increased, and IMEP showed a linear correlation with SOI. ISNOx emissions decreased with the increase in biogas. The soot emissions level was close to zero in all test conditions. However, ISHC and ISCO emissions showed an increasing trend with increasing biogas mixing ratio. © 2014 Elsevier Ltd.","author":[{"dropping-particle":"","family":"Park","given":"Su Han","non-dropping-particle":"","parse-names":false,"suffix":""},{"dropping-particle":"","family":"Yoon","given":"Seung Hyun","non-dropping-particle":"","parse-names":false,"suffix":""},{"dropping-particle":"","family":"Cha","given":"Junepyo","non-dropping-particle":"","parse-names":false,"suffix":""},{"dropping-particle":"","family":"Lee","given":"Chang Sik","non-dropping-particle":"","parse-names":false,"suffix":""}],"container-title":"Energy","id":"ITEM-1","issued":{"date-parts":[["2014"]]},"title":"Mixing effects of biogas and dimethyl ether (DME) on combustion andemission characteristics of DME fueled high-speed diesel engine","type":"article-journal","volume":"66"},"uris":["http://www.mendeley.com/documents/?uuid=3be4091a-859c-3b54-8518-421ea05949ad"]}],"mendeley":{"formattedCitation":"(Park et al., 2014)","plainTextFormattedCitation":"(Park et al., 2014)","previouslyFormattedCitation":"(Park et al., 2014)"},"properties":{"noteIndex":0},"schema":"https://github.com/citation-style-language/schema/raw/master/csl-citation.json"}</w:instrText>
      </w:r>
      <w:r w:rsidR="00102129">
        <w:rPr>
          <w:rFonts w:eastAsia="Calibri"/>
          <w:color w:val="auto"/>
          <w:szCs w:val="24"/>
        </w:rPr>
        <w:fldChar w:fldCharType="separate"/>
      </w:r>
      <w:r w:rsidR="00102129" w:rsidRPr="00102129">
        <w:rPr>
          <w:rFonts w:eastAsia="Calibri"/>
          <w:noProof/>
          <w:color w:val="auto"/>
          <w:szCs w:val="24"/>
        </w:rPr>
        <w:t>(Park et al., 2014)</w:t>
      </w:r>
      <w:r w:rsidR="00102129">
        <w:rPr>
          <w:rFonts w:eastAsia="Calibri"/>
          <w:color w:val="auto"/>
          <w:szCs w:val="24"/>
        </w:rPr>
        <w:fldChar w:fldCharType="end"/>
      </w:r>
      <w:r w:rsidRPr="00030691">
        <w:rPr>
          <w:rFonts w:eastAsia="Calibri"/>
          <w:color w:val="auto"/>
          <w:szCs w:val="24"/>
        </w:rPr>
        <w:t xml:space="preserve"> and </w:t>
      </w:r>
      <w:r w:rsidR="00102129">
        <w:rPr>
          <w:rFonts w:eastAsia="Calibri"/>
          <w:color w:val="auto"/>
          <w:szCs w:val="24"/>
        </w:rPr>
        <w:fldChar w:fldCharType="begin" w:fldLock="1"/>
      </w:r>
      <w:r w:rsidR="00102129">
        <w:rPr>
          <w:rFonts w:eastAsia="Calibri"/>
          <w:color w:val="auto"/>
          <w:szCs w:val="24"/>
        </w:rPr>
        <w:instrText>ADDIN CSL_CITATION {"citationItems":[{"id":"ITEM-1","itemData":{"DOI":"10.1080/15567036.2019.1647314","ISSN":"15567230","abstract":"In this experimental work characteristic such as performance, combustion and emission of a single cylinder, four-stroke constant speed, direct injection, water-cooled diesel engine is investigated. The engine is operated by dual fuel mode using methane-enriched biogas (88.10%-CH4 + 11.89%-CO2) obtained from the food waste. Biogas (BG) is inducted into the engine at intake manifold with various mixtures like BG20, BG30 and BG40 mixed with air (i.e. BG40-40% of CH4 by mass respectively) at actual injection timing of 27.5° before top dead centre (bTDC) for different loads. The performance, combustion and emission characteristics of the engine operated by dual fuel mode were experimentally investigated, and compared with respect to diesel. By observing the experimental results, BG40 was optimized on the basis of lesser emissions and improved performance. BG40 showed lesser brake thermal efficiency and higher brake specific energy consumption than BG20 and BG30 for all loads. On the other hand, BG40 showed lower BTE by 15.5% and 15.62% compared to diesel at 3/4th and full load. Whereas the cylinder peak pressure for BG40 is higher than diesel by 5.36% and the net heat release rate is 14.9% higher than the diesel at full load. BG40 emitted higher carbon monoxide (CO) emissions than diesel by 5% at full load. The nitrogen oxide (NOx) emission for BG40 was lesser by 26.60% than diesel at full load, whereas the soot emission was 22.71% lower than diesel at full load respectively.","author":[{"dropping-particle":"","family":"Jagadish","given":"C.","non-dropping-particle":"","parse-names":false,"suffix":""},{"dropping-particle":"","family":"Gumtapure","given":"Veershetty","non-dropping-particle":"","parse-names":false,"suffix":""}],"container-title":"Energy Sources, Part A: Recovery, Utilization and Environmental Effects","id":"ITEM-1","issued":{"date-parts":[["2019"]]},"title":"Experimental investigation of methane-enriched biogas in a single cylinder diesel engine by the dual fuel mode","type":"article-journal"},"uris":["http://www.mendeley.com/documents/?uuid=6bd3bd85-8332-32d6-98bb-e210629c7cf6"]}],"mendeley":{"formattedCitation":"(Jagadish &amp; Gumtapure, 2019)","plainTextFormattedCitation":"(Jagadish &amp; Gumtapure, 2019)","previouslyFormattedCitation":"(Jagadish &amp; Gumtapure, 2019)"},"properties":{"noteIndex":0},"schema":"https://github.com/citation-style-language/schema/raw/master/csl-citation.json"}</w:instrText>
      </w:r>
      <w:r w:rsidR="00102129">
        <w:rPr>
          <w:rFonts w:eastAsia="Calibri"/>
          <w:color w:val="auto"/>
          <w:szCs w:val="24"/>
        </w:rPr>
        <w:fldChar w:fldCharType="separate"/>
      </w:r>
      <w:r w:rsidR="00102129" w:rsidRPr="00102129">
        <w:rPr>
          <w:rFonts w:eastAsia="Calibri"/>
          <w:noProof/>
          <w:color w:val="auto"/>
          <w:szCs w:val="24"/>
        </w:rPr>
        <w:t>(Jagadish &amp; Gumtapure, 2019)</w:t>
      </w:r>
      <w:r w:rsidR="00102129">
        <w:rPr>
          <w:rFonts w:eastAsia="Calibri"/>
          <w:color w:val="auto"/>
          <w:szCs w:val="24"/>
        </w:rPr>
        <w:fldChar w:fldCharType="end"/>
      </w:r>
      <w:r w:rsidRPr="00030691">
        <w:rPr>
          <w:rFonts w:eastAsia="Calibri"/>
          <w:color w:val="auto"/>
          <w:szCs w:val="24"/>
        </w:rPr>
        <w:t>. Meanwhile, NOx decreased with the increasing percentage of biogas in dual fuel, in line with that obtained by</w:t>
      </w:r>
      <w:r w:rsidR="00102129">
        <w:rPr>
          <w:rFonts w:eastAsia="Calibri"/>
          <w:color w:val="auto"/>
          <w:szCs w:val="24"/>
        </w:rPr>
        <w:fldChar w:fldCharType="begin" w:fldLock="1"/>
      </w:r>
      <w:r w:rsidR="00102129">
        <w:rPr>
          <w:rFonts w:eastAsia="Calibri"/>
          <w:color w:val="auto"/>
          <w:szCs w:val="24"/>
        </w:rPr>
        <w:instrText>ADDIN CSL_CITATION {"citationItems":[{"id":"ITEM-1","itemData":{"DOI":"10.1016/j.energy.2014.02.007","ISSN":"03605442","abstract":"The purpose of this investigation is to study the effect of biogas mixing on the combustion and emission characteristics of DME fueled diesel engine. Combustion performance was assessed in terms of combustion pressure, rate of heat release (ROHR), ignition delay, and an indicated mean effective pressure (IMEP). NOx, soot, HC and CO emissions were also analyzed using an emission analyzer.Increase in biogas mixing ratio caused a decrease in peak combustion pressure, ignition retardation and reduction in rate of combustion pressure increase. Increase in biogas also induced a decrease in the peak value and gradient of ROHR. Injection and ignition timings showed a linear correlation regardless of biogas mixing ratio when DME was injected toward the piston bowl. At the same injection timing, the increase of biogas caused a decrease in IMEP when DME was injected into the piston bowl. When DME was injected toward the crevice and squish region, IMEP increased as the biogas mixing ratio increased, and IMEP showed a linear correlation with SOI. ISNOx emissions decreased with the increase in biogas. The soot emissions level was close to zero in all test conditions. However, ISHC and ISCO emissions showed an increasing trend with increasing biogas mixing ratio. © 2014 Elsevier Ltd.","author":[{"dropping-particle":"","family":"Park","given":"Su Han","non-dropping-particle":"","parse-names":false,"suffix":""},{"dropping-particle":"","family":"Yoon","given":"Seung Hyun","non-dropping-particle":"","parse-names":false,"suffix":""},{"dropping-particle":"","family":"Cha","given":"Junepyo","non-dropping-particle":"","parse-names":false,"suffix":""},{"dropping-particle":"","family":"Lee","given":"Chang Sik","non-dropping-particle":"","parse-names":false,"suffix":""}],"container-title":"Energy","id":"ITEM-1","issued":{"date-parts":[["2014"]]},"title":"Mixing effects of biogas and dimethyl ether (DME) on combustion andemission characteristics of DME fueled high-speed diesel engine","type":"article-journal","volume":"66"},"uris":["http://www.mendeley.com/documents/?uuid=3be4091a-859c-3b54-8518-421ea05949ad"]}],"mendeley":{"formattedCitation":"(Park et al., 2014)","plainTextFormattedCitation":"(Park et al., 2014)","previouslyFormattedCitation":"(Park et al., 2014)"},"properties":{"noteIndex":0},"schema":"https://github.com/citation-style-language/schema/raw/master/csl-citation.json"}</w:instrText>
      </w:r>
      <w:r w:rsidR="00102129">
        <w:rPr>
          <w:rFonts w:eastAsia="Calibri"/>
          <w:color w:val="auto"/>
          <w:szCs w:val="24"/>
        </w:rPr>
        <w:fldChar w:fldCharType="separate"/>
      </w:r>
      <w:r w:rsidR="00102129" w:rsidRPr="00102129">
        <w:rPr>
          <w:rFonts w:eastAsia="Calibri"/>
          <w:noProof/>
          <w:color w:val="auto"/>
          <w:szCs w:val="24"/>
        </w:rPr>
        <w:t>(Park et al., 2014)</w:t>
      </w:r>
      <w:r w:rsidR="00102129">
        <w:rPr>
          <w:rFonts w:eastAsia="Calibri"/>
          <w:color w:val="auto"/>
          <w:szCs w:val="24"/>
        </w:rPr>
        <w:fldChar w:fldCharType="end"/>
      </w:r>
      <w:r w:rsidRPr="00030691">
        <w:rPr>
          <w:rFonts w:eastAsia="Calibri"/>
          <w:color w:val="auto"/>
          <w:szCs w:val="24"/>
        </w:rPr>
        <w:t xml:space="preserve"> and </w:t>
      </w:r>
      <w:r w:rsidR="00102129">
        <w:rPr>
          <w:rFonts w:eastAsia="Calibri"/>
          <w:color w:val="auto"/>
          <w:szCs w:val="24"/>
        </w:rPr>
        <w:fldChar w:fldCharType="begin" w:fldLock="1"/>
      </w:r>
      <w:r w:rsidR="00102129">
        <w:rPr>
          <w:rFonts w:eastAsia="Calibri"/>
          <w:color w:val="auto"/>
          <w:szCs w:val="24"/>
        </w:rPr>
        <w:instrText>ADDIN CSL_CITATION {"citationItems":[{"id":"ITEM-1","itemData":{"DOI":"10.1080/15567036.2019.1647314","ISSN":"15567230","abstract":"In this experimental work characteristic such as performance, combustion and emission of a single cylinder, four-stroke constant speed, direct injection, water-cooled diesel engine is investigated. The engine is operated by dual fuel mode using methane-enriched biogas (88.10%-CH4 + 11.89%-CO2) obtained from the food waste. Biogas (BG) is inducted into the engine at intake manifold with various mixtures like BG20, BG30 and BG40 mixed with air (i.e. BG40-40% of CH4 by mass respectively) at actual injection timing of 27.5° before top dead centre (bTDC) for different loads. The performance, combustion and emission characteristics of the engine operated by dual fuel mode were experimentally investigated, and compared with respect to diesel. By observing the experimental results, BG40 was optimized on the basis of lesser emissions and improved performance. BG40 showed lesser brake thermal efficiency and higher brake specific energy consumption than BG20 and BG30 for all loads. On the other hand, BG40 showed lower BTE by 15.5% and 15.62% compared to diesel at 3/4th and full load. Whereas the cylinder peak pressure for BG40 is higher than diesel by 5.36% and the net heat release rate is 14.9% higher than the diesel at full load. BG40 emitted higher carbon monoxide (CO) emissions than diesel by 5% at full load. The nitrogen oxide (NOx) emission for BG40 was lesser by 26.60% than diesel at full load, whereas the soot emission was 22.71% lower than diesel at full load respectively.","author":[{"dropping-particle":"","family":"Jagadish","given":"C.","non-dropping-particle":"","parse-names":false,"suffix":""},{"dropping-particle":"","family":"Gumtapure","given":"Veershetty","non-dropping-particle":"","parse-names":false,"suffix":""}],"container-title":"Energy Sources, Part A: Recovery, Utilization and Environmental Effects","id":"ITEM-1","issued":{"date-parts":[["2019"]]},"title":"Experimental investigation of methane-enriched biogas in a single cylinder diesel engine by the dual fuel mode","type":"article-journal"},"uris":["http://www.mendeley.com/documents/?uuid=6bd3bd85-8332-32d6-98bb-e210629c7cf6"]}],"mendeley":{"formattedCitation":"(Jagadish &amp; Gumtapure, 2019)","plainTextFormattedCitation":"(Jagadish &amp; Gumtapure, 2019)","previouslyFormattedCitation":"(Jagadish &amp; Gumtapure, 2019)"},"properties":{"noteIndex":0},"schema":"https://github.com/citation-style-language/schema/raw/master/csl-citation.json"}</w:instrText>
      </w:r>
      <w:r w:rsidR="00102129">
        <w:rPr>
          <w:rFonts w:eastAsia="Calibri"/>
          <w:color w:val="auto"/>
          <w:szCs w:val="24"/>
        </w:rPr>
        <w:fldChar w:fldCharType="separate"/>
      </w:r>
      <w:r w:rsidR="00102129" w:rsidRPr="00102129">
        <w:rPr>
          <w:rFonts w:eastAsia="Calibri"/>
          <w:noProof/>
          <w:color w:val="auto"/>
          <w:szCs w:val="24"/>
        </w:rPr>
        <w:t>(Jagadish &amp; Gumtapure, 2019)</w:t>
      </w:r>
      <w:r w:rsidR="00102129">
        <w:rPr>
          <w:rFonts w:eastAsia="Calibri"/>
          <w:color w:val="auto"/>
          <w:szCs w:val="24"/>
        </w:rPr>
        <w:fldChar w:fldCharType="end"/>
      </w:r>
      <w:r w:rsidRPr="00030691">
        <w:rPr>
          <w:rFonts w:eastAsia="Calibri"/>
          <w:color w:val="auto"/>
          <w:szCs w:val="24"/>
        </w:rPr>
        <w:t>. The presence of CO2 in biogas reduces the peak cylinder temperature because CO2 has a higher specific heat. The combination of these factors promotes lower NOx emissions for mixed biogas. On the other hand, NOx emission levels were found to be equivalent at higher loads due to increased and faster biogas combustion compared to lower loads after high temperatures and peak pressures</w:t>
      </w:r>
      <w:r w:rsidR="00102129">
        <w:rPr>
          <w:rFonts w:eastAsia="Calibri"/>
          <w:color w:val="auto"/>
          <w:szCs w:val="24"/>
        </w:rPr>
        <w:t xml:space="preserve"> </w:t>
      </w:r>
      <w:r w:rsidR="00102129">
        <w:rPr>
          <w:rFonts w:eastAsia="Calibri"/>
          <w:color w:val="auto"/>
          <w:szCs w:val="24"/>
        </w:rPr>
        <w:fldChar w:fldCharType="begin" w:fldLock="1"/>
      </w:r>
      <w:r w:rsidR="00102129">
        <w:rPr>
          <w:rFonts w:eastAsia="Calibri"/>
          <w:color w:val="auto"/>
          <w:szCs w:val="24"/>
        </w:rPr>
        <w:instrText>ADDIN CSL_CITATION {"citationItems":[{"id":"ITEM-1","itemData":{"DOI":"10.1504/ijex.2021.10042327","ISSN":"1742-8297","author":[{"dropping-particle":"","family":"Das","given":"L.M.","non-dropping-particle":"","parse-names":false,"suffix":""},{"dropping-particle":"","family":"Kaushik","given":"S.C.","non-dropping-particle":"","parse-names":false,"suffix":""},{"dropping-particle":"","family":"Verma","given":"Saket","non-dropping-particle":"","parse-names":false,"suffix":""}],"container-title":"International Journal of Exergy","id":"ITEM-1","issue":"2/3/4","issued":{"date-parts":[["2021"]]},"title":"An experimental study on gas-to-liquids and biogas dual fuel operation of a diesel engine","type":"article-journal","volume":"36"},"uris":["http://www.mendeley.com/documents/?uuid=e9b475c1-823e-370f-9b0d-5d8830a14959"]}],"mendeley":{"formattedCitation":"(Das et al., 2021)","plainTextFormattedCitation":"(Das et al., 2021)"},"properties":{"noteIndex":0},"schema":"https://github.com/citation-style-language/schema/raw/master/csl-citation.json"}</w:instrText>
      </w:r>
      <w:r w:rsidR="00102129">
        <w:rPr>
          <w:rFonts w:eastAsia="Calibri"/>
          <w:color w:val="auto"/>
          <w:szCs w:val="24"/>
        </w:rPr>
        <w:fldChar w:fldCharType="separate"/>
      </w:r>
      <w:r w:rsidR="00102129" w:rsidRPr="00102129">
        <w:rPr>
          <w:rFonts w:eastAsia="Calibri"/>
          <w:noProof/>
          <w:color w:val="auto"/>
          <w:szCs w:val="24"/>
        </w:rPr>
        <w:t>(Das et al., 2021)</w:t>
      </w:r>
      <w:r w:rsidR="00102129">
        <w:rPr>
          <w:rFonts w:eastAsia="Calibri"/>
          <w:color w:val="auto"/>
          <w:szCs w:val="24"/>
        </w:rPr>
        <w:fldChar w:fldCharType="end"/>
      </w:r>
      <w:r w:rsidR="00102129">
        <w:rPr>
          <w:rFonts w:eastAsia="Calibri"/>
          <w:color w:val="auto"/>
          <w:szCs w:val="24"/>
        </w:rPr>
        <w:t xml:space="preserve"> </w:t>
      </w:r>
    </w:p>
    <w:p w14:paraId="4AEDFDD4" w14:textId="315A99DE" w:rsidR="00AE7BAC" w:rsidRDefault="00AE7BAC" w:rsidP="00CE33F4">
      <w:pPr>
        <w:spacing w:line="240" w:lineRule="auto"/>
        <w:ind w:left="-5" w:right="0"/>
        <w:rPr>
          <w:noProof/>
        </w:rPr>
      </w:pPr>
      <w:r>
        <w:rPr>
          <w:noProof/>
        </w:rPr>
        <w:lastRenderedPageBreak/>
        <w:drawing>
          <wp:inline distT="0" distB="0" distL="0" distR="0" wp14:anchorId="2686FC62" wp14:editId="387467D0">
            <wp:extent cx="1781175" cy="1562100"/>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781175" cy="1562100"/>
                    </a:xfrm>
                    <a:prstGeom prst="rect">
                      <a:avLst/>
                    </a:prstGeom>
                    <a:noFill/>
                  </pic:spPr>
                </pic:pic>
              </a:graphicData>
            </a:graphic>
          </wp:inline>
        </w:drawing>
      </w:r>
      <w:r>
        <w:t xml:space="preserve"> </w:t>
      </w:r>
      <w:r>
        <w:rPr>
          <w:noProof/>
        </w:rPr>
        <w:t xml:space="preserve">    </w:t>
      </w:r>
      <w:r w:rsidR="00840E76">
        <w:rPr>
          <w:noProof/>
        </w:rPr>
        <w:t xml:space="preserve">  </w:t>
      </w:r>
      <w:r>
        <w:rPr>
          <w:noProof/>
        </w:rPr>
        <w:drawing>
          <wp:inline distT="0" distB="0" distL="0" distR="0" wp14:anchorId="0D0109B4" wp14:editId="02CD9F8E">
            <wp:extent cx="1857375" cy="1541145"/>
            <wp:effectExtent l="0" t="0" r="9525" b="190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857375" cy="1541145"/>
                    </a:xfrm>
                    <a:prstGeom prst="rect">
                      <a:avLst/>
                    </a:prstGeom>
                    <a:noFill/>
                  </pic:spPr>
                </pic:pic>
              </a:graphicData>
            </a:graphic>
          </wp:inline>
        </w:drawing>
      </w:r>
      <w:r>
        <w:rPr>
          <w:noProof/>
        </w:rPr>
        <w:t xml:space="preserve">    </w:t>
      </w:r>
      <w:r w:rsidR="00840E76">
        <w:rPr>
          <w:noProof/>
        </w:rPr>
        <w:t xml:space="preserve">   </w:t>
      </w:r>
      <w:r>
        <w:rPr>
          <w:noProof/>
        </w:rPr>
        <w:drawing>
          <wp:inline distT="0" distB="0" distL="0" distR="0" wp14:anchorId="0F2F77A8" wp14:editId="4730B99A">
            <wp:extent cx="1866900" cy="1557655"/>
            <wp:effectExtent l="0" t="0" r="0" b="444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867455" cy="1558118"/>
                    </a:xfrm>
                    <a:prstGeom prst="rect">
                      <a:avLst/>
                    </a:prstGeom>
                    <a:noFill/>
                  </pic:spPr>
                </pic:pic>
              </a:graphicData>
            </a:graphic>
          </wp:inline>
        </w:drawing>
      </w:r>
    </w:p>
    <w:p w14:paraId="08DFEFB8" w14:textId="77777777" w:rsidR="00AE7BAC" w:rsidRDefault="00AE7BAC" w:rsidP="00CE33F4">
      <w:pPr>
        <w:spacing w:line="240" w:lineRule="auto"/>
        <w:ind w:left="-5" w:right="0"/>
        <w:rPr>
          <w:noProof/>
        </w:rPr>
      </w:pPr>
    </w:p>
    <w:p w14:paraId="1C7F2902" w14:textId="1A74B63A" w:rsidR="00AE7BAC" w:rsidRDefault="00AE7BAC" w:rsidP="00CE33F4">
      <w:pPr>
        <w:spacing w:line="240" w:lineRule="auto"/>
        <w:ind w:left="-5" w:right="0"/>
        <w:rPr>
          <w:noProof/>
        </w:rPr>
      </w:pPr>
      <w:r>
        <w:rPr>
          <w:noProof/>
        </w:rPr>
        <w:drawing>
          <wp:inline distT="0" distB="0" distL="0" distR="0" wp14:anchorId="537612B5" wp14:editId="2F5E88D1">
            <wp:extent cx="1761415" cy="148907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775308" cy="1500820"/>
                    </a:xfrm>
                    <a:prstGeom prst="rect">
                      <a:avLst/>
                    </a:prstGeom>
                    <a:noFill/>
                  </pic:spPr>
                </pic:pic>
              </a:graphicData>
            </a:graphic>
          </wp:inline>
        </w:drawing>
      </w:r>
      <w:r w:rsidR="00816A04">
        <w:t xml:space="preserve">   </w:t>
      </w:r>
      <w:r w:rsidR="00816A04">
        <w:rPr>
          <w:noProof/>
        </w:rPr>
        <w:t xml:space="preserve">   </w:t>
      </w:r>
      <w:r w:rsidR="00840E76">
        <w:rPr>
          <w:noProof/>
        </w:rPr>
        <w:t xml:space="preserve">  </w:t>
      </w:r>
      <w:r w:rsidR="00816A04">
        <w:rPr>
          <w:noProof/>
        </w:rPr>
        <w:drawing>
          <wp:inline distT="0" distB="0" distL="0" distR="0" wp14:anchorId="3FAAF646" wp14:editId="50C70358">
            <wp:extent cx="1847850" cy="1496695"/>
            <wp:effectExtent l="0" t="0" r="0" b="825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848965" cy="1497598"/>
                    </a:xfrm>
                    <a:prstGeom prst="rect">
                      <a:avLst/>
                    </a:prstGeom>
                    <a:noFill/>
                  </pic:spPr>
                </pic:pic>
              </a:graphicData>
            </a:graphic>
          </wp:inline>
        </w:drawing>
      </w:r>
      <w:r w:rsidR="00816A04">
        <w:t xml:space="preserve">  </w:t>
      </w:r>
      <w:r w:rsidR="00816A04">
        <w:rPr>
          <w:noProof/>
        </w:rPr>
        <w:t xml:space="preserve">   </w:t>
      </w:r>
      <w:r w:rsidR="00840E76">
        <w:rPr>
          <w:noProof/>
        </w:rPr>
        <w:t xml:space="preserve">    </w:t>
      </w:r>
      <w:r w:rsidR="00816A04">
        <w:rPr>
          <w:noProof/>
        </w:rPr>
        <w:drawing>
          <wp:inline distT="0" distB="0" distL="0" distR="0" wp14:anchorId="2CA1ABBE" wp14:editId="5B154F5D">
            <wp:extent cx="1847850" cy="151320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847850" cy="1513205"/>
                    </a:xfrm>
                    <a:prstGeom prst="rect">
                      <a:avLst/>
                    </a:prstGeom>
                    <a:noFill/>
                  </pic:spPr>
                </pic:pic>
              </a:graphicData>
            </a:graphic>
          </wp:inline>
        </w:drawing>
      </w:r>
    </w:p>
    <w:p w14:paraId="4AAFB693" w14:textId="77777777" w:rsidR="00816A04" w:rsidRDefault="00816A04" w:rsidP="00CE33F4">
      <w:pPr>
        <w:spacing w:line="240" w:lineRule="auto"/>
        <w:ind w:left="-5" w:right="0"/>
        <w:rPr>
          <w:noProof/>
        </w:rPr>
      </w:pPr>
    </w:p>
    <w:p w14:paraId="51FBF1FA" w14:textId="2FB27C69" w:rsidR="00816A04" w:rsidRDefault="00816A04" w:rsidP="00CE33F4">
      <w:pPr>
        <w:spacing w:line="240" w:lineRule="auto"/>
        <w:ind w:left="-5" w:right="0"/>
        <w:rPr>
          <w:noProof/>
        </w:rPr>
      </w:pPr>
      <w:r>
        <w:rPr>
          <w:noProof/>
        </w:rPr>
        <w:drawing>
          <wp:inline distT="0" distB="0" distL="0" distR="0" wp14:anchorId="26B383E8" wp14:editId="0655F6BB">
            <wp:extent cx="1760855" cy="158115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761127" cy="1581394"/>
                    </a:xfrm>
                    <a:prstGeom prst="rect">
                      <a:avLst/>
                    </a:prstGeom>
                    <a:noFill/>
                  </pic:spPr>
                </pic:pic>
              </a:graphicData>
            </a:graphic>
          </wp:inline>
        </w:drawing>
      </w:r>
      <w:r>
        <w:t xml:space="preserve">  </w:t>
      </w:r>
      <w:r>
        <w:rPr>
          <w:noProof/>
        </w:rPr>
        <w:t xml:space="preserve">  </w:t>
      </w:r>
      <w:r w:rsidR="00840E76">
        <w:rPr>
          <w:noProof/>
        </w:rPr>
        <w:t xml:space="preserve">    </w:t>
      </w:r>
      <w:r>
        <w:rPr>
          <w:noProof/>
        </w:rPr>
        <w:t xml:space="preserve"> </w:t>
      </w:r>
      <w:r>
        <w:rPr>
          <w:noProof/>
        </w:rPr>
        <w:drawing>
          <wp:inline distT="0" distB="0" distL="0" distR="0" wp14:anchorId="7D5A75BF" wp14:editId="4353909A">
            <wp:extent cx="1895475" cy="1553210"/>
            <wp:effectExtent l="0" t="0" r="9525" b="889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896068" cy="1553696"/>
                    </a:xfrm>
                    <a:prstGeom prst="rect">
                      <a:avLst/>
                    </a:prstGeom>
                    <a:noFill/>
                  </pic:spPr>
                </pic:pic>
              </a:graphicData>
            </a:graphic>
          </wp:inline>
        </w:drawing>
      </w:r>
      <w:r>
        <w:rPr>
          <w:noProof/>
        </w:rPr>
        <w:t xml:space="preserve">    </w:t>
      </w:r>
      <w:r w:rsidR="00840E76">
        <w:rPr>
          <w:noProof/>
        </w:rPr>
        <w:t xml:space="preserve">  </w:t>
      </w:r>
      <w:r>
        <w:rPr>
          <w:noProof/>
        </w:rPr>
        <w:drawing>
          <wp:inline distT="0" distB="0" distL="0" distR="0" wp14:anchorId="7E53AA46" wp14:editId="3FE61732">
            <wp:extent cx="1847850" cy="155257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847850" cy="1552575"/>
                    </a:xfrm>
                    <a:prstGeom prst="rect">
                      <a:avLst/>
                    </a:prstGeom>
                    <a:noFill/>
                  </pic:spPr>
                </pic:pic>
              </a:graphicData>
            </a:graphic>
          </wp:inline>
        </w:drawing>
      </w:r>
    </w:p>
    <w:p w14:paraId="64AE9ADE" w14:textId="733D82F7" w:rsidR="00A47B98" w:rsidRPr="000C317F" w:rsidRDefault="00A47B98" w:rsidP="00A47B98">
      <w:pPr>
        <w:spacing w:after="120" w:line="240" w:lineRule="auto"/>
        <w:ind w:left="-5" w:right="0"/>
        <w:jc w:val="center"/>
        <w:rPr>
          <w:sz w:val="22"/>
        </w:rPr>
      </w:pPr>
      <w:r w:rsidRPr="000C317F">
        <w:rPr>
          <w:b/>
          <w:noProof/>
          <w:sz w:val="22"/>
        </w:rPr>
        <w:t>Figure. 4.</w:t>
      </w:r>
      <w:r w:rsidRPr="000C317F">
        <w:rPr>
          <w:noProof/>
          <w:sz w:val="22"/>
        </w:rPr>
        <w:t xml:space="preserve"> Contour of Temperature (a), Velocity (b) and contour of pressure (c)</w:t>
      </w:r>
      <w:r w:rsidR="00BC2995">
        <w:rPr>
          <w:noProof/>
          <w:sz w:val="22"/>
        </w:rPr>
        <w:t xml:space="preserve"> from 0% to 50% biogas</w:t>
      </w:r>
    </w:p>
    <w:p w14:paraId="5B45FD1B" w14:textId="7599C7B0" w:rsidR="003D6891" w:rsidRPr="002F51C0" w:rsidRDefault="00480832" w:rsidP="003D6891">
      <w:pPr>
        <w:spacing w:after="120" w:line="240" w:lineRule="auto"/>
        <w:ind w:left="0" w:right="0" w:firstLine="0"/>
        <w:rPr>
          <w:rFonts w:eastAsia="Calibri"/>
          <w:noProof/>
          <w:color w:val="auto"/>
          <w:szCs w:val="24"/>
        </w:rPr>
      </w:pPr>
      <w:r w:rsidRPr="00480832">
        <w:rPr>
          <w:rFonts w:eastAsia="Calibri"/>
          <w:noProof/>
          <w:color w:val="auto"/>
          <w:szCs w:val="24"/>
        </w:rPr>
        <w:t>In Figure 4, respectively (a), (b), and (c) with variations in the percentage of biodiesel - biogas from 0%, 25%, and 50%, it can be seen that there are several changes in behavior from the temperature and pressure contours. The increase in biogas intake from 0% to 50% at the maximum rotational speed of the DF engine results in an increase in engine performance.</w:t>
      </w:r>
    </w:p>
    <w:p w14:paraId="582DEE4D" w14:textId="22028C50" w:rsidR="009176F8" w:rsidRDefault="0023382E" w:rsidP="008A7337">
      <w:pPr>
        <w:pStyle w:val="Heading2"/>
        <w:spacing w:after="0" w:line="276" w:lineRule="auto"/>
        <w:ind w:left="-5"/>
      </w:pPr>
      <w:r>
        <w:t xml:space="preserve">4. Conclusion </w:t>
      </w:r>
    </w:p>
    <w:p w14:paraId="751BE4E6" w14:textId="2CF361B8" w:rsidR="009176F8" w:rsidRDefault="00A47B98" w:rsidP="003D6891">
      <w:pPr>
        <w:spacing w:after="0" w:line="240" w:lineRule="auto"/>
      </w:pPr>
      <w:r w:rsidRPr="00A47B98">
        <w:t>In general, there are several conclusions regarding the performance and emission characteristics of the variation in the percentage of biodiesel – biogas from 0%, 2</w:t>
      </w:r>
      <w:r w:rsidR="00473B5C">
        <w:t xml:space="preserve">5%, </w:t>
      </w:r>
      <w:r w:rsidRPr="00A47B98">
        <w:t>and 50% biogas at 2200 RPM engine speed. The increase in engine performance occurs along with the increase in the percentage of biogas from 0% to 50%. The increase in BTE, IMEP and power and a decrease in the level of ISFC indicate that biodiesel – biogas is worthy of consideration as an alternative solution for reducing the use of fossil fuels. Meanwhile, the decreasing value of NOx with an increase in the percentage of biogas from 0% to 50% is good news. The problem of increasing unburned hydrocarbons at a higher percentage of biogas can be tried to add oxygen intake to the engine either through a turbocharger or a supercharger.</w:t>
      </w:r>
    </w:p>
    <w:p w14:paraId="4A293F18" w14:textId="0B1D3478" w:rsidR="009176F8" w:rsidRDefault="009176F8" w:rsidP="009176F8"/>
    <w:p w14:paraId="5DCD9397" w14:textId="6DF8B14A" w:rsidR="00A75E39" w:rsidRPr="000C317F" w:rsidRDefault="000C317F" w:rsidP="000C317F">
      <w:pPr>
        <w:rPr>
          <w:b/>
        </w:rPr>
      </w:pPr>
      <w:r w:rsidRPr="000C317F">
        <w:rPr>
          <w:b/>
        </w:rPr>
        <w:t>Acknowledgment</w:t>
      </w:r>
    </w:p>
    <w:p w14:paraId="3A19DE92" w14:textId="4359FAD6" w:rsidR="00A47B98" w:rsidRDefault="000C317F" w:rsidP="00CE33F4">
      <w:pPr>
        <w:spacing w:line="240" w:lineRule="auto"/>
        <w:ind w:left="-5" w:right="0"/>
      </w:pPr>
      <w:r w:rsidRPr="000C317F">
        <w:t>We would like to thank the PP Muhammadiyah Diktilitbang Council for funding research through the RISETMU Batch V grant, Universitas Muhammadiyah Surabaya, and all colleagues who have assisted in the completion of this research.</w:t>
      </w:r>
    </w:p>
    <w:p w14:paraId="01CD1DF5" w14:textId="77777777" w:rsidR="00096DE0" w:rsidRDefault="00096DE0" w:rsidP="000C317F">
      <w:pPr>
        <w:spacing w:line="240" w:lineRule="auto"/>
        <w:ind w:left="0" w:right="0" w:firstLine="0"/>
      </w:pPr>
    </w:p>
    <w:p w14:paraId="5B0D9389" w14:textId="77777777" w:rsidR="009265A0" w:rsidRDefault="0023382E" w:rsidP="00CE33F4">
      <w:pPr>
        <w:pStyle w:val="Heading2"/>
        <w:spacing w:line="240" w:lineRule="auto"/>
        <w:ind w:left="-5"/>
      </w:pPr>
      <w:r>
        <w:lastRenderedPageBreak/>
        <w:t xml:space="preserve">References </w:t>
      </w:r>
    </w:p>
    <w:p w14:paraId="1AC050A1" w14:textId="77777777" w:rsidR="00BA20C1" w:rsidRDefault="00BA20C1" w:rsidP="00BA20C1"/>
    <w:p w14:paraId="7ED00CDE" w14:textId="18A616E7" w:rsidR="00102129" w:rsidRPr="00102129" w:rsidRDefault="00A933E8" w:rsidP="00102129">
      <w:pPr>
        <w:widowControl w:val="0"/>
        <w:autoSpaceDE w:val="0"/>
        <w:autoSpaceDN w:val="0"/>
        <w:adjustRightInd w:val="0"/>
        <w:spacing w:after="0" w:line="240" w:lineRule="auto"/>
        <w:ind w:left="480" w:hanging="480"/>
        <w:rPr>
          <w:noProof/>
          <w:szCs w:val="24"/>
        </w:rPr>
      </w:pPr>
      <w:r>
        <w:t xml:space="preserve">[1]   </w:t>
      </w:r>
      <w:r w:rsidR="00BA20C1">
        <w:fldChar w:fldCharType="begin" w:fldLock="1"/>
      </w:r>
      <w:r w:rsidR="00BA20C1">
        <w:instrText xml:space="preserve">ADDIN Mendeley Bibliography CSL_BIBLIOGRAPHY </w:instrText>
      </w:r>
      <w:r w:rsidR="00BA20C1">
        <w:fldChar w:fldCharType="separate"/>
      </w:r>
      <w:r w:rsidR="00102129" w:rsidRPr="00102129">
        <w:rPr>
          <w:noProof/>
          <w:szCs w:val="24"/>
        </w:rPr>
        <w:t xml:space="preserve">Abdelaal, M. M., Rabee, B. A., &amp; Hegab, A. H. (2013). Effect of adding oxygen to the intake air on a dual-fuel engine performance, emissions, and knock tendency. </w:t>
      </w:r>
      <w:r w:rsidR="00102129" w:rsidRPr="00102129">
        <w:rPr>
          <w:i/>
          <w:iCs/>
          <w:noProof/>
          <w:szCs w:val="24"/>
        </w:rPr>
        <w:t>Energy</w:t>
      </w:r>
      <w:r w:rsidR="00102129" w:rsidRPr="00102129">
        <w:rPr>
          <w:noProof/>
          <w:szCs w:val="24"/>
        </w:rPr>
        <w:t>. https://doi.org/10.1016/j.energy.2013.09.022</w:t>
      </w:r>
    </w:p>
    <w:p w14:paraId="0E8A9CE2" w14:textId="36C969B2" w:rsidR="00102129" w:rsidRPr="00102129" w:rsidRDefault="00A933E8" w:rsidP="00102129">
      <w:pPr>
        <w:widowControl w:val="0"/>
        <w:autoSpaceDE w:val="0"/>
        <w:autoSpaceDN w:val="0"/>
        <w:adjustRightInd w:val="0"/>
        <w:spacing w:after="0" w:line="240" w:lineRule="auto"/>
        <w:ind w:left="480" w:hanging="480"/>
        <w:rPr>
          <w:noProof/>
          <w:szCs w:val="24"/>
        </w:rPr>
      </w:pPr>
      <w:r>
        <w:rPr>
          <w:noProof/>
          <w:szCs w:val="24"/>
        </w:rPr>
        <w:t xml:space="preserve">[2]   </w:t>
      </w:r>
      <w:r w:rsidR="00102129" w:rsidRPr="00102129">
        <w:rPr>
          <w:noProof/>
          <w:szCs w:val="24"/>
        </w:rPr>
        <w:t xml:space="preserve">Ambarita, H. (2017). Performance and emission characteristics of a small diesel engine run in dual-fuel (diesel-biogas) mode. </w:t>
      </w:r>
      <w:r w:rsidR="00102129" w:rsidRPr="00102129">
        <w:rPr>
          <w:i/>
          <w:iCs/>
          <w:noProof/>
          <w:szCs w:val="24"/>
        </w:rPr>
        <w:t>Case Studies in Thermal Engineering</w:t>
      </w:r>
      <w:r w:rsidR="00102129" w:rsidRPr="00102129">
        <w:rPr>
          <w:noProof/>
          <w:szCs w:val="24"/>
        </w:rPr>
        <w:t xml:space="preserve">, </w:t>
      </w:r>
      <w:r w:rsidR="00102129" w:rsidRPr="00102129">
        <w:rPr>
          <w:i/>
          <w:iCs/>
          <w:noProof/>
          <w:szCs w:val="24"/>
        </w:rPr>
        <w:t>10</w:t>
      </w:r>
      <w:r w:rsidR="00102129" w:rsidRPr="00102129">
        <w:rPr>
          <w:noProof/>
          <w:szCs w:val="24"/>
        </w:rPr>
        <w:t>. https://doi.org/10.1016/j.csite.2017.06.003</w:t>
      </w:r>
    </w:p>
    <w:p w14:paraId="76B143DE" w14:textId="67E899F8" w:rsidR="00102129" w:rsidRPr="00102129" w:rsidRDefault="00A933E8" w:rsidP="00102129">
      <w:pPr>
        <w:widowControl w:val="0"/>
        <w:autoSpaceDE w:val="0"/>
        <w:autoSpaceDN w:val="0"/>
        <w:adjustRightInd w:val="0"/>
        <w:spacing w:after="0" w:line="240" w:lineRule="auto"/>
        <w:ind w:left="480" w:hanging="480"/>
        <w:rPr>
          <w:noProof/>
          <w:szCs w:val="24"/>
        </w:rPr>
      </w:pPr>
      <w:r>
        <w:rPr>
          <w:noProof/>
          <w:szCs w:val="24"/>
        </w:rPr>
        <w:t xml:space="preserve">[3]  </w:t>
      </w:r>
      <w:r w:rsidR="00102129" w:rsidRPr="00102129">
        <w:rPr>
          <w:noProof/>
          <w:szCs w:val="24"/>
        </w:rPr>
        <w:t xml:space="preserve">Ariani, B., Ariana, I. M., &amp; Fathallah, A. Z. M. (2020). Experimental investigation on natural gas injection to minimize abnormal combustion and methane slip in the diesel-natural gas dual fuel engine at low load. </w:t>
      </w:r>
      <w:r w:rsidR="00102129" w:rsidRPr="00102129">
        <w:rPr>
          <w:i/>
          <w:iCs/>
          <w:noProof/>
          <w:szCs w:val="24"/>
        </w:rPr>
        <w:t>International Review of Mechanical Engineering</w:t>
      </w:r>
      <w:r w:rsidR="00102129" w:rsidRPr="00102129">
        <w:rPr>
          <w:noProof/>
          <w:szCs w:val="24"/>
        </w:rPr>
        <w:t xml:space="preserve">, </w:t>
      </w:r>
      <w:r w:rsidR="00102129" w:rsidRPr="00102129">
        <w:rPr>
          <w:i/>
          <w:iCs/>
          <w:noProof/>
          <w:szCs w:val="24"/>
        </w:rPr>
        <w:t>14</w:t>
      </w:r>
      <w:r w:rsidR="00102129" w:rsidRPr="00102129">
        <w:rPr>
          <w:noProof/>
          <w:szCs w:val="24"/>
        </w:rPr>
        <w:t>(9). https://doi.org/10.15866/ireme.v14i9.19821</w:t>
      </w:r>
    </w:p>
    <w:p w14:paraId="09859D94" w14:textId="6167A3CC" w:rsidR="00102129" w:rsidRPr="00102129" w:rsidRDefault="00A933E8" w:rsidP="00102129">
      <w:pPr>
        <w:widowControl w:val="0"/>
        <w:autoSpaceDE w:val="0"/>
        <w:autoSpaceDN w:val="0"/>
        <w:adjustRightInd w:val="0"/>
        <w:spacing w:after="0" w:line="240" w:lineRule="auto"/>
        <w:ind w:left="480" w:hanging="480"/>
        <w:rPr>
          <w:noProof/>
          <w:szCs w:val="24"/>
        </w:rPr>
      </w:pPr>
      <w:r>
        <w:rPr>
          <w:noProof/>
          <w:szCs w:val="24"/>
        </w:rPr>
        <w:t xml:space="preserve">[4]  </w:t>
      </w:r>
      <w:r w:rsidR="00102129" w:rsidRPr="00102129">
        <w:rPr>
          <w:noProof/>
          <w:szCs w:val="24"/>
        </w:rPr>
        <w:t xml:space="preserve">Ariani, B., Ariana, I. M., &amp; Fathallah, M. A. (2019). Effect of natural gas injection timing on combustion performance &amp; methane slip emission of diesel - NG dual fuel engine: An experimental study. </w:t>
      </w:r>
      <w:r w:rsidR="00102129" w:rsidRPr="00102129">
        <w:rPr>
          <w:i/>
          <w:iCs/>
          <w:noProof/>
          <w:szCs w:val="24"/>
        </w:rPr>
        <w:t>AIP Conference Proceedings</w:t>
      </w:r>
      <w:r w:rsidR="00102129" w:rsidRPr="00102129">
        <w:rPr>
          <w:noProof/>
          <w:szCs w:val="24"/>
        </w:rPr>
        <w:t>. https://doi.org/10.1063/1.5138258</w:t>
      </w:r>
    </w:p>
    <w:p w14:paraId="65FAE90A" w14:textId="6003A7BE" w:rsidR="00102129" w:rsidRPr="00102129" w:rsidRDefault="00A933E8" w:rsidP="00102129">
      <w:pPr>
        <w:widowControl w:val="0"/>
        <w:autoSpaceDE w:val="0"/>
        <w:autoSpaceDN w:val="0"/>
        <w:adjustRightInd w:val="0"/>
        <w:spacing w:after="0" w:line="240" w:lineRule="auto"/>
        <w:ind w:left="480" w:hanging="480"/>
        <w:rPr>
          <w:noProof/>
          <w:szCs w:val="24"/>
        </w:rPr>
      </w:pPr>
      <w:r>
        <w:rPr>
          <w:noProof/>
          <w:szCs w:val="24"/>
        </w:rPr>
        <w:t xml:space="preserve">[5]  </w:t>
      </w:r>
      <w:r w:rsidR="00102129" w:rsidRPr="00102129">
        <w:rPr>
          <w:noProof/>
          <w:szCs w:val="24"/>
        </w:rPr>
        <w:t xml:space="preserve">Bala, B. (2005). Studies on biodiesels from transformation of vegetable oils for diesel engines. </w:t>
      </w:r>
      <w:r w:rsidR="00102129" w:rsidRPr="00102129">
        <w:rPr>
          <w:i/>
          <w:iCs/>
          <w:noProof/>
          <w:szCs w:val="24"/>
        </w:rPr>
        <w:t>Energy Educ. Sci. Technol.</w:t>
      </w:r>
      <w:r w:rsidR="00102129" w:rsidRPr="00102129">
        <w:rPr>
          <w:noProof/>
          <w:szCs w:val="24"/>
        </w:rPr>
        <w:t xml:space="preserve">, </w:t>
      </w:r>
      <w:r w:rsidR="00102129" w:rsidRPr="00102129">
        <w:rPr>
          <w:i/>
          <w:iCs/>
          <w:noProof/>
          <w:szCs w:val="24"/>
        </w:rPr>
        <w:t>15</w:t>
      </w:r>
      <w:r w:rsidR="00102129" w:rsidRPr="00102129">
        <w:rPr>
          <w:noProof/>
          <w:szCs w:val="24"/>
        </w:rPr>
        <w:t>.</w:t>
      </w:r>
    </w:p>
    <w:p w14:paraId="65CB2043" w14:textId="4BE45DAB" w:rsidR="00102129" w:rsidRPr="00102129" w:rsidRDefault="00A933E8" w:rsidP="00102129">
      <w:pPr>
        <w:widowControl w:val="0"/>
        <w:autoSpaceDE w:val="0"/>
        <w:autoSpaceDN w:val="0"/>
        <w:adjustRightInd w:val="0"/>
        <w:spacing w:after="0" w:line="240" w:lineRule="auto"/>
        <w:ind w:left="480" w:hanging="480"/>
        <w:rPr>
          <w:noProof/>
          <w:szCs w:val="24"/>
        </w:rPr>
      </w:pPr>
      <w:r>
        <w:rPr>
          <w:noProof/>
          <w:szCs w:val="24"/>
        </w:rPr>
        <w:t xml:space="preserve">[6]  </w:t>
      </w:r>
      <w:r w:rsidR="00102129" w:rsidRPr="00102129">
        <w:rPr>
          <w:noProof/>
          <w:szCs w:val="24"/>
        </w:rPr>
        <w:t xml:space="preserve">Barik, D., &amp; Murugan, S. (2014). Investigation on combustion performance and emission characteristics of a DI (direct injection) diesel engine fueled with biogas-diesel in dual fuel mode. </w:t>
      </w:r>
      <w:r w:rsidR="00102129" w:rsidRPr="00102129">
        <w:rPr>
          <w:i/>
          <w:iCs/>
          <w:noProof/>
          <w:szCs w:val="24"/>
        </w:rPr>
        <w:t>Energy</w:t>
      </w:r>
      <w:r w:rsidR="00102129" w:rsidRPr="00102129">
        <w:rPr>
          <w:noProof/>
          <w:szCs w:val="24"/>
        </w:rPr>
        <w:t xml:space="preserve">, </w:t>
      </w:r>
      <w:r w:rsidR="00102129" w:rsidRPr="00102129">
        <w:rPr>
          <w:i/>
          <w:iCs/>
          <w:noProof/>
          <w:szCs w:val="24"/>
        </w:rPr>
        <w:t>72</w:t>
      </w:r>
      <w:r w:rsidR="00102129" w:rsidRPr="00102129">
        <w:rPr>
          <w:noProof/>
          <w:szCs w:val="24"/>
        </w:rPr>
        <w:t>. https://doi.org/10.1016/j.energy.2014.05.106</w:t>
      </w:r>
    </w:p>
    <w:p w14:paraId="3CA19F4E" w14:textId="12EA4F54" w:rsidR="00102129" w:rsidRPr="00102129" w:rsidRDefault="00A933E8" w:rsidP="00102129">
      <w:pPr>
        <w:widowControl w:val="0"/>
        <w:autoSpaceDE w:val="0"/>
        <w:autoSpaceDN w:val="0"/>
        <w:adjustRightInd w:val="0"/>
        <w:spacing w:after="0" w:line="240" w:lineRule="auto"/>
        <w:ind w:left="480" w:hanging="480"/>
        <w:rPr>
          <w:noProof/>
          <w:szCs w:val="24"/>
        </w:rPr>
      </w:pPr>
      <w:r>
        <w:rPr>
          <w:noProof/>
          <w:szCs w:val="24"/>
        </w:rPr>
        <w:t xml:space="preserve">[7]  </w:t>
      </w:r>
      <w:r w:rsidR="00102129" w:rsidRPr="00102129">
        <w:rPr>
          <w:noProof/>
          <w:szCs w:val="24"/>
        </w:rPr>
        <w:t xml:space="preserve">Barik, D., &amp; Murugan, S. (2016). Experimental investigation on the behavior of a DI diesel engine fueled with raw biogas–diesel dual fuel at different injection timing. </w:t>
      </w:r>
      <w:r w:rsidR="00102129" w:rsidRPr="00102129">
        <w:rPr>
          <w:i/>
          <w:iCs/>
          <w:noProof/>
          <w:szCs w:val="24"/>
        </w:rPr>
        <w:t>Journal of the Energy Institute</w:t>
      </w:r>
      <w:r w:rsidR="00102129" w:rsidRPr="00102129">
        <w:rPr>
          <w:noProof/>
          <w:szCs w:val="24"/>
        </w:rPr>
        <w:t xml:space="preserve">, </w:t>
      </w:r>
      <w:r w:rsidR="00102129" w:rsidRPr="00102129">
        <w:rPr>
          <w:i/>
          <w:iCs/>
          <w:noProof/>
          <w:szCs w:val="24"/>
        </w:rPr>
        <w:t>89</w:t>
      </w:r>
      <w:r w:rsidR="00102129" w:rsidRPr="00102129">
        <w:rPr>
          <w:noProof/>
          <w:szCs w:val="24"/>
        </w:rPr>
        <w:t>(3). https://doi.org/10.1016/j.joei.2015.03.002</w:t>
      </w:r>
    </w:p>
    <w:p w14:paraId="1F693B92" w14:textId="41F1F3B3" w:rsidR="00102129" w:rsidRPr="00102129" w:rsidRDefault="00A933E8" w:rsidP="00102129">
      <w:pPr>
        <w:widowControl w:val="0"/>
        <w:autoSpaceDE w:val="0"/>
        <w:autoSpaceDN w:val="0"/>
        <w:adjustRightInd w:val="0"/>
        <w:spacing w:after="0" w:line="240" w:lineRule="auto"/>
        <w:ind w:left="480" w:hanging="480"/>
        <w:rPr>
          <w:noProof/>
          <w:szCs w:val="24"/>
        </w:rPr>
      </w:pPr>
      <w:r>
        <w:rPr>
          <w:noProof/>
          <w:szCs w:val="24"/>
        </w:rPr>
        <w:t xml:space="preserve">[8]  </w:t>
      </w:r>
      <w:r w:rsidR="00102129" w:rsidRPr="00102129">
        <w:rPr>
          <w:noProof/>
          <w:szCs w:val="24"/>
        </w:rPr>
        <w:t xml:space="preserve">Bows–Larkin, A., Mander, S., Gilbert, P., Traut, M., Walsh, C., &amp; Anderson, K. (2014). High Seas, High Stakes: High Seas Project Final Report. </w:t>
      </w:r>
      <w:r w:rsidR="00102129" w:rsidRPr="00102129">
        <w:rPr>
          <w:i/>
          <w:iCs/>
          <w:noProof/>
          <w:szCs w:val="24"/>
        </w:rPr>
        <w:t>Tyndall Centre for Climate Change Research</w:t>
      </w:r>
      <w:r w:rsidR="00102129" w:rsidRPr="00102129">
        <w:rPr>
          <w:noProof/>
          <w:szCs w:val="24"/>
        </w:rPr>
        <w:t>.</w:t>
      </w:r>
    </w:p>
    <w:p w14:paraId="231F076A" w14:textId="7A1EFDFA" w:rsidR="00102129" w:rsidRPr="00102129" w:rsidRDefault="00A933E8" w:rsidP="00102129">
      <w:pPr>
        <w:widowControl w:val="0"/>
        <w:autoSpaceDE w:val="0"/>
        <w:autoSpaceDN w:val="0"/>
        <w:adjustRightInd w:val="0"/>
        <w:spacing w:after="0" w:line="240" w:lineRule="auto"/>
        <w:ind w:left="480" w:hanging="480"/>
        <w:rPr>
          <w:noProof/>
          <w:szCs w:val="24"/>
        </w:rPr>
      </w:pPr>
      <w:r>
        <w:rPr>
          <w:noProof/>
          <w:szCs w:val="24"/>
        </w:rPr>
        <w:t xml:space="preserve">[9]   </w:t>
      </w:r>
      <w:r w:rsidR="00102129" w:rsidRPr="00102129">
        <w:rPr>
          <w:noProof/>
          <w:szCs w:val="24"/>
        </w:rPr>
        <w:t xml:space="preserve">Cacua, K., Amell, A., &amp; Cadavid, F. (2012). Effects of oxygen enriched air on the operation and performance of a diesel-biogas dual fuel engine. </w:t>
      </w:r>
      <w:r w:rsidR="00102129" w:rsidRPr="00102129">
        <w:rPr>
          <w:i/>
          <w:iCs/>
          <w:noProof/>
          <w:szCs w:val="24"/>
        </w:rPr>
        <w:t>Biomass and Bioenergy</w:t>
      </w:r>
      <w:r w:rsidR="00102129" w:rsidRPr="00102129">
        <w:rPr>
          <w:noProof/>
          <w:szCs w:val="24"/>
        </w:rPr>
        <w:t xml:space="preserve">, </w:t>
      </w:r>
      <w:r w:rsidR="00102129" w:rsidRPr="00102129">
        <w:rPr>
          <w:i/>
          <w:iCs/>
          <w:noProof/>
          <w:szCs w:val="24"/>
        </w:rPr>
        <w:t>45</w:t>
      </w:r>
      <w:r w:rsidR="00102129" w:rsidRPr="00102129">
        <w:rPr>
          <w:noProof/>
          <w:szCs w:val="24"/>
        </w:rPr>
        <w:t>. https://doi.org/10.1016/j.biombioe.2012.06.003</w:t>
      </w:r>
    </w:p>
    <w:p w14:paraId="786C29E6" w14:textId="12026BDD" w:rsidR="00102129" w:rsidRPr="00102129" w:rsidRDefault="00A933E8" w:rsidP="00102129">
      <w:pPr>
        <w:widowControl w:val="0"/>
        <w:autoSpaceDE w:val="0"/>
        <w:autoSpaceDN w:val="0"/>
        <w:adjustRightInd w:val="0"/>
        <w:spacing w:after="0" w:line="240" w:lineRule="auto"/>
        <w:ind w:left="480" w:hanging="480"/>
        <w:rPr>
          <w:noProof/>
          <w:szCs w:val="24"/>
        </w:rPr>
      </w:pPr>
      <w:r>
        <w:rPr>
          <w:noProof/>
          <w:szCs w:val="24"/>
        </w:rPr>
        <w:t xml:space="preserve">[10] </w:t>
      </w:r>
      <w:r w:rsidR="00102129" w:rsidRPr="00102129">
        <w:rPr>
          <w:noProof/>
          <w:szCs w:val="24"/>
        </w:rPr>
        <w:t xml:space="preserve">Das, L. M., Kaushik, S. C., &amp; Verma, S. (2021). An experimental study on gas-to-liquids and biogas dual fuel operation of a diesel engine. </w:t>
      </w:r>
      <w:r w:rsidR="00102129" w:rsidRPr="00102129">
        <w:rPr>
          <w:i/>
          <w:iCs/>
          <w:noProof/>
          <w:szCs w:val="24"/>
        </w:rPr>
        <w:t>International Journal of Exergy</w:t>
      </w:r>
      <w:r w:rsidR="00102129" w:rsidRPr="00102129">
        <w:rPr>
          <w:noProof/>
          <w:szCs w:val="24"/>
        </w:rPr>
        <w:t xml:space="preserve">, </w:t>
      </w:r>
      <w:r w:rsidR="00102129" w:rsidRPr="00102129">
        <w:rPr>
          <w:i/>
          <w:iCs/>
          <w:noProof/>
          <w:szCs w:val="24"/>
        </w:rPr>
        <w:t>36</w:t>
      </w:r>
      <w:r w:rsidR="00102129" w:rsidRPr="00102129">
        <w:rPr>
          <w:noProof/>
          <w:szCs w:val="24"/>
        </w:rPr>
        <w:t>(2/3/4). https://doi.org/10.1504/ijex.2021.10042327</w:t>
      </w:r>
    </w:p>
    <w:p w14:paraId="689045D4" w14:textId="01F0C37F" w:rsidR="00102129" w:rsidRPr="00102129" w:rsidRDefault="00A933E8" w:rsidP="00102129">
      <w:pPr>
        <w:widowControl w:val="0"/>
        <w:autoSpaceDE w:val="0"/>
        <w:autoSpaceDN w:val="0"/>
        <w:adjustRightInd w:val="0"/>
        <w:spacing w:after="0" w:line="240" w:lineRule="auto"/>
        <w:ind w:left="480" w:hanging="480"/>
        <w:rPr>
          <w:noProof/>
          <w:szCs w:val="24"/>
        </w:rPr>
      </w:pPr>
      <w:r>
        <w:rPr>
          <w:noProof/>
          <w:szCs w:val="24"/>
        </w:rPr>
        <w:t xml:space="preserve">[11] </w:t>
      </w:r>
      <w:r w:rsidR="00102129" w:rsidRPr="00102129">
        <w:rPr>
          <w:noProof/>
          <w:szCs w:val="24"/>
        </w:rPr>
        <w:t xml:space="preserve">Demirbas, A. (2009). Progress and recent trends in biodiesel fuels. </w:t>
      </w:r>
      <w:r w:rsidR="00102129" w:rsidRPr="00102129">
        <w:rPr>
          <w:i/>
          <w:iCs/>
          <w:noProof/>
          <w:szCs w:val="24"/>
        </w:rPr>
        <w:t>Energy Conversion and Management</w:t>
      </w:r>
      <w:r w:rsidR="00102129" w:rsidRPr="00102129">
        <w:rPr>
          <w:noProof/>
          <w:szCs w:val="24"/>
        </w:rPr>
        <w:t xml:space="preserve">, </w:t>
      </w:r>
      <w:r w:rsidR="00102129" w:rsidRPr="00102129">
        <w:rPr>
          <w:i/>
          <w:iCs/>
          <w:noProof/>
          <w:szCs w:val="24"/>
        </w:rPr>
        <w:t>50</w:t>
      </w:r>
      <w:r w:rsidR="00102129" w:rsidRPr="00102129">
        <w:rPr>
          <w:noProof/>
          <w:szCs w:val="24"/>
        </w:rPr>
        <w:t>(1). https://doi.org/10.1016/j.enconman.2008.09.001</w:t>
      </w:r>
    </w:p>
    <w:p w14:paraId="01D3B7CD" w14:textId="0C889A2F" w:rsidR="00102129" w:rsidRPr="00102129" w:rsidRDefault="00A933E8" w:rsidP="00102129">
      <w:pPr>
        <w:widowControl w:val="0"/>
        <w:autoSpaceDE w:val="0"/>
        <w:autoSpaceDN w:val="0"/>
        <w:adjustRightInd w:val="0"/>
        <w:spacing w:after="0" w:line="240" w:lineRule="auto"/>
        <w:ind w:left="480" w:hanging="480"/>
        <w:rPr>
          <w:noProof/>
          <w:szCs w:val="24"/>
        </w:rPr>
      </w:pPr>
      <w:r>
        <w:rPr>
          <w:noProof/>
          <w:szCs w:val="24"/>
        </w:rPr>
        <w:t xml:space="preserve">[12] </w:t>
      </w:r>
      <w:r w:rsidR="00102129" w:rsidRPr="00102129">
        <w:rPr>
          <w:noProof/>
          <w:szCs w:val="24"/>
        </w:rPr>
        <w:t xml:space="preserve">Ghadge, S. V., &amp; Raheman, H. (2006). Process optimization for biodiesel production from mahua (Madhuca indica) oil using response surface methodology. </w:t>
      </w:r>
      <w:r w:rsidR="00102129" w:rsidRPr="00102129">
        <w:rPr>
          <w:i/>
          <w:iCs/>
          <w:noProof/>
          <w:szCs w:val="24"/>
        </w:rPr>
        <w:t>Bioresource Technology</w:t>
      </w:r>
      <w:r w:rsidR="00102129" w:rsidRPr="00102129">
        <w:rPr>
          <w:noProof/>
          <w:szCs w:val="24"/>
        </w:rPr>
        <w:t xml:space="preserve">, </w:t>
      </w:r>
      <w:r w:rsidR="00102129" w:rsidRPr="00102129">
        <w:rPr>
          <w:i/>
          <w:iCs/>
          <w:noProof/>
          <w:szCs w:val="24"/>
        </w:rPr>
        <w:t>97</w:t>
      </w:r>
      <w:r w:rsidR="00102129" w:rsidRPr="00102129">
        <w:rPr>
          <w:noProof/>
          <w:szCs w:val="24"/>
        </w:rPr>
        <w:t>(3). https://doi.org/10.1016/j.biortech.2005.03.014</w:t>
      </w:r>
    </w:p>
    <w:p w14:paraId="323EE886" w14:textId="6F8FB5A5" w:rsidR="00102129" w:rsidRPr="00102129" w:rsidRDefault="00A933E8" w:rsidP="00102129">
      <w:pPr>
        <w:widowControl w:val="0"/>
        <w:autoSpaceDE w:val="0"/>
        <w:autoSpaceDN w:val="0"/>
        <w:adjustRightInd w:val="0"/>
        <w:spacing w:after="0" w:line="240" w:lineRule="auto"/>
        <w:ind w:left="480" w:hanging="480"/>
        <w:rPr>
          <w:noProof/>
          <w:szCs w:val="24"/>
        </w:rPr>
      </w:pPr>
      <w:r>
        <w:rPr>
          <w:noProof/>
          <w:szCs w:val="24"/>
        </w:rPr>
        <w:t xml:space="preserve">[13] </w:t>
      </w:r>
      <w:r w:rsidR="00102129" w:rsidRPr="00102129">
        <w:rPr>
          <w:noProof/>
          <w:szCs w:val="24"/>
        </w:rPr>
        <w:t xml:space="preserve">Goga, G., Chauhan, B. S., Mahla, S. K., &amp; Cho, H. M. (2019). Performance and emission characteristics of diesel engine fueled with rice bran biodiesel and n-butanol. </w:t>
      </w:r>
      <w:r w:rsidR="00102129" w:rsidRPr="00102129">
        <w:rPr>
          <w:i/>
          <w:iCs/>
          <w:noProof/>
          <w:szCs w:val="24"/>
        </w:rPr>
        <w:t>Energy Reports</w:t>
      </w:r>
      <w:r w:rsidR="00102129" w:rsidRPr="00102129">
        <w:rPr>
          <w:noProof/>
          <w:szCs w:val="24"/>
        </w:rPr>
        <w:t xml:space="preserve">, </w:t>
      </w:r>
      <w:r w:rsidR="00102129" w:rsidRPr="00102129">
        <w:rPr>
          <w:i/>
          <w:iCs/>
          <w:noProof/>
          <w:szCs w:val="24"/>
        </w:rPr>
        <w:t>5</w:t>
      </w:r>
      <w:r w:rsidR="00102129" w:rsidRPr="00102129">
        <w:rPr>
          <w:noProof/>
          <w:szCs w:val="24"/>
        </w:rPr>
        <w:t>. https://doi.org/10.1016/j.egyr.2018.12.002</w:t>
      </w:r>
    </w:p>
    <w:p w14:paraId="326B273D" w14:textId="77387117" w:rsidR="00102129" w:rsidRPr="00102129" w:rsidRDefault="00A933E8" w:rsidP="00102129">
      <w:pPr>
        <w:widowControl w:val="0"/>
        <w:autoSpaceDE w:val="0"/>
        <w:autoSpaceDN w:val="0"/>
        <w:adjustRightInd w:val="0"/>
        <w:spacing w:after="0" w:line="240" w:lineRule="auto"/>
        <w:ind w:left="480" w:hanging="480"/>
        <w:rPr>
          <w:noProof/>
          <w:szCs w:val="24"/>
        </w:rPr>
      </w:pPr>
      <w:r>
        <w:rPr>
          <w:noProof/>
          <w:szCs w:val="24"/>
        </w:rPr>
        <w:t xml:space="preserve">[14] </w:t>
      </w:r>
      <w:r w:rsidR="00102129" w:rsidRPr="00102129">
        <w:rPr>
          <w:noProof/>
          <w:szCs w:val="24"/>
        </w:rPr>
        <w:t xml:space="preserve">Hegab, A., La Rocca, A., &amp; Shayler, P. (2017). Towards keeping diesel fuel supply and demand in balance: Dual-fuelling of diesel engines with natural gas. In </w:t>
      </w:r>
      <w:r w:rsidR="00102129" w:rsidRPr="00102129">
        <w:rPr>
          <w:i/>
          <w:iCs/>
          <w:noProof/>
          <w:szCs w:val="24"/>
        </w:rPr>
        <w:t>Renewable and Sustainable Energy Reviews</w:t>
      </w:r>
      <w:r w:rsidR="00102129" w:rsidRPr="00102129">
        <w:rPr>
          <w:noProof/>
          <w:szCs w:val="24"/>
        </w:rPr>
        <w:t>. https://doi.org/10.1016/j.rser.2016.11.249</w:t>
      </w:r>
    </w:p>
    <w:p w14:paraId="53CD0F5F" w14:textId="4B578181" w:rsidR="00102129" w:rsidRPr="00102129" w:rsidRDefault="00A933E8" w:rsidP="00102129">
      <w:pPr>
        <w:widowControl w:val="0"/>
        <w:autoSpaceDE w:val="0"/>
        <w:autoSpaceDN w:val="0"/>
        <w:adjustRightInd w:val="0"/>
        <w:spacing w:after="0" w:line="240" w:lineRule="auto"/>
        <w:ind w:left="480" w:hanging="480"/>
        <w:rPr>
          <w:noProof/>
          <w:szCs w:val="24"/>
        </w:rPr>
      </w:pPr>
      <w:r>
        <w:rPr>
          <w:noProof/>
          <w:szCs w:val="24"/>
        </w:rPr>
        <w:t xml:space="preserve">[15] </w:t>
      </w:r>
      <w:r w:rsidR="00102129" w:rsidRPr="00102129">
        <w:rPr>
          <w:noProof/>
          <w:szCs w:val="24"/>
        </w:rPr>
        <w:t xml:space="preserve">Jagadish, C., &amp; Gumtapure, V. (2019). Experimental investigation of methane-enriched biogas in a single cylinder diesel engine by the dual fuel mode. </w:t>
      </w:r>
      <w:r w:rsidR="00102129" w:rsidRPr="00102129">
        <w:rPr>
          <w:i/>
          <w:iCs/>
          <w:noProof/>
          <w:szCs w:val="24"/>
        </w:rPr>
        <w:t>Energy Sources, Part A: Recovery, Utilization and Environmental Effects</w:t>
      </w:r>
      <w:r w:rsidR="00102129" w:rsidRPr="00102129">
        <w:rPr>
          <w:noProof/>
          <w:szCs w:val="24"/>
        </w:rPr>
        <w:t>. https://doi.org/10.1080/15567036.2019.1647314</w:t>
      </w:r>
    </w:p>
    <w:p w14:paraId="7CD3A2E6" w14:textId="77101F55" w:rsidR="00102129" w:rsidRPr="00102129" w:rsidRDefault="00A933E8" w:rsidP="00102129">
      <w:pPr>
        <w:widowControl w:val="0"/>
        <w:autoSpaceDE w:val="0"/>
        <w:autoSpaceDN w:val="0"/>
        <w:adjustRightInd w:val="0"/>
        <w:spacing w:after="0" w:line="240" w:lineRule="auto"/>
        <w:ind w:left="480" w:hanging="480"/>
        <w:rPr>
          <w:noProof/>
          <w:szCs w:val="24"/>
        </w:rPr>
      </w:pPr>
      <w:r>
        <w:rPr>
          <w:noProof/>
          <w:szCs w:val="24"/>
        </w:rPr>
        <w:t xml:space="preserve">[16] </w:t>
      </w:r>
      <w:r w:rsidR="00102129" w:rsidRPr="00102129">
        <w:rPr>
          <w:noProof/>
          <w:szCs w:val="24"/>
        </w:rPr>
        <w:t xml:space="preserve">Königsson, F., Stalhammar, P., &amp; Angstrom, H. E. (2011). Characterization and potential of dual fuel combustion in a modern diesel engine. </w:t>
      </w:r>
      <w:r w:rsidR="00102129" w:rsidRPr="00102129">
        <w:rPr>
          <w:i/>
          <w:iCs/>
          <w:noProof/>
          <w:szCs w:val="24"/>
        </w:rPr>
        <w:t>SAE Technical Papers</w:t>
      </w:r>
      <w:r w:rsidR="00102129" w:rsidRPr="00102129">
        <w:rPr>
          <w:noProof/>
          <w:szCs w:val="24"/>
        </w:rPr>
        <w:t>. https://doi.org/10.4271/2011-01-2223</w:t>
      </w:r>
    </w:p>
    <w:p w14:paraId="5E1D4744" w14:textId="408EE82E" w:rsidR="00102129" w:rsidRPr="00102129" w:rsidRDefault="00A933E8" w:rsidP="00102129">
      <w:pPr>
        <w:widowControl w:val="0"/>
        <w:autoSpaceDE w:val="0"/>
        <w:autoSpaceDN w:val="0"/>
        <w:adjustRightInd w:val="0"/>
        <w:spacing w:after="0" w:line="240" w:lineRule="auto"/>
        <w:ind w:left="480" w:hanging="480"/>
        <w:rPr>
          <w:noProof/>
          <w:szCs w:val="24"/>
        </w:rPr>
      </w:pPr>
      <w:r>
        <w:rPr>
          <w:noProof/>
          <w:szCs w:val="24"/>
        </w:rPr>
        <w:t xml:space="preserve">[17] </w:t>
      </w:r>
      <w:r w:rsidR="00102129" w:rsidRPr="00102129">
        <w:rPr>
          <w:noProof/>
          <w:szCs w:val="24"/>
        </w:rPr>
        <w:t xml:space="preserve">Lee, T., &amp; Nam, H. (2017). A Study on Green Shipping in Major Countries: In the View of Shipyards, Shipping Companies, Ports, and Policies. </w:t>
      </w:r>
      <w:r w:rsidR="00102129" w:rsidRPr="00102129">
        <w:rPr>
          <w:i/>
          <w:iCs/>
          <w:noProof/>
          <w:szCs w:val="24"/>
        </w:rPr>
        <w:t>Asian Journal of Shipping and Logistics</w:t>
      </w:r>
      <w:r w:rsidR="00102129" w:rsidRPr="00102129">
        <w:rPr>
          <w:noProof/>
          <w:szCs w:val="24"/>
        </w:rPr>
        <w:t xml:space="preserve">, </w:t>
      </w:r>
      <w:r w:rsidR="00102129" w:rsidRPr="00102129">
        <w:rPr>
          <w:i/>
          <w:iCs/>
          <w:noProof/>
          <w:szCs w:val="24"/>
        </w:rPr>
        <w:t>33</w:t>
      </w:r>
      <w:r w:rsidR="00102129" w:rsidRPr="00102129">
        <w:rPr>
          <w:noProof/>
          <w:szCs w:val="24"/>
        </w:rPr>
        <w:t>(4). https://doi.org/10.1016/j.ajsl.2017.12.009</w:t>
      </w:r>
    </w:p>
    <w:p w14:paraId="2443E355" w14:textId="456E008E" w:rsidR="00102129" w:rsidRPr="00102129" w:rsidRDefault="00A933E8" w:rsidP="00102129">
      <w:pPr>
        <w:widowControl w:val="0"/>
        <w:autoSpaceDE w:val="0"/>
        <w:autoSpaceDN w:val="0"/>
        <w:adjustRightInd w:val="0"/>
        <w:spacing w:after="0" w:line="240" w:lineRule="auto"/>
        <w:ind w:left="480" w:hanging="480"/>
        <w:rPr>
          <w:noProof/>
          <w:szCs w:val="24"/>
        </w:rPr>
      </w:pPr>
      <w:r>
        <w:rPr>
          <w:noProof/>
          <w:szCs w:val="24"/>
        </w:rPr>
        <w:lastRenderedPageBreak/>
        <w:t xml:space="preserve">[18] </w:t>
      </w:r>
      <w:r w:rsidR="00102129" w:rsidRPr="00102129">
        <w:rPr>
          <w:noProof/>
          <w:szCs w:val="24"/>
        </w:rPr>
        <w:t xml:space="preserve">Park, S. H., Yoon, S. H., Cha, J., &amp; Lee, C. S. (2014). Mixing effects of biogas and dimethyl ether (DME) on combustion andemission characteristics of DME fueled high-speed diesel engine. </w:t>
      </w:r>
      <w:r w:rsidR="00102129" w:rsidRPr="00102129">
        <w:rPr>
          <w:i/>
          <w:iCs/>
          <w:noProof/>
          <w:szCs w:val="24"/>
        </w:rPr>
        <w:t>Energy</w:t>
      </w:r>
      <w:r w:rsidR="00102129" w:rsidRPr="00102129">
        <w:rPr>
          <w:noProof/>
          <w:szCs w:val="24"/>
        </w:rPr>
        <w:t xml:space="preserve">, </w:t>
      </w:r>
      <w:r w:rsidR="00102129" w:rsidRPr="00102129">
        <w:rPr>
          <w:i/>
          <w:iCs/>
          <w:noProof/>
          <w:szCs w:val="24"/>
        </w:rPr>
        <w:t>66</w:t>
      </w:r>
      <w:r w:rsidR="00102129" w:rsidRPr="00102129">
        <w:rPr>
          <w:noProof/>
          <w:szCs w:val="24"/>
        </w:rPr>
        <w:t>. https://doi.org/10.1016/j.energy.2014.02.007</w:t>
      </w:r>
    </w:p>
    <w:p w14:paraId="5B74EF5F" w14:textId="28182B3E" w:rsidR="00102129" w:rsidRPr="00102129" w:rsidRDefault="00A933E8" w:rsidP="00102129">
      <w:pPr>
        <w:widowControl w:val="0"/>
        <w:autoSpaceDE w:val="0"/>
        <w:autoSpaceDN w:val="0"/>
        <w:adjustRightInd w:val="0"/>
        <w:spacing w:after="0" w:line="240" w:lineRule="auto"/>
        <w:ind w:left="480" w:hanging="480"/>
        <w:rPr>
          <w:noProof/>
          <w:szCs w:val="24"/>
        </w:rPr>
      </w:pPr>
      <w:r>
        <w:rPr>
          <w:noProof/>
          <w:szCs w:val="24"/>
        </w:rPr>
        <w:t xml:space="preserve">[19] </w:t>
      </w:r>
      <w:r w:rsidR="00102129" w:rsidRPr="00102129">
        <w:rPr>
          <w:noProof/>
          <w:szCs w:val="24"/>
        </w:rPr>
        <w:t xml:space="preserve">Rosha, P., Mohapatra, S. K., Mahla, S. K., Cho, H. M., Chauhan, B. S., &amp; Dhir, A. (2019). Effect of compression ratio on combustion, performance, and emission characteristics of compression ignition engine fueled with palm (B20)biodiesel blend. </w:t>
      </w:r>
      <w:r w:rsidR="00102129" w:rsidRPr="00102129">
        <w:rPr>
          <w:i/>
          <w:iCs/>
          <w:noProof/>
          <w:szCs w:val="24"/>
        </w:rPr>
        <w:t>Energy</w:t>
      </w:r>
      <w:r w:rsidR="00102129" w:rsidRPr="00102129">
        <w:rPr>
          <w:noProof/>
          <w:szCs w:val="24"/>
        </w:rPr>
        <w:t xml:space="preserve">, </w:t>
      </w:r>
      <w:r w:rsidR="00102129" w:rsidRPr="00102129">
        <w:rPr>
          <w:i/>
          <w:iCs/>
          <w:noProof/>
          <w:szCs w:val="24"/>
        </w:rPr>
        <w:t>178</w:t>
      </w:r>
      <w:r w:rsidR="00102129" w:rsidRPr="00102129">
        <w:rPr>
          <w:noProof/>
          <w:szCs w:val="24"/>
        </w:rPr>
        <w:t>. https://doi.org/10.1016/j.energy.2019.04.185</w:t>
      </w:r>
    </w:p>
    <w:p w14:paraId="300FF1E5" w14:textId="423FB354" w:rsidR="00102129" w:rsidRPr="00102129" w:rsidRDefault="00A933E8" w:rsidP="00102129">
      <w:pPr>
        <w:widowControl w:val="0"/>
        <w:autoSpaceDE w:val="0"/>
        <w:autoSpaceDN w:val="0"/>
        <w:adjustRightInd w:val="0"/>
        <w:spacing w:after="0" w:line="240" w:lineRule="auto"/>
        <w:ind w:left="480" w:hanging="480"/>
        <w:rPr>
          <w:noProof/>
          <w:szCs w:val="24"/>
        </w:rPr>
      </w:pPr>
      <w:r>
        <w:rPr>
          <w:noProof/>
          <w:szCs w:val="24"/>
        </w:rPr>
        <w:t xml:space="preserve">[20] </w:t>
      </w:r>
      <w:r w:rsidR="00102129" w:rsidRPr="00102129">
        <w:rPr>
          <w:noProof/>
          <w:szCs w:val="24"/>
        </w:rPr>
        <w:t xml:space="preserve">Tippayawong, N., Promwungkwa, A., &amp; Rerkkriangkrai, P. (2007). Long-term operation of a small biogas/diesel dual-fuel engine for on-farm electricity generation. </w:t>
      </w:r>
      <w:r w:rsidR="00102129" w:rsidRPr="00102129">
        <w:rPr>
          <w:i/>
          <w:iCs/>
          <w:noProof/>
          <w:szCs w:val="24"/>
        </w:rPr>
        <w:t>Biosystems Engineering</w:t>
      </w:r>
      <w:r w:rsidR="00102129" w:rsidRPr="00102129">
        <w:rPr>
          <w:noProof/>
          <w:szCs w:val="24"/>
        </w:rPr>
        <w:t xml:space="preserve">, </w:t>
      </w:r>
      <w:r w:rsidR="00102129" w:rsidRPr="00102129">
        <w:rPr>
          <w:i/>
          <w:iCs/>
          <w:noProof/>
          <w:szCs w:val="24"/>
        </w:rPr>
        <w:t>98</w:t>
      </w:r>
      <w:r w:rsidR="00102129" w:rsidRPr="00102129">
        <w:rPr>
          <w:noProof/>
          <w:szCs w:val="24"/>
        </w:rPr>
        <w:t>(1). https://doi.org/10.1016/j.biosystemseng.2007.06.013</w:t>
      </w:r>
    </w:p>
    <w:p w14:paraId="6EBFA49F" w14:textId="20CF7423" w:rsidR="00102129" w:rsidRPr="00102129" w:rsidRDefault="00A933E8" w:rsidP="00102129">
      <w:pPr>
        <w:widowControl w:val="0"/>
        <w:autoSpaceDE w:val="0"/>
        <w:autoSpaceDN w:val="0"/>
        <w:adjustRightInd w:val="0"/>
        <w:spacing w:after="0" w:line="240" w:lineRule="auto"/>
        <w:ind w:left="480" w:hanging="480"/>
        <w:rPr>
          <w:noProof/>
        </w:rPr>
      </w:pPr>
      <w:r>
        <w:rPr>
          <w:noProof/>
          <w:szCs w:val="24"/>
        </w:rPr>
        <w:t xml:space="preserve">[21] </w:t>
      </w:r>
      <w:r w:rsidR="00102129" w:rsidRPr="00102129">
        <w:rPr>
          <w:noProof/>
          <w:szCs w:val="24"/>
        </w:rPr>
        <w:t xml:space="preserve">Yoon, S. H., &amp; Lee, C. S. (2011). Experimental investigation on the combustion and exhaust emission characteristics of biogas-biodiesel dual-fuel combustion in a CI engine. </w:t>
      </w:r>
      <w:r w:rsidR="00102129" w:rsidRPr="00102129">
        <w:rPr>
          <w:i/>
          <w:iCs/>
          <w:noProof/>
          <w:szCs w:val="24"/>
        </w:rPr>
        <w:t>Fuel Processing Technology</w:t>
      </w:r>
      <w:r w:rsidR="00102129" w:rsidRPr="00102129">
        <w:rPr>
          <w:noProof/>
          <w:szCs w:val="24"/>
        </w:rPr>
        <w:t xml:space="preserve">, </w:t>
      </w:r>
      <w:r w:rsidR="00102129" w:rsidRPr="00102129">
        <w:rPr>
          <w:i/>
          <w:iCs/>
          <w:noProof/>
          <w:szCs w:val="24"/>
        </w:rPr>
        <w:t>92</w:t>
      </w:r>
      <w:r w:rsidR="00102129" w:rsidRPr="00102129">
        <w:rPr>
          <w:noProof/>
          <w:szCs w:val="24"/>
        </w:rPr>
        <w:t>(5). https://doi.org/10.1016/j.fuproc.2010.12.021</w:t>
      </w:r>
    </w:p>
    <w:p w14:paraId="5EE1FA71" w14:textId="0D0E37D3" w:rsidR="00BA20C1" w:rsidRDefault="00BA20C1" w:rsidP="00BA20C1">
      <w:r>
        <w:fldChar w:fldCharType="end"/>
      </w:r>
    </w:p>
    <w:p w14:paraId="1E51A59B" w14:textId="77777777" w:rsidR="00BA20C1" w:rsidRPr="00BA20C1" w:rsidRDefault="00BA20C1" w:rsidP="00BA20C1"/>
    <w:p w14:paraId="32E1E2D6" w14:textId="77777777" w:rsidR="00081C82" w:rsidRPr="00081C82" w:rsidRDefault="00081C82" w:rsidP="00CE33F4">
      <w:pPr>
        <w:spacing w:line="240" w:lineRule="auto"/>
      </w:pPr>
    </w:p>
    <w:sectPr w:rsidR="00081C82" w:rsidRPr="00081C82" w:rsidSect="00CE33F4">
      <w:pgSz w:w="11905" w:h="16840"/>
      <w:pgMar w:top="1134" w:right="1134"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F9C08A" w14:textId="77777777" w:rsidR="00A65359" w:rsidRDefault="00A65359" w:rsidP="009E4F6C">
      <w:pPr>
        <w:spacing w:after="0" w:line="240" w:lineRule="auto"/>
      </w:pPr>
      <w:r>
        <w:separator/>
      </w:r>
    </w:p>
  </w:endnote>
  <w:endnote w:type="continuationSeparator" w:id="0">
    <w:p w14:paraId="1419AEF1" w14:textId="77777777" w:rsidR="00A65359" w:rsidRDefault="00A65359" w:rsidP="009E4F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0B6CC5" w14:textId="77777777" w:rsidR="00A65359" w:rsidRDefault="00A65359" w:rsidP="009E4F6C">
      <w:pPr>
        <w:spacing w:after="0" w:line="240" w:lineRule="auto"/>
      </w:pPr>
      <w:r>
        <w:separator/>
      </w:r>
    </w:p>
  </w:footnote>
  <w:footnote w:type="continuationSeparator" w:id="0">
    <w:p w14:paraId="314F0D79" w14:textId="77777777" w:rsidR="00A65359" w:rsidRDefault="00A65359" w:rsidP="009E4F6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882714"/>
    <w:multiLevelType w:val="hybridMultilevel"/>
    <w:tmpl w:val="E9B67D40"/>
    <w:lvl w:ilvl="0" w:tplc="7DA8250A">
      <w:start w:val="1"/>
      <w:numFmt w:val="decimal"/>
      <w:lvlText w:val="[%1]"/>
      <w:lvlJc w:val="left"/>
      <w:pPr>
        <w:ind w:left="5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FE2C84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DE541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C52EE9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6806B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9EA8F6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E32E08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828807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00A6F7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21B558C6"/>
    <w:multiLevelType w:val="hybridMultilevel"/>
    <w:tmpl w:val="4852CD16"/>
    <w:lvl w:ilvl="0" w:tplc="AFB2F46A">
      <w:start w:val="1"/>
      <w:numFmt w:val="lowerLetter"/>
      <w:lvlText w:val="(%1)"/>
      <w:lvlJc w:val="left"/>
      <w:pPr>
        <w:ind w:left="2445" w:hanging="360"/>
      </w:pPr>
      <w:rPr>
        <w:rFonts w:hint="default"/>
      </w:rPr>
    </w:lvl>
    <w:lvl w:ilvl="1" w:tplc="04090019" w:tentative="1">
      <w:start w:val="1"/>
      <w:numFmt w:val="lowerLetter"/>
      <w:lvlText w:val="%2."/>
      <w:lvlJc w:val="left"/>
      <w:pPr>
        <w:ind w:left="3165" w:hanging="360"/>
      </w:pPr>
    </w:lvl>
    <w:lvl w:ilvl="2" w:tplc="0409001B" w:tentative="1">
      <w:start w:val="1"/>
      <w:numFmt w:val="lowerRoman"/>
      <w:lvlText w:val="%3."/>
      <w:lvlJc w:val="right"/>
      <w:pPr>
        <w:ind w:left="3885" w:hanging="180"/>
      </w:pPr>
    </w:lvl>
    <w:lvl w:ilvl="3" w:tplc="0409000F" w:tentative="1">
      <w:start w:val="1"/>
      <w:numFmt w:val="decimal"/>
      <w:lvlText w:val="%4."/>
      <w:lvlJc w:val="left"/>
      <w:pPr>
        <w:ind w:left="4605" w:hanging="360"/>
      </w:pPr>
    </w:lvl>
    <w:lvl w:ilvl="4" w:tplc="04090019" w:tentative="1">
      <w:start w:val="1"/>
      <w:numFmt w:val="lowerLetter"/>
      <w:lvlText w:val="%5."/>
      <w:lvlJc w:val="left"/>
      <w:pPr>
        <w:ind w:left="5325" w:hanging="360"/>
      </w:pPr>
    </w:lvl>
    <w:lvl w:ilvl="5" w:tplc="0409001B" w:tentative="1">
      <w:start w:val="1"/>
      <w:numFmt w:val="lowerRoman"/>
      <w:lvlText w:val="%6."/>
      <w:lvlJc w:val="right"/>
      <w:pPr>
        <w:ind w:left="6045" w:hanging="180"/>
      </w:pPr>
    </w:lvl>
    <w:lvl w:ilvl="6" w:tplc="0409000F" w:tentative="1">
      <w:start w:val="1"/>
      <w:numFmt w:val="decimal"/>
      <w:lvlText w:val="%7."/>
      <w:lvlJc w:val="left"/>
      <w:pPr>
        <w:ind w:left="6765" w:hanging="360"/>
      </w:pPr>
    </w:lvl>
    <w:lvl w:ilvl="7" w:tplc="04090019" w:tentative="1">
      <w:start w:val="1"/>
      <w:numFmt w:val="lowerLetter"/>
      <w:lvlText w:val="%8."/>
      <w:lvlJc w:val="left"/>
      <w:pPr>
        <w:ind w:left="7485" w:hanging="360"/>
      </w:pPr>
    </w:lvl>
    <w:lvl w:ilvl="8" w:tplc="0409001B" w:tentative="1">
      <w:start w:val="1"/>
      <w:numFmt w:val="lowerRoman"/>
      <w:lvlText w:val="%9."/>
      <w:lvlJc w:val="right"/>
      <w:pPr>
        <w:ind w:left="8205" w:hanging="180"/>
      </w:pPr>
    </w:lvl>
  </w:abstractNum>
  <w:abstractNum w:abstractNumId="2">
    <w:nsid w:val="29CB178B"/>
    <w:multiLevelType w:val="hybridMultilevel"/>
    <w:tmpl w:val="A85653DE"/>
    <w:lvl w:ilvl="0" w:tplc="DA8A722E">
      <w:start w:val="1"/>
      <w:numFmt w:val="lowerLetter"/>
      <w:lvlText w:val="(%1)"/>
      <w:lvlJc w:val="left"/>
      <w:pPr>
        <w:ind w:left="2565" w:hanging="360"/>
      </w:pPr>
      <w:rPr>
        <w:rFonts w:ascii="Times New Roman" w:hAnsi="Times New Roman" w:cs="Times New Roman" w:hint="default"/>
      </w:rPr>
    </w:lvl>
    <w:lvl w:ilvl="1" w:tplc="04090019" w:tentative="1">
      <w:start w:val="1"/>
      <w:numFmt w:val="lowerLetter"/>
      <w:lvlText w:val="%2."/>
      <w:lvlJc w:val="left"/>
      <w:pPr>
        <w:ind w:left="3285" w:hanging="360"/>
      </w:pPr>
    </w:lvl>
    <w:lvl w:ilvl="2" w:tplc="0409001B" w:tentative="1">
      <w:start w:val="1"/>
      <w:numFmt w:val="lowerRoman"/>
      <w:lvlText w:val="%3."/>
      <w:lvlJc w:val="right"/>
      <w:pPr>
        <w:ind w:left="4005" w:hanging="180"/>
      </w:pPr>
    </w:lvl>
    <w:lvl w:ilvl="3" w:tplc="0409000F" w:tentative="1">
      <w:start w:val="1"/>
      <w:numFmt w:val="decimal"/>
      <w:lvlText w:val="%4."/>
      <w:lvlJc w:val="left"/>
      <w:pPr>
        <w:ind w:left="4725" w:hanging="360"/>
      </w:pPr>
    </w:lvl>
    <w:lvl w:ilvl="4" w:tplc="04090019" w:tentative="1">
      <w:start w:val="1"/>
      <w:numFmt w:val="lowerLetter"/>
      <w:lvlText w:val="%5."/>
      <w:lvlJc w:val="left"/>
      <w:pPr>
        <w:ind w:left="5445" w:hanging="360"/>
      </w:pPr>
    </w:lvl>
    <w:lvl w:ilvl="5" w:tplc="0409001B" w:tentative="1">
      <w:start w:val="1"/>
      <w:numFmt w:val="lowerRoman"/>
      <w:lvlText w:val="%6."/>
      <w:lvlJc w:val="right"/>
      <w:pPr>
        <w:ind w:left="6165" w:hanging="180"/>
      </w:pPr>
    </w:lvl>
    <w:lvl w:ilvl="6" w:tplc="0409000F" w:tentative="1">
      <w:start w:val="1"/>
      <w:numFmt w:val="decimal"/>
      <w:lvlText w:val="%7."/>
      <w:lvlJc w:val="left"/>
      <w:pPr>
        <w:ind w:left="6885" w:hanging="360"/>
      </w:pPr>
    </w:lvl>
    <w:lvl w:ilvl="7" w:tplc="04090019" w:tentative="1">
      <w:start w:val="1"/>
      <w:numFmt w:val="lowerLetter"/>
      <w:lvlText w:val="%8."/>
      <w:lvlJc w:val="left"/>
      <w:pPr>
        <w:ind w:left="7605" w:hanging="360"/>
      </w:pPr>
    </w:lvl>
    <w:lvl w:ilvl="8" w:tplc="0409001B" w:tentative="1">
      <w:start w:val="1"/>
      <w:numFmt w:val="lowerRoman"/>
      <w:lvlText w:val="%9."/>
      <w:lvlJc w:val="right"/>
      <w:pPr>
        <w:ind w:left="8325" w:hanging="180"/>
      </w:pPr>
    </w:lvl>
  </w:abstractNum>
  <w:abstractNum w:abstractNumId="3">
    <w:nsid w:val="2A0D6085"/>
    <w:multiLevelType w:val="hybridMultilevel"/>
    <w:tmpl w:val="9468CBA2"/>
    <w:lvl w:ilvl="0" w:tplc="0409000F">
      <w:start w:val="1"/>
      <w:numFmt w:val="decimal"/>
      <w:lvlText w:val="%1."/>
      <w:lvlJc w:val="left"/>
      <w:pPr>
        <w:ind w:left="720" w:hanging="360"/>
      </w:pPr>
      <w:rPr>
        <w:rFont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
    <w:nsid w:val="3C6B158B"/>
    <w:multiLevelType w:val="hybridMultilevel"/>
    <w:tmpl w:val="8F624D82"/>
    <w:lvl w:ilvl="0" w:tplc="04090019">
      <w:start w:val="1"/>
      <w:numFmt w:val="lowerLetter"/>
      <w:lvlText w:val="%1."/>
      <w:lvlJc w:val="left"/>
      <w:pPr>
        <w:ind w:left="1077" w:hanging="360"/>
      </w:pPr>
      <w:rPr>
        <w:rFont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5">
    <w:nsid w:val="3CEB407C"/>
    <w:multiLevelType w:val="hybridMultilevel"/>
    <w:tmpl w:val="94C01884"/>
    <w:lvl w:ilvl="0" w:tplc="ED546FEE">
      <w:start w:val="1"/>
      <w:numFmt w:val="decimal"/>
      <w:lvlText w:val="%1."/>
      <w:lvlJc w:val="left"/>
      <w:pPr>
        <w:ind w:left="107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F1D779F"/>
    <w:multiLevelType w:val="hybridMultilevel"/>
    <w:tmpl w:val="D6A4F228"/>
    <w:lvl w:ilvl="0" w:tplc="878205B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nsid w:val="4E7778DE"/>
    <w:multiLevelType w:val="hybridMultilevel"/>
    <w:tmpl w:val="B952087E"/>
    <w:lvl w:ilvl="0" w:tplc="DA9886EE">
      <w:start w:val="1"/>
      <w:numFmt w:val="lowerLetter"/>
      <w:lvlText w:val="(%1)"/>
      <w:lvlJc w:val="left"/>
      <w:pPr>
        <w:ind w:left="2650" w:hanging="360"/>
      </w:pPr>
      <w:rPr>
        <w:rFonts w:hint="default"/>
      </w:rPr>
    </w:lvl>
    <w:lvl w:ilvl="1" w:tplc="04090019" w:tentative="1">
      <w:start w:val="1"/>
      <w:numFmt w:val="lowerLetter"/>
      <w:lvlText w:val="%2."/>
      <w:lvlJc w:val="left"/>
      <w:pPr>
        <w:ind w:left="3370" w:hanging="360"/>
      </w:pPr>
    </w:lvl>
    <w:lvl w:ilvl="2" w:tplc="0409001B" w:tentative="1">
      <w:start w:val="1"/>
      <w:numFmt w:val="lowerRoman"/>
      <w:lvlText w:val="%3."/>
      <w:lvlJc w:val="right"/>
      <w:pPr>
        <w:ind w:left="4090" w:hanging="180"/>
      </w:pPr>
    </w:lvl>
    <w:lvl w:ilvl="3" w:tplc="0409000F" w:tentative="1">
      <w:start w:val="1"/>
      <w:numFmt w:val="decimal"/>
      <w:lvlText w:val="%4."/>
      <w:lvlJc w:val="left"/>
      <w:pPr>
        <w:ind w:left="4810" w:hanging="360"/>
      </w:pPr>
    </w:lvl>
    <w:lvl w:ilvl="4" w:tplc="04090019" w:tentative="1">
      <w:start w:val="1"/>
      <w:numFmt w:val="lowerLetter"/>
      <w:lvlText w:val="%5."/>
      <w:lvlJc w:val="left"/>
      <w:pPr>
        <w:ind w:left="5530" w:hanging="360"/>
      </w:pPr>
    </w:lvl>
    <w:lvl w:ilvl="5" w:tplc="0409001B" w:tentative="1">
      <w:start w:val="1"/>
      <w:numFmt w:val="lowerRoman"/>
      <w:lvlText w:val="%6."/>
      <w:lvlJc w:val="right"/>
      <w:pPr>
        <w:ind w:left="6250" w:hanging="180"/>
      </w:pPr>
    </w:lvl>
    <w:lvl w:ilvl="6" w:tplc="0409000F" w:tentative="1">
      <w:start w:val="1"/>
      <w:numFmt w:val="decimal"/>
      <w:lvlText w:val="%7."/>
      <w:lvlJc w:val="left"/>
      <w:pPr>
        <w:ind w:left="6970" w:hanging="360"/>
      </w:pPr>
    </w:lvl>
    <w:lvl w:ilvl="7" w:tplc="04090019" w:tentative="1">
      <w:start w:val="1"/>
      <w:numFmt w:val="lowerLetter"/>
      <w:lvlText w:val="%8."/>
      <w:lvlJc w:val="left"/>
      <w:pPr>
        <w:ind w:left="7690" w:hanging="360"/>
      </w:pPr>
    </w:lvl>
    <w:lvl w:ilvl="8" w:tplc="0409001B" w:tentative="1">
      <w:start w:val="1"/>
      <w:numFmt w:val="lowerRoman"/>
      <w:lvlText w:val="%9."/>
      <w:lvlJc w:val="right"/>
      <w:pPr>
        <w:ind w:left="8410" w:hanging="180"/>
      </w:pPr>
    </w:lvl>
  </w:abstractNum>
  <w:abstractNum w:abstractNumId="8">
    <w:nsid w:val="65B114F2"/>
    <w:multiLevelType w:val="hybridMultilevel"/>
    <w:tmpl w:val="34E8217C"/>
    <w:lvl w:ilvl="0" w:tplc="D2F80D96">
      <w:start w:val="1"/>
      <w:numFmt w:val="low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69956EA"/>
    <w:multiLevelType w:val="hybridMultilevel"/>
    <w:tmpl w:val="395CC646"/>
    <w:lvl w:ilvl="0" w:tplc="F154A4E6">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97693C0">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B52DDF6">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802A3F2">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2A46DD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FB46C6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D832A4">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5C66B76">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8B4DF50">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66FE752C"/>
    <w:multiLevelType w:val="hybridMultilevel"/>
    <w:tmpl w:val="D7380688"/>
    <w:lvl w:ilvl="0" w:tplc="0409000F">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1">
    <w:nsid w:val="6AD00AE8"/>
    <w:multiLevelType w:val="hybridMultilevel"/>
    <w:tmpl w:val="4042B8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D8D0C2A"/>
    <w:multiLevelType w:val="hybridMultilevel"/>
    <w:tmpl w:val="DA46282A"/>
    <w:lvl w:ilvl="0" w:tplc="1D7695FA">
      <w:start w:val="1"/>
      <w:numFmt w:val="decimal"/>
      <w:lvlText w:val="%1."/>
      <w:lvlJc w:val="left"/>
      <w:pPr>
        <w:ind w:left="1077" w:hanging="360"/>
      </w:pPr>
      <w:rPr>
        <w:rFonts w:hint="default"/>
        <w:i w:val="0"/>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num w:numId="1">
    <w:abstractNumId w:val="0"/>
  </w:num>
  <w:num w:numId="2">
    <w:abstractNumId w:val="9"/>
  </w:num>
  <w:num w:numId="3">
    <w:abstractNumId w:val="11"/>
  </w:num>
  <w:num w:numId="4">
    <w:abstractNumId w:val="10"/>
  </w:num>
  <w:num w:numId="5">
    <w:abstractNumId w:val="5"/>
  </w:num>
  <w:num w:numId="6">
    <w:abstractNumId w:val="12"/>
  </w:num>
  <w:num w:numId="7">
    <w:abstractNumId w:val="4"/>
  </w:num>
  <w:num w:numId="8">
    <w:abstractNumId w:val="8"/>
  </w:num>
  <w:num w:numId="9">
    <w:abstractNumId w:val="6"/>
  </w:num>
  <w:num w:numId="10">
    <w:abstractNumId w:val="3"/>
  </w:num>
  <w:num w:numId="11">
    <w:abstractNumId w:val="7"/>
  </w:num>
  <w:num w:numId="12">
    <w:abstractNumId w:val="2"/>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65A0"/>
    <w:rsid w:val="00004C70"/>
    <w:rsid w:val="00005F04"/>
    <w:rsid w:val="000109BC"/>
    <w:rsid w:val="00021E10"/>
    <w:rsid w:val="00022595"/>
    <w:rsid w:val="000264A5"/>
    <w:rsid w:val="00030691"/>
    <w:rsid w:val="00034C3A"/>
    <w:rsid w:val="00053BBE"/>
    <w:rsid w:val="00056A46"/>
    <w:rsid w:val="0005760D"/>
    <w:rsid w:val="00077070"/>
    <w:rsid w:val="00081C82"/>
    <w:rsid w:val="00096DE0"/>
    <w:rsid w:val="000B22E4"/>
    <w:rsid w:val="000B41BC"/>
    <w:rsid w:val="000C317F"/>
    <w:rsid w:val="000D20A7"/>
    <w:rsid w:val="000D584E"/>
    <w:rsid w:val="000F0067"/>
    <w:rsid w:val="000F1B86"/>
    <w:rsid w:val="000F7892"/>
    <w:rsid w:val="00102129"/>
    <w:rsid w:val="00117AA9"/>
    <w:rsid w:val="001337EA"/>
    <w:rsid w:val="001338E0"/>
    <w:rsid w:val="001352D5"/>
    <w:rsid w:val="00154041"/>
    <w:rsid w:val="00161394"/>
    <w:rsid w:val="00162322"/>
    <w:rsid w:val="0018189D"/>
    <w:rsid w:val="00185CEF"/>
    <w:rsid w:val="001970D6"/>
    <w:rsid w:val="001976FE"/>
    <w:rsid w:val="001A0F3B"/>
    <w:rsid w:val="001A6B09"/>
    <w:rsid w:val="001B7A85"/>
    <w:rsid w:val="001C1A92"/>
    <w:rsid w:val="001D2F72"/>
    <w:rsid w:val="001D30BC"/>
    <w:rsid w:val="001D3F8C"/>
    <w:rsid w:val="001D57EB"/>
    <w:rsid w:val="001D5DDA"/>
    <w:rsid w:val="001F5CD0"/>
    <w:rsid w:val="00202E43"/>
    <w:rsid w:val="00203B5E"/>
    <w:rsid w:val="00212D7A"/>
    <w:rsid w:val="002148FE"/>
    <w:rsid w:val="00223E12"/>
    <w:rsid w:val="00227907"/>
    <w:rsid w:val="00233795"/>
    <w:rsid w:val="0023382E"/>
    <w:rsid w:val="00233E5B"/>
    <w:rsid w:val="00241AE9"/>
    <w:rsid w:val="00251F22"/>
    <w:rsid w:val="00260C03"/>
    <w:rsid w:val="00261472"/>
    <w:rsid w:val="002670E5"/>
    <w:rsid w:val="00271B42"/>
    <w:rsid w:val="002B2DC2"/>
    <w:rsid w:val="002B515D"/>
    <w:rsid w:val="002D1D56"/>
    <w:rsid w:val="002D5DB0"/>
    <w:rsid w:val="002F51C0"/>
    <w:rsid w:val="00300D19"/>
    <w:rsid w:val="003014AF"/>
    <w:rsid w:val="00302A6D"/>
    <w:rsid w:val="00323DD0"/>
    <w:rsid w:val="00350338"/>
    <w:rsid w:val="0035272D"/>
    <w:rsid w:val="003665F5"/>
    <w:rsid w:val="0037371C"/>
    <w:rsid w:val="00393062"/>
    <w:rsid w:val="003C53AD"/>
    <w:rsid w:val="003D6891"/>
    <w:rsid w:val="00401EF1"/>
    <w:rsid w:val="0041315D"/>
    <w:rsid w:val="004236E3"/>
    <w:rsid w:val="00427BD9"/>
    <w:rsid w:val="004306EA"/>
    <w:rsid w:val="00432A5B"/>
    <w:rsid w:val="0044661F"/>
    <w:rsid w:val="00454967"/>
    <w:rsid w:val="00470242"/>
    <w:rsid w:val="00473B5C"/>
    <w:rsid w:val="00480832"/>
    <w:rsid w:val="004846C5"/>
    <w:rsid w:val="0049544B"/>
    <w:rsid w:val="004F0923"/>
    <w:rsid w:val="005013C6"/>
    <w:rsid w:val="00506420"/>
    <w:rsid w:val="005140B1"/>
    <w:rsid w:val="0051485F"/>
    <w:rsid w:val="00542A87"/>
    <w:rsid w:val="005652B5"/>
    <w:rsid w:val="00565E3D"/>
    <w:rsid w:val="00571A1E"/>
    <w:rsid w:val="0057344F"/>
    <w:rsid w:val="00573B6A"/>
    <w:rsid w:val="00574352"/>
    <w:rsid w:val="005753D7"/>
    <w:rsid w:val="00577686"/>
    <w:rsid w:val="0058050C"/>
    <w:rsid w:val="00597E13"/>
    <w:rsid w:val="005C5CD5"/>
    <w:rsid w:val="005D3894"/>
    <w:rsid w:val="005E651F"/>
    <w:rsid w:val="005F6789"/>
    <w:rsid w:val="00601825"/>
    <w:rsid w:val="006025FA"/>
    <w:rsid w:val="0060529D"/>
    <w:rsid w:val="00605319"/>
    <w:rsid w:val="006128D5"/>
    <w:rsid w:val="006129B0"/>
    <w:rsid w:val="00622A70"/>
    <w:rsid w:val="006267CD"/>
    <w:rsid w:val="00641F9C"/>
    <w:rsid w:val="00647F72"/>
    <w:rsid w:val="00651458"/>
    <w:rsid w:val="0065188E"/>
    <w:rsid w:val="00660466"/>
    <w:rsid w:val="00670F71"/>
    <w:rsid w:val="006712F2"/>
    <w:rsid w:val="0069206B"/>
    <w:rsid w:val="006951D1"/>
    <w:rsid w:val="006B0172"/>
    <w:rsid w:val="006C222A"/>
    <w:rsid w:val="006F3D87"/>
    <w:rsid w:val="006F3FC6"/>
    <w:rsid w:val="00711506"/>
    <w:rsid w:val="00714247"/>
    <w:rsid w:val="007260AA"/>
    <w:rsid w:val="007358D4"/>
    <w:rsid w:val="00741155"/>
    <w:rsid w:val="007563C7"/>
    <w:rsid w:val="0076430D"/>
    <w:rsid w:val="00770C9E"/>
    <w:rsid w:val="0077225C"/>
    <w:rsid w:val="00780C4B"/>
    <w:rsid w:val="00792290"/>
    <w:rsid w:val="007B5B38"/>
    <w:rsid w:val="007C0029"/>
    <w:rsid w:val="007C2EC6"/>
    <w:rsid w:val="007C7AE9"/>
    <w:rsid w:val="007E246F"/>
    <w:rsid w:val="007E33FE"/>
    <w:rsid w:val="007E66ED"/>
    <w:rsid w:val="007E74D7"/>
    <w:rsid w:val="007F0A33"/>
    <w:rsid w:val="007F457D"/>
    <w:rsid w:val="0080023F"/>
    <w:rsid w:val="00806855"/>
    <w:rsid w:val="00816A04"/>
    <w:rsid w:val="0082512B"/>
    <w:rsid w:val="00840E76"/>
    <w:rsid w:val="00864154"/>
    <w:rsid w:val="008A7337"/>
    <w:rsid w:val="008C3E52"/>
    <w:rsid w:val="008C7EAB"/>
    <w:rsid w:val="008D1B5F"/>
    <w:rsid w:val="008D2132"/>
    <w:rsid w:val="008E1EB6"/>
    <w:rsid w:val="008E27ED"/>
    <w:rsid w:val="008E3DA9"/>
    <w:rsid w:val="008F49F7"/>
    <w:rsid w:val="00902C29"/>
    <w:rsid w:val="00905D88"/>
    <w:rsid w:val="00917163"/>
    <w:rsid w:val="009176F8"/>
    <w:rsid w:val="00925143"/>
    <w:rsid w:val="009265A0"/>
    <w:rsid w:val="009345A5"/>
    <w:rsid w:val="0093762E"/>
    <w:rsid w:val="00945590"/>
    <w:rsid w:val="00946533"/>
    <w:rsid w:val="00952B80"/>
    <w:rsid w:val="00952EA3"/>
    <w:rsid w:val="00963905"/>
    <w:rsid w:val="0097160F"/>
    <w:rsid w:val="0097550D"/>
    <w:rsid w:val="00987F6F"/>
    <w:rsid w:val="009A0C5F"/>
    <w:rsid w:val="009A12A6"/>
    <w:rsid w:val="009B15B9"/>
    <w:rsid w:val="009B329A"/>
    <w:rsid w:val="009B3DC6"/>
    <w:rsid w:val="009D2D1B"/>
    <w:rsid w:val="009E4ABB"/>
    <w:rsid w:val="009E4F6C"/>
    <w:rsid w:val="009E75DF"/>
    <w:rsid w:val="00A07B95"/>
    <w:rsid w:val="00A32EFE"/>
    <w:rsid w:val="00A41ECC"/>
    <w:rsid w:val="00A44977"/>
    <w:rsid w:val="00A47B98"/>
    <w:rsid w:val="00A500C2"/>
    <w:rsid w:val="00A60BE8"/>
    <w:rsid w:val="00A65359"/>
    <w:rsid w:val="00A7579C"/>
    <w:rsid w:val="00A75E39"/>
    <w:rsid w:val="00A933E8"/>
    <w:rsid w:val="00AA4C6F"/>
    <w:rsid w:val="00AE2E5B"/>
    <w:rsid w:val="00AE7BAC"/>
    <w:rsid w:val="00AF6339"/>
    <w:rsid w:val="00AF7987"/>
    <w:rsid w:val="00B07E71"/>
    <w:rsid w:val="00B14483"/>
    <w:rsid w:val="00B14909"/>
    <w:rsid w:val="00B47B06"/>
    <w:rsid w:val="00B66D2B"/>
    <w:rsid w:val="00B7010C"/>
    <w:rsid w:val="00B841EA"/>
    <w:rsid w:val="00B9251E"/>
    <w:rsid w:val="00BA20C1"/>
    <w:rsid w:val="00BA3D68"/>
    <w:rsid w:val="00BB3E33"/>
    <w:rsid w:val="00BC2995"/>
    <w:rsid w:val="00BC7FD8"/>
    <w:rsid w:val="00BE4866"/>
    <w:rsid w:val="00BE61B2"/>
    <w:rsid w:val="00BE66D8"/>
    <w:rsid w:val="00BF2407"/>
    <w:rsid w:val="00C025FA"/>
    <w:rsid w:val="00C0319C"/>
    <w:rsid w:val="00C2602E"/>
    <w:rsid w:val="00C31502"/>
    <w:rsid w:val="00C35C11"/>
    <w:rsid w:val="00C5473C"/>
    <w:rsid w:val="00C62CB3"/>
    <w:rsid w:val="00CA249B"/>
    <w:rsid w:val="00CB5855"/>
    <w:rsid w:val="00CC00C5"/>
    <w:rsid w:val="00CC35BC"/>
    <w:rsid w:val="00CE33F4"/>
    <w:rsid w:val="00CF3227"/>
    <w:rsid w:val="00D660A9"/>
    <w:rsid w:val="00D669D8"/>
    <w:rsid w:val="00D779D1"/>
    <w:rsid w:val="00D84F88"/>
    <w:rsid w:val="00D96E2E"/>
    <w:rsid w:val="00DB1615"/>
    <w:rsid w:val="00DC3E5F"/>
    <w:rsid w:val="00DD35AC"/>
    <w:rsid w:val="00DD585E"/>
    <w:rsid w:val="00DD6680"/>
    <w:rsid w:val="00DE48CA"/>
    <w:rsid w:val="00DE7649"/>
    <w:rsid w:val="00E108CE"/>
    <w:rsid w:val="00E24DEA"/>
    <w:rsid w:val="00E42574"/>
    <w:rsid w:val="00E768B5"/>
    <w:rsid w:val="00E84E0F"/>
    <w:rsid w:val="00E879CF"/>
    <w:rsid w:val="00E90629"/>
    <w:rsid w:val="00E961B8"/>
    <w:rsid w:val="00EA0E49"/>
    <w:rsid w:val="00EB25EA"/>
    <w:rsid w:val="00EB686E"/>
    <w:rsid w:val="00EC73FC"/>
    <w:rsid w:val="00EE190D"/>
    <w:rsid w:val="00EE3C3B"/>
    <w:rsid w:val="00EE6CC6"/>
    <w:rsid w:val="00EE765E"/>
    <w:rsid w:val="00EF207F"/>
    <w:rsid w:val="00F10390"/>
    <w:rsid w:val="00F11859"/>
    <w:rsid w:val="00F27D8D"/>
    <w:rsid w:val="00F3092B"/>
    <w:rsid w:val="00F30CE4"/>
    <w:rsid w:val="00F31DC2"/>
    <w:rsid w:val="00F34E0D"/>
    <w:rsid w:val="00F362A3"/>
    <w:rsid w:val="00F36CA9"/>
    <w:rsid w:val="00F44B82"/>
    <w:rsid w:val="00F4569B"/>
    <w:rsid w:val="00F50048"/>
    <w:rsid w:val="00F53A6B"/>
    <w:rsid w:val="00F71C60"/>
    <w:rsid w:val="00F72778"/>
    <w:rsid w:val="00F8200B"/>
    <w:rsid w:val="00F93C6F"/>
    <w:rsid w:val="00FA5768"/>
    <w:rsid w:val="00FA72EF"/>
    <w:rsid w:val="00FB76EE"/>
    <w:rsid w:val="00FD0C7E"/>
    <w:rsid w:val="00FF2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7A0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8" w:line="268" w:lineRule="auto"/>
      <w:ind w:left="10" w:right="6"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17"/>
      <w:ind w:left="10" w:hanging="10"/>
      <w:outlineLvl w:val="0"/>
    </w:pPr>
    <w:rPr>
      <w:rFonts w:ascii="Times New Roman" w:eastAsia="Times New Roman" w:hAnsi="Times New Roman" w:cs="Times New Roman"/>
      <w:b/>
      <w:color w:val="000000"/>
      <w:sz w:val="24"/>
    </w:rPr>
  </w:style>
  <w:style w:type="paragraph" w:styleId="Heading2">
    <w:name w:val="heading 2"/>
    <w:next w:val="Normal"/>
    <w:link w:val="Heading2Char"/>
    <w:uiPriority w:val="9"/>
    <w:unhideWhenUsed/>
    <w:qFormat/>
    <w:pPr>
      <w:keepNext/>
      <w:keepLines/>
      <w:spacing w:after="17"/>
      <w:ind w:left="10" w:hanging="10"/>
      <w:outlineLvl w:val="1"/>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b/>
      <w:color w:val="000000"/>
      <w:sz w:val="24"/>
    </w:rPr>
  </w:style>
  <w:style w:type="character" w:customStyle="1" w:styleId="Heading1Char">
    <w:name w:val="Heading 1 Char"/>
    <w:link w:val="Heading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aliases w:val="tabel,Title Proposal,Head 5"/>
    <w:basedOn w:val="Normal"/>
    <w:link w:val="ListParagraphChar"/>
    <w:uiPriority w:val="34"/>
    <w:qFormat/>
    <w:rsid w:val="00C2602E"/>
    <w:pPr>
      <w:spacing w:after="160" w:line="259" w:lineRule="auto"/>
      <w:ind w:left="720" w:right="0" w:firstLine="0"/>
      <w:contextualSpacing/>
      <w:jc w:val="left"/>
    </w:pPr>
    <w:rPr>
      <w:rFonts w:asciiTheme="minorHAnsi" w:eastAsiaTheme="minorHAnsi" w:hAnsiTheme="minorHAnsi" w:cstheme="minorBidi"/>
      <w:color w:val="auto"/>
      <w:sz w:val="22"/>
      <w:lang w:val="en-ID"/>
    </w:rPr>
  </w:style>
  <w:style w:type="character" w:customStyle="1" w:styleId="ListParagraphChar">
    <w:name w:val="List Paragraph Char"/>
    <w:aliases w:val="tabel Char,Title Proposal Char,Head 5 Char"/>
    <w:basedOn w:val="DefaultParagraphFont"/>
    <w:link w:val="ListParagraph"/>
    <w:uiPriority w:val="34"/>
    <w:qFormat/>
    <w:rsid w:val="00C2602E"/>
    <w:rPr>
      <w:rFonts w:eastAsiaTheme="minorHAnsi"/>
      <w:lang w:val="en-ID"/>
    </w:rPr>
  </w:style>
  <w:style w:type="paragraph" w:styleId="NormalWeb">
    <w:name w:val="Normal (Web)"/>
    <w:basedOn w:val="Normal"/>
    <w:uiPriority w:val="99"/>
    <w:unhideWhenUsed/>
    <w:rsid w:val="00597E13"/>
    <w:pPr>
      <w:spacing w:before="100" w:beforeAutospacing="1" w:after="100" w:afterAutospacing="1" w:line="240" w:lineRule="auto"/>
      <w:ind w:left="0" w:right="0" w:firstLine="0"/>
      <w:jc w:val="left"/>
    </w:pPr>
    <w:rPr>
      <w:color w:val="auto"/>
      <w:szCs w:val="24"/>
      <w:lang w:val="en-ID" w:eastAsia="en-ID"/>
    </w:rPr>
  </w:style>
  <w:style w:type="paragraph" w:styleId="NoSpacing">
    <w:name w:val="No Spacing"/>
    <w:link w:val="NoSpacingChar"/>
    <w:uiPriority w:val="1"/>
    <w:qFormat/>
    <w:rsid w:val="00571A1E"/>
    <w:pPr>
      <w:spacing w:after="0" w:line="240" w:lineRule="auto"/>
    </w:pPr>
    <w:rPr>
      <w:rFonts w:eastAsiaTheme="minorHAnsi"/>
      <w:lang w:val="en-ID"/>
    </w:rPr>
  </w:style>
  <w:style w:type="character" w:customStyle="1" w:styleId="NoSpacingChar">
    <w:name w:val="No Spacing Char"/>
    <w:link w:val="NoSpacing"/>
    <w:uiPriority w:val="1"/>
    <w:rsid w:val="00571A1E"/>
    <w:rPr>
      <w:rFonts w:eastAsiaTheme="minorHAnsi"/>
      <w:lang w:val="en-ID"/>
    </w:rPr>
  </w:style>
  <w:style w:type="paragraph" w:styleId="Bibliography">
    <w:name w:val="Bibliography"/>
    <w:basedOn w:val="Normal"/>
    <w:next w:val="Normal"/>
    <w:uiPriority w:val="37"/>
    <w:unhideWhenUsed/>
    <w:rsid w:val="007C2EC6"/>
  </w:style>
  <w:style w:type="character" w:styleId="Hyperlink">
    <w:name w:val="Hyperlink"/>
    <w:basedOn w:val="DefaultParagraphFont"/>
    <w:uiPriority w:val="99"/>
    <w:unhideWhenUsed/>
    <w:rsid w:val="00081C82"/>
    <w:rPr>
      <w:color w:val="0563C1" w:themeColor="hyperlink"/>
      <w:u w:val="single"/>
    </w:rPr>
  </w:style>
  <w:style w:type="character" w:customStyle="1" w:styleId="s-ja-t">
    <w:name w:val="s-ja-t"/>
    <w:basedOn w:val="DefaultParagraphFont"/>
    <w:rsid w:val="00CF3227"/>
  </w:style>
  <w:style w:type="character" w:customStyle="1" w:styleId="s-rg-t">
    <w:name w:val="s-rg-t"/>
    <w:basedOn w:val="DefaultParagraphFont"/>
    <w:rsid w:val="00CF3227"/>
  </w:style>
  <w:style w:type="character" w:styleId="CommentReference">
    <w:name w:val="annotation reference"/>
    <w:basedOn w:val="DefaultParagraphFont"/>
    <w:uiPriority w:val="99"/>
    <w:semiHidden/>
    <w:unhideWhenUsed/>
    <w:rsid w:val="00BB3E33"/>
    <w:rPr>
      <w:sz w:val="16"/>
      <w:szCs w:val="16"/>
    </w:rPr>
  </w:style>
  <w:style w:type="paragraph" w:styleId="CommentText">
    <w:name w:val="annotation text"/>
    <w:basedOn w:val="Normal"/>
    <w:link w:val="CommentTextChar"/>
    <w:uiPriority w:val="99"/>
    <w:semiHidden/>
    <w:unhideWhenUsed/>
    <w:rsid w:val="00BB3E33"/>
    <w:pPr>
      <w:spacing w:line="240" w:lineRule="auto"/>
    </w:pPr>
    <w:rPr>
      <w:sz w:val="20"/>
      <w:szCs w:val="20"/>
    </w:rPr>
  </w:style>
  <w:style w:type="character" w:customStyle="1" w:styleId="CommentTextChar">
    <w:name w:val="Comment Text Char"/>
    <w:basedOn w:val="DefaultParagraphFont"/>
    <w:link w:val="CommentText"/>
    <w:uiPriority w:val="99"/>
    <w:semiHidden/>
    <w:rsid w:val="00BB3E33"/>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BB3E33"/>
    <w:rPr>
      <w:b/>
      <w:bCs/>
    </w:rPr>
  </w:style>
  <w:style w:type="character" w:customStyle="1" w:styleId="CommentSubjectChar">
    <w:name w:val="Comment Subject Char"/>
    <w:basedOn w:val="CommentTextChar"/>
    <w:link w:val="CommentSubject"/>
    <w:uiPriority w:val="99"/>
    <w:semiHidden/>
    <w:rsid w:val="00BB3E33"/>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BB3E3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3E33"/>
    <w:rPr>
      <w:rFonts w:ascii="Segoe UI" w:eastAsia="Times New Roman" w:hAnsi="Segoe UI" w:cs="Segoe UI"/>
      <w:color w:val="000000"/>
      <w:sz w:val="18"/>
      <w:szCs w:val="18"/>
    </w:rPr>
  </w:style>
  <w:style w:type="paragraph" w:styleId="Header">
    <w:name w:val="header"/>
    <w:basedOn w:val="Normal"/>
    <w:link w:val="HeaderChar"/>
    <w:uiPriority w:val="99"/>
    <w:unhideWhenUsed/>
    <w:rsid w:val="009E4F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4F6C"/>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9E4F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4F6C"/>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178444">
      <w:bodyDiv w:val="1"/>
      <w:marLeft w:val="0"/>
      <w:marRight w:val="0"/>
      <w:marTop w:val="0"/>
      <w:marBottom w:val="0"/>
      <w:divBdr>
        <w:top w:val="none" w:sz="0" w:space="0" w:color="auto"/>
        <w:left w:val="none" w:sz="0" w:space="0" w:color="auto"/>
        <w:bottom w:val="none" w:sz="0" w:space="0" w:color="auto"/>
        <w:right w:val="none" w:sz="0" w:space="0" w:color="auto"/>
      </w:divBdr>
    </w:div>
    <w:div w:id="44836932">
      <w:bodyDiv w:val="1"/>
      <w:marLeft w:val="0"/>
      <w:marRight w:val="0"/>
      <w:marTop w:val="0"/>
      <w:marBottom w:val="0"/>
      <w:divBdr>
        <w:top w:val="none" w:sz="0" w:space="0" w:color="auto"/>
        <w:left w:val="none" w:sz="0" w:space="0" w:color="auto"/>
        <w:bottom w:val="none" w:sz="0" w:space="0" w:color="auto"/>
        <w:right w:val="none" w:sz="0" w:space="0" w:color="auto"/>
      </w:divBdr>
    </w:div>
    <w:div w:id="281885115">
      <w:bodyDiv w:val="1"/>
      <w:marLeft w:val="0"/>
      <w:marRight w:val="0"/>
      <w:marTop w:val="0"/>
      <w:marBottom w:val="0"/>
      <w:divBdr>
        <w:top w:val="none" w:sz="0" w:space="0" w:color="auto"/>
        <w:left w:val="none" w:sz="0" w:space="0" w:color="auto"/>
        <w:bottom w:val="none" w:sz="0" w:space="0" w:color="auto"/>
        <w:right w:val="none" w:sz="0" w:space="0" w:color="auto"/>
      </w:divBdr>
    </w:div>
    <w:div w:id="454714282">
      <w:bodyDiv w:val="1"/>
      <w:marLeft w:val="0"/>
      <w:marRight w:val="0"/>
      <w:marTop w:val="0"/>
      <w:marBottom w:val="0"/>
      <w:divBdr>
        <w:top w:val="none" w:sz="0" w:space="0" w:color="auto"/>
        <w:left w:val="none" w:sz="0" w:space="0" w:color="auto"/>
        <w:bottom w:val="none" w:sz="0" w:space="0" w:color="auto"/>
        <w:right w:val="none" w:sz="0" w:space="0" w:color="auto"/>
      </w:divBdr>
    </w:div>
    <w:div w:id="479231810">
      <w:bodyDiv w:val="1"/>
      <w:marLeft w:val="0"/>
      <w:marRight w:val="0"/>
      <w:marTop w:val="0"/>
      <w:marBottom w:val="0"/>
      <w:divBdr>
        <w:top w:val="none" w:sz="0" w:space="0" w:color="auto"/>
        <w:left w:val="none" w:sz="0" w:space="0" w:color="auto"/>
        <w:bottom w:val="none" w:sz="0" w:space="0" w:color="auto"/>
        <w:right w:val="none" w:sz="0" w:space="0" w:color="auto"/>
      </w:divBdr>
    </w:div>
    <w:div w:id="890534482">
      <w:bodyDiv w:val="1"/>
      <w:marLeft w:val="0"/>
      <w:marRight w:val="0"/>
      <w:marTop w:val="0"/>
      <w:marBottom w:val="0"/>
      <w:divBdr>
        <w:top w:val="none" w:sz="0" w:space="0" w:color="auto"/>
        <w:left w:val="none" w:sz="0" w:space="0" w:color="auto"/>
        <w:bottom w:val="none" w:sz="0" w:space="0" w:color="auto"/>
        <w:right w:val="none" w:sz="0" w:space="0" w:color="auto"/>
      </w:divBdr>
    </w:div>
    <w:div w:id="952901826">
      <w:bodyDiv w:val="1"/>
      <w:marLeft w:val="0"/>
      <w:marRight w:val="0"/>
      <w:marTop w:val="0"/>
      <w:marBottom w:val="0"/>
      <w:divBdr>
        <w:top w:val="none" w:sz="0" w:space="0" w:color="auto"/>
        <w:left w:val="none" w:sz="0" w:space="0" w:color="auto"/>
        <w:bottom w:val="none" w:sz="0" w:space="0" w:color="auto"/>
        <w:right w:val="none" w:sz="0" w:space="0" w:color="auto"/>
      </w:divBdr>
    </w:div>
    <w:div w:id="1178347126">
      <w:bodyDiv w:val="1"/>
      <w:marLeft w:val="0"/>
      <w:marRight w:val="0"/>
      <w:marTop w:val="0"/>
      <w:marBottom w:val="0"/>
      <w:divBdr>
        <w:top w:val="none" w:sz="0" w:space="0" w:color="auto"/>
        <w:left w:val="none" w:sz="0" w:space="0" w:color="auto"/>
        <w:bottom w:val="none" w:sz="0" w:space="0" w:color="auto"/>
        <w:right w:val="none" w:sz="0" w:space="0" w:color="auto"/>
      </w:divBdr>
    </w:div>
    <w:div w:id="1561207343">
      <w:bodyDiv w:val="1"/>
      <w:marLeft w:val="0"/>
      <w:marRight w:val="0"/>
      <w:marTop w:val="0"/>
      <w:marBottom w:val="0"/>
      <w:divBdr>
        <w:top w:val="none" w:sz="0" w:space="0" w:color="auto"/>
        <w:left w:val="none" w:sz="0" w:space="0" w:color="auto"/>
        <w:bottom w:val="none" w:sz="0" w:space="0" w:color="auto"/>
        <w:right w:val="none" w:sz="0" w:space="0" w:color="auto"/>
      </w:divBdr>
    </w:div>
    <w:div w:id="1637446909">
      <w:bodyDiv w:val="1"/>
      <w:marLeft w:val="0"/>
      <w:marRight w:val="0"/>
      <w:marTop w:val="0"/>
      <w:marBottom w:val="0"/>
      <w:divBdr>
        <w:top w:val="none" w:sz="0" w:space="0" w:color="auto"/>
        <w:left w:val="none" w:sz="0" w:space="0" w:color="auto"/>
        <w:bottom w:val="none" w:sz="0" w:space="0" w:color="auto"/>
        <w:right w:val="none" w:sz="0" w:space="0" w:color="auto"/>
      </w:divBdr>
    </w:div>
    <w:div w:id="17042061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issn.pdii.lipi.go.id/issn.cgi?daftar&amp;1342508490&amp;1&amp;&amp;" TargetMode="External"/><Relationship Id="rId18" Type="http://schemas.openxmlformats.org/officeDocument/2006/relationships/hyperlink" Target="http://ejournal.undip.ac.id/index.php/kapal" TargetMode="External"/><Relationship Id="rId26" Type="http://schemas.openxmlformats.org/officeDocument/2006/relationships/image" Target="media/image7.pn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2.png"/><Relationship Id="rId34" Type="http://schemas.openxmlformats.org/officeDocument/2006/relationships/image" Target="media/image15.png"/><Relationship Id="rId7" Type="http://schemas.openxmlformats.org/officeDocument/2006/relationships/endnotes" Target="endnotes.xml"/><Relationship Id="rId12" Type="http://schemas.openxmlformats.org/officeDocument/2006/relationships/hyperlink" Target="http://issn.pdii.lipi.go.id/issn.cgi?daftar&amp;1342508490&amp;1&amp;&amp;" TargetMode="External"/><Relationship Id="rId17" Type="http://schemas.openxmlformats.org/officeDocument/2006/relationships/hyperlink" Target="http://issn.pdii.lipi.go.id/issn.cgi?daftar&amp;1180427365&amp;1&amp;&amp;" TargetMode="External"/><Relationship Id="rId25" Type="http://schemas.openxmlformats.org/officeDocument/2006/relationships/image" Target="media/image6.png"/><Relationship Id="rId33" Type="http://schemas.openxmlformats.org/officeDocument/2006/relationships/image" Target="media/image14.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issn.pdii.lipi.go.id/issn.cgi?daftar&amp;1180427365&amp;1&amp;&amp;" TargetMode="External"/><Relationship Id="rId20" Type="http://schemas.openxmlformats.org/officeDocument/2006/relationships/hyperlink" Target="http://ejournal.undip.ac.id/index.php/kapal" TargetMode="External"/><Relationship Id="rId29"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ssn.pdii.lipi.go.id/issn.cgi?daftar&amp;1342508490&amp;1&amp;&amp;" TargetMode="External"/><Relationship Id="rId24" Type="http://schemas.openxmlformats.org/officeDocument/2006/relationships/image" Target="media/image5.png"/><Relationship Id="rId32" Type="http://schemas.openxmlformats.org/officeDocument/2006/relationships/image" Target="media/image13.png"/><Relationship Id="rId37" Type="http://schemas.openxmlformats.org/officeDocument/2006/relationships/image" Target="media/image18.png"/><Relationship Id="rId5" Type="http://schemas.openxmlformats.org/officeDocument/2006/relationships/webSettings" Target="webSettings.xml"/><Relationship Id="rId15" Type="http://schemas.openxmlformats.org/officeDocument/2006/relationships/hyperlink" Target="http://issn.pdii.lipi.go.id/issn.cgi?daftar&amp;1180427365&amp;1&amp;&amp;" TargetMode="External"/><Relationship Id="rId23" Type="http://schemas.openxmlformats.org/officeDocument/2006/relationships/image" Target="media/image4.png"/><Relationship Id="rId28" Type="http://schemas.openxmlformats.org/officeDocument/2006/relationships/image" Target="media/image9.png"/><Relationship Id="rId36" Type="http://schemas.openxmlformats.org/officeDocument/2006/relationships/image" Target="media/image17.png"/><Relationship Id="rId10" Type="http://schemas.openxmlformats.org/officeDocument/2006/relationships/hyperlink" Target="http://issn.pdii.lipi.go.id/issn.cgi?daftar&amp;1342508490&amp;1&amp;&amp;" TargetMode="External"/><Relationship Id="rId19" Type="http://schemas.openxmlformats.org/officeDocument/2006/relationships/hyperlink" Target="http://ejournal.undip.ac.id/index.php/kapal" TargetMode="External"/><Relationship Id="rId31"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hyperlink" Target="http://perkapalan.undip.ac.id/" TargetMode="External"/><Relationship Id="rId14" Type="http://schemas.openxmlformats.org/officeDocument/2006/relationships/hyperlink" Target="http://issn.pdii.lipi.go.id/issn.cgi?daftar&amp;1180427365&amp;1&amp;&amp;" TargetMode="External"/><Relationship Id="rId22" Type="http://schemas.openxmlformats.org/officeDocument/2006/relationships/image" Target="media/image3.png"/><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6D43DE-00C4-498E-964F-C41E237BB7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13091</Words>
  <Characters>74620</Characters>
  <Application>Microsoft Office Word</Application>
  <DocSecurity>0</DocSecurity>
  <Lines>621</Lines>
  <Paragraphs>175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87536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2021-10-23T13:00:00Z</dcterms:created>
  <dcterms:modified xsi:type="dcterms:W3CDTF">2022-01-13T15:05:00Z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57784485-1ec2-3955-9fbc-08674abc3249</vt:lpwstr>
  </property>
  <property fmtid="{D5CDD505-2E9C-101B-9397-08002B2CF9AE}" pid="24" name="Mendeley Citation Style_1">
    <vt:lpwstr>http://www.zotero.org/styles/apa</vt:lpwstr>
  </property>
</Properties>
</file>