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98AF" w14:textId="77777777" w:rsidR="00BA46E3" w:rsidRDefault="00BA46E3" w:rsidP="00BA46E3">
      <w:pPr>
        <w:spacing w:line="360" w:lineRule="auto"/>
        <w:contextualSpacing/>
        <w:rPr>
          <w:b/>
          <w:bCs/>
          <w:color w:val="000000" w:themeColor="text1"/>
          <w:sz w:val="36"/>
          <w:szCs w:val="32"/>
        </w:rPr>
      </w:pPr>
    </w:p>
    <w:p w14:paraId="16F1A37B" w14:textId="77777777" w:rsidR="00BA46E3" w:rsidRDefault="00BA46E3" w:rsidP="00BA46E3">
      <w:pPr>
        <w:spacing w:line="360" w:lineRule="auto"/>
        <w:contextualSpacing/>
        <w:rPr>
          <w:b/>
          <w:bCs/>
          <w:color w:val="000000" w:themeColor="text1"/>
          <w:sz w:val="36"/>
          <w:szCs w:val="32"/>
        </w:rPr>
      </w:pPr>
    </w:p>
    <w:p w14:paraId="18D0F269" w14:textId="77777777" w:rsidR="00D47A5F" w:rsidRPr="00615B46" w:rsidRDefault="00D47A5F" w:rsidP="00D47A5F">
      <w:pPr>
        <w:pStyle w:val="NoSpacing"/>
        <w:jc w:val="center"/>
        <w:rPr>
          <w:b/>
          <w:color w:val="000000" w:themeColor="text1"/>
          <w:sz w:val="28"/>
        </w:rPr>
      </w:pPr>
      <w:r w:rsidRPr="00615B46">
        <w:rPr>
          <w:b/>
          <w:color w:val="000000" w:themeColor="text1"/>
          <w:sz w:val="28"/>
        </w:rPr>
        <w:t>Domestic Container Shipping Market Profile:</w:t>
      </w:r>
    </w:p>
    <w:p w14:paraId="22F07652" w14:textId="77777777" w:rsidR="00D47A5F" w:rsidRPr="00615B46" w:rsidRDefault="00D47A5F" w:rsidP="00D47A5F">
      <w:pPr>
        <w:pStyle w:val="NoSpacing"/>
        <w:jc w:val="center"/>
        <w:rPr>
          <w:b/>
          <w:color w:val="000000" w:themeColor="text1"/>
          <w:sz w:val="28"/>
        </w:rPr>
      </w:pPr>
      <w:r w:rsidRPr="00615B46">
        <w:rPr>
          <w:b/>
          <w:color w:val="000000" w:themeColor="text1"/>
          <w:sz w:val="28"/>
        </w:rPr>
        <w:t xml:space="preserve"> A Case Study of Indonesia</w:t>
      </w:r>
    </w:p>
    <w:p w14:paraId="7DF7E8E6" w14:textId="77777777" w:rsidR="00D47A5F" w:rsidRDefault="00D47A5F" w:rsidP="00D47A5F">
      <w:pPr>
        <w:pStyle w:val="NoSpacing"/>
      </w:pPr>
    </w:p>
    <w:p w14:paraId="2AAEB9D7" w14:textId="77777777" w:rsidR="00D47A5F" w:rsidRPr="00F12660" w:rsidRDefault="00D47A5F" w:rsidP="00D47A5F">
      <w:pPr>
        <w:pStyle w:val="NoSpacing"/>
        <w:jc w:val="center"/>
        <w:rPr>
          <w:sz w:val="28"/>
          <w:vertAlign w:val="superscript"/>
        </w:rPr>
      </w:pPr>
      <w:r w:rsidRPr="00F12660">
        <w:rPr>
          <w:sz w:val="28"/>
        </w:rPr>
        <w:t>Tri Achmadi</w:t>
      </w:r>
      <w:r>
        <w:rPr>
          <w:rStyle w:val="FootnoteReference"/>
          <w:sz w:val="28"/>
        </w:rPr>
        <w:footnoteReference w:id="1"/>
      </w:r>
      <w:r>
        <w:rPr>
          <w:sz w:val="28"/>
        </w:rPr>
        <w:t xml:space="preserve"> and </w:t>
      </w:r>
      <w:r w:rsidRPr="00E76AC2">
        <w:rPr>
          <w:sz w:val="28"/>
        </w:rPr>
        <w:t>Izzuddin Baqi</w:t>
      </w:r>
      <w:r>
        <w:rPr>
          <w:rStyle w:val="FootnoteReference"/>
          <w:sz w:val="28"/>
        </w:rPr>
        <w:footnoteReference w:id="2"/>
      </w:r>
      <w:r>
        <w:rPr>
          <w:sz w:val="28"/>
        </w:rPr>
        <w:t xml:space="preserve"> </w:t>
      </w:r>
    </w:p>
    <w:p w14:paraId="5D56294A" w14:textId="77777777" w:rsidR="009B326B" w:rsidRPr="009B326B" w:rsidRDefault="009B326B" w:rsidP="009B326B">
      <w:pPr>
        <w:pStyle w:val="Addresses"/>
      </w:pPr>
    </w:p>
    <w:p w14:paraId="3D07A211" w14:textId="77777777" w:rsidR="00F20762" w:rsidRPr="00F20762" w:rsidRDefault="00F20762" w:rsidP="00F20762">
      <w:pPr>
        <w:pStyle w:val="Addresses"/>
      </w:pPr>
    </w:p>
    <w:p w14:paraId="157F5686" w14:textId="6508C667" w:rsidR="009A0487" w:rsidRDefault="009A0487">
      <w:pPr>
        <w:pStyle w:val="Abstract"/>
      </w:pPr>
      <w:r>
        <w:rPr>
          <w:b/>
        </w:rPr>
        <w:t>Abstract</w:t>
      </w:r>
      <w:r>
        <w:t xml:space="preserve">. </w:t>
      </w:r>
      <w:r w:rsidR="009237FF" w:rsidRPr="009237FF">
        <w:t xml:space="preserve">As the largest archipelagic country globally, the shipping industry has </w:t>
      </w:r>
      <w:r w:rsidR="003509BA">
        <w:t xml:space="preserve">played </w:t>
      </w:r>
      <w:r w:rsidR="009237FF" w:rsidRPr="009237FF">
        <w:t>important role</w:t>
      </w:r>
      <w:r w:rsidR="003509BA">
        <w:t>s</w:t>
      </w:r>
      <w:r w:rsidR="009237FF" w:rsidRPr="009237FF">
        <w:t xml:space="preserve"> in supporting Indonesia's economy. However, the Indonesian Ship Owners Association (INSA) stated that Indonesia's commercial shipping was experiencing an oversupply. This research was conducted to determine the equilibrium between Indonesia's container shipping market's supply and demand. The analysis was carried out on nine major container shipping </w:t>
      </w:r>
      <w:r w:rsidR="009237FF">
        <w:t xml:space="preserve">liner </w:t>
      </w:r>
      <w:r w:rsidR="009237FF" w:rsidRPr="009237FF">
        <w:t xml:space="preserve">routes in Indonesia. The methods used include regression analysis, relational analysis, supply and demand curve analysis, market equilibrium analysis, market structure analysis, and voyage calculation analysis. The research data input is based on </w:t>
      </w:r>
      <w:r w:rsidR="009237FF">
        <w:t xml:space="preserve">Ship Arrival and Departure Report </w:t>
      </w:r>
      <w:r w:rsidR="00E07BEC">
        <w:t>D</w:t>
      </w:r>
      <w:r w:rsidR="009237FF" w:rsidRPr="009237FF">
        <w:t>ata</w:t>
      </w:r>
      <w:r w:rsidR="009237FF">
        <w:t xml:space="preserve"> (LK3)</w:t>
      </w:r>
      <w:r w:rsidR="009237FF" w:rsidRPr="009237FF">
        <w:t xml:space="preserve"> and the generic data from simulation results with business actors. The results show that the demand curve for containers is inelastic with a value of 0.31, which indicates that the cargo-owners have no choice but to deliver the goods at a freight rate determined by the shipping company. Meanwhile, the supply capacity curve is elastic with a value of 3.16, which indicates that the shipping company can adjust the capacity of the supply quantity. </w:t>
      </w:r>
      <w:r w:rsidR="00A74A24">
        <w:t>For example, t</w:t>
      </w:r>
      <w:r w:rsidR="009237FF" w:rsidRPr="009237FF">
        <w:t xml:space="preserve">he demand curve on the Surabaya-Makassar route and the supply curve has an equilibrium point at a quantity of 99 million TEUs.Nm and a price of IDR 2.16 million / TEUs. </w:t>
      </w:r>
      <w:r w:rsidR="00A74A24">
        <w:t>Another example, a</w:t>
      </w:r>
      <w:r w:rsidR="009237FF" w:rsidRPr="009237FF">
        <w:t>s for the Jakarta-Surabaya route, the demand curve does not intersect the supply curve due to an over-supply</w:t>
      </w:r>
      <w:r w:rsidR="00A74A24">
        <w:t xml:space="preserve"> meaning too many ships available in this route</w:t>
      </w:r>
      <w:r w:rsidR="009237FF" w:rsidRPr="009237FF">
        <w:t xml:space="preserve">. </w:t>
      </w:r>
      <w:proofErr w:type="gramStart"/>
      <w:r w:rsidR="00A74A24">
        <w:t>In order to</w:t>
      </w:r>
      <w:proofErr w:type="gramEnd"/>
      <w:r w:rsidR="00A74A24">
        <w:t xml:space="preserve"> correct the market failure, t</w:t>
      </w:r>
      <w:r w:rsidR="009237FF" w:rsidRPr="009237FF">
        <w:t>he supply curve should shift to the left to find its equilibrium by reducing the supply capacity by 258 thousand TEUs.</w:t>
      </w:r>
    </w:p>
    <w:p w14:paraId="10719BA4" w14:textId="716CA749" w:rsidR="004B7E67" w:rsidRDefault="004B7E67" w:rsidP="004B7E67">
      <w:pPr>
        <w:pStyle w:val="Section"/>
        <w:numPr>
          <w:ilvl w:val="0"/>
          <w:numId w:val="0"/>
        </w:numPr>
        <w:rPr>
          <w:iCs w:val="0"/>
          <w:sz w:val="20"/>
          <w:szCs w:val="20"/>
        </w:rPr>
      </w:pPr>
    </w:p>
    <w:p w14:paraId="705A8B03" w14:textId="5C93D6B8" w:rsidR="004B7E67" w:rsidRDefault="004B7E67" w:rsidP="004B7E67">
      <w:pPr>
        <w:pStyle w:val="Bodytext"/>
        <w:rPr>
          <w:lang w:val="en-GB"/>
        </w:rPr>
      </w:pPr>
    </w:p>
    <w:p w14:paraId="2EA12896" w14:textId="58F21587" w:rsidR="004B7E67" w:rsidRDefault="004B7E67" w:rsidP="004B7E67">
      <w:pPr>
        <w:pStyle w:val="BodytextIndented"/>
        <w:rPr>
          <w:lang w:val="en-GB"/>
        </w:rPr>
      </w:pPr>
    </w:p>
    <w:p w14:paraId="5A30AF36" w14:textId="18BE9C49" w:rsidR="004B7E67" w:rsidRDefault="004B7E67" w:rsidP="004B7E67">
      <w:pPr>
        <w:pStyle w:val="BodytextIndented"/>
        <w:rPr>
          <w:lang w:val="en-GB"/>
        </w:rPr>
      </w:pPr>
    </w:p>
    <w:p w14:paraId="637E650C" w14:textId="02F776F9" w:rsidR="004B7E67" w:rsidRDefault="004B7E67" w:rsidP="004B7E67">
      <w:pPr>
        <w:pStyle w:val="BodytextIndented"/>
        <w:rPr>
          <w:lang w:val="en-GB"/>
        </w:rPr>
      </w:pPr>
    </w:p>
    <w:p w14:paraId="6A9BDA5D" w14:textId="78150C8F" w:rsidR="004B7E67" w:rsidRDefault="004B7E67" w:rsidP="004B7E67">
      <w:pPr>
        <w:pStyle w:val="BodytextIndented"/>
        <w:rPr>
          <w:lang w:val="en-GB"/>
        </w:rPr>
      </w:pPr>
    </w:p>
    <w:p w14:paraId="5A8FB492" w14:textId="560F3129" w:rsidR="004B7E67" w:rsidRDefault="004B7E67" w:rsidP="004B7E67">
      <w:pPr>
        <w:pStyle w:val="BodytextIndented"/>
        <w:rPr>
          <w:lang w:val="en-GB"/>
        </w:rPr>
      </w:pPr>
    </w:p>
    <w:p w14:paraId="1FDDCFDB" w14:textId="1B7BD5DC" w:rsidR="004B7E67" w:rsidRDefault="004B7E67" w:rsidP="004B7E67">
      <w:pPr>
        <w:pStyle w:val="BodytextIndented"/>
        <w:rPr>
          <w:lang w:val="en-GB"/>
        </w:rPr>
      </w:pPr>
    </w:p>
    <w:p w14:paraId="78C80F77" w14:textId="2E06516D" w:rsidR="004B7E67" w:rsidRDefault="004B7E67" w:rsidP="004B7E67">
      <w:pPr>
        <w:pStyle w:val="BodytextIndented"/>
        <w:rPr>
          <w:lang w:val="en-GB"/>
        </w:rPr>
      </w:pPr>
    </w:p>
    <w:p w14:paraId="436E8C8D" w14:textId="0312E1C8" w:rsidR="004B7E67" w:rsidRDefault="004B7E67" w:rsidP="004B7E67">
      <w:pPr>
        <w:pStyle w:val="BodytextIndented"/>
        <w:rPr>
          <w:lang w:val="en-GB"/>
        </w:rPr>
      </w:pPr>
    </w:p>
    <w:p w14:paraId="066C5FFF" w14:textId="77777777" w:rsidR="004B7E67" w:rsidRDefault="004B7E67" w:rsidP="004B7E67">
      <w:pPr>
        <w:pStyle w:val="BodytextIndented"/>
        <w:rPr>
          <w:lang w:val="en-GB"/>
        </w:rPr>
      </w:pPr>
    </w:p>
    <w:p w14:paraId="22BFAE57" w14:textId="2E90036B" w:rsidR="004B7E67" w:rsidRDefault="004B7E67" w:rsidP="004B7E67">
      <w:pPr>
        <w:pStyle w:val="BodytextIndented"/>
        <w:rPr>
          <w:lang w:val="en-GB"/>
        </w:rPr>
      </w:pPr>
    </w:p>
    <w:p w14:paraId="39ED5E41" w14:textId="6F178360" w:rsidR="00356E1C" w:rsidRDefault="00D36F75" w:rsidP="00B54DFB">
      <w:pPr>
        <w:pStyle w:val="Heading1"/>
        <w:tabs>
          <w:tab w:val="clear" w:pos="1440"/>
        </w:tabs>
      </w:pPr>
      <w:r>
        <w:lastRenderedPageBreak/>
        <w:t>Introduction</w:t>
      </w:r>
    </w:p>
    <w:p w14:paraId="58F6FDE1" w14:textId="77777777" w:rsidR="00477D77" w:rsidRDefault="00477D77" w:rsidP="00345CB2">
      <w:pPr>
        <w:ind w:firstLine="851"/>
        <w:jc w:val="both"/>
        <w:rPr>
          <w:lang w:val="en-US" w:eastAsia="zh-CN"/>
        </w:rPr>
      </w:pPr>
    </w:p>
    <w:p w14:paraId="18511FCF" w14:textId="0238D2AE" w:rsidR="00345CB2" w:rsidRPr="00345CB2" w:rsidRDefault="00345CB2" w:rsidP="00345CB2">
      <w:pPr>
        <w:ind w:firstLine="851"/>
        <w:jc w:val="both"/>
        <w:rPr>
          <w:lang w:val="en-US" w:eastAsia="zh-CN"/>
        </w:rPr>
      </w:pPr>
      <w:r w:rsidRPr="00345CB2">
        <w:rPr>
          <w:lang w:val="en-US" w:eastAsia="zh-CN"/>
        </w:rPr>
        <w:t xml:space="preserve">Indonesia is the largest archipelagic country in the world, with more than 17,000 islands, in which 6000 islands are inhabitant. Indonesia has built more than 1500 ports to provide distribution access, where 120 of them are run by state-owned enterprise and equipped with Container Handling Terminal. With the increasing number of container throughput at the port from 7,2 million in 2009 to 14,7 million in 2019, the rate of containerization is still expected to continue in the future. The trend also depicted the importance of the container shipping industry in Indonesia. At present, there are more than 860 liner routes for container shipping provided by more than 50 companies across Indonesia.  </w:t>
      </w:r>
    </w:p>
    <w:p w14:paraId="7B3DF7C7" w14:textId="44268872" w:rsidR="00345CB2" w:rsidRPr="00345CB2" w:rsidRDefault="00345CB2" w:rsidP="00345CB2">
      <w:pPr>
        <w:ind w:firstLine="851"/>
        <w:jc w:val="both"/>
        <w:rPr>
          <w:lang w:val="en-US" w:eastAsia="zh-CN"/>
        </w:rPr>
      </w:pPr>
      <w:r w:rsidRPr="00345CB2">
        <w:rPr>
          <w:lang w:val="en-US" w:eastAsia="zh-CN"/>
        </w:rPr>
        <w:t>Indonesia has a merchant fleet of 24,046 vessels with a capacity of 38.5 million GT. However, this number cannot yet be identified for each type of ship, especially for container ships. Furthermore, INSA (Indonesian Ship Owner Association) said that Indonesia's commercial shipping was experiencing an oversupply (Yasinta, 2015).</w:t>
      </w:r>
      <w:r w:rsidR="00D03CB8">
        <w:rPr>
          <w:lang w:val="en-US" w:eastAsia="zh-CN"/>
        </w:rPr>
        <w:t xml:space="preserve"> </w:t>
      </w:r>
      <w:r w:rsidR="001A078E">
        <w:rPr>
          <w:lang w:val="en-US" w:eastAsia="zh-CN"/>
        </w:rPr>
        <w:t>This is the challenge in</w:t>
      </w:r>
      <w:r w:rsidR="00D03CB8">
        <w:rPr>
          <w:lang w:val="en-US" w:eastAsia="zh-CN"/>
        </w:rPr>
        <w:t xml:space="preserve"> this area is </w:t>
      </w:r>
      <w:r w:rsidR="0003338D">
        <w:rPr>
          <w:lang w:val="en-US" w:eastAsia="zh-CN"/>
        </w:rPr>
        <w:t xml:space="preserve">how </w:t>
      </w:r>
      <w:r w:rsidR="00D03CB8">
        <w:rPr>
          <w:lang w:val="en-US" w:eastAsia="zh-CN"/>
        </w:rPr>
        <w:t xml:space="preserve">to </w:t>
      </w:r>
      <w:r w:rsidR="0003338D">
        <w:rPr>
          <w:lang w:val="en-US" w:eastAsia="zh-CN"/>
        </w:rPr>
        <w:t xml:space="preserve">measure the supply side of container shipping market in some commercial routes in Indonesia, and yet, this is a gap to understand the market behaviour. </w:t>
      </w:r>
      <w:r w:rsidRPr="00345CB2">
        <w:rPr>
          <w:lang w:val="en-US" w:eastAsia="zh-CN"/>
        </w:rPr>
        <w:t>Therefore, further research is needed on the domestic shipping industry's condition to determine the conditions of demand and supply of domestic container shipping.</w:t>
      </w:r>
    </w:p>
    <w:p w14:paraId="12A76955" w14:textId="6656A84C" w:rsidR="00F87CD7" w:rsidRDefault="00345CB2" w:rsidP="00345CB2">
      <w:pPr>
        <w:ind w:firstLine="851"/>
        <w:jc w:val="both"/>
        <w:rPr>
          <w:lang w:val="en-US" w:eastAsia="zh-CN"/>
        </w:rPr>
      </w:pPr>
      <w:r w:rsidRPr="00345CB2">
        <w:rPr>
          <w:lang w:val="en-US" w:eastAsia="zh-CN"/>
        </w:rPr>
        <w:t xml:space="preserve">This paper extends the supply and demand analysis on the domestic container shipping industry. </w:t>
      </w:r>
      <w:proofErr w:type="gramStart"/>
      <w:r w:rsidRPr="00345CB2">
        <w:rPr>
          <w:lang w:val="en-US" w:eastAsia="zh-CN"/>
        </w:rPr>
        <w:t>It is</w:t>
      </w:r>
      <w:proofErr w:type="gramEnd"/>
      <w:r w:rsidRPr="00345CB2">
        <w:rPr>
          <w:lang w:val="en-US" w:eastAsia="zh-CN"/>
        </w:rPr>
        <w:t xml:space="preserve"> mainly focusing on three problems. Problem 1 is how to measure the demand curve in domestic container shipping, whether the demand side is elastic or inelastic towards the market trend. After analyzing the demand side, the same analysis applied to the supply side. Therefore, problem 2 is a domestic container shipping's market structure, including how the supply capacity responds to market trends. Problem 3 is about combining the demand and supply side into the dynamic of the supply &amp; demand curve.</w:t>
      </w:r>
      <w:r w:rsidR="001A078E">
        <w:rPr>
          <w:lang w:val="en-US" w:eastAsia="zh-CN"/>
        </w:rPr>
        <w:t xml:space="preserve"> </w:t>
      </w:r>
      <w:r w:rsidR="001827CD">
        <w:rPr>
          <w:lang w:val="en-US" w:eastAsia="zh-CN"/>
        </w:rPr>
        <w:t>Thus, t</w:t>
      </w:r>
      <w:r w:rsidR="001A078E">
        <w:rPr>
          <w:lang w:val="en-US" w:eastAsia="zh-CN"/>
        </w:rPr>
        <w:t>he</w:t>
      </w:r>
      <w:r w:rsidR="00D03CB8">
        <w:rPr>
          <w:lang w:val="en-US" w:eastAsia="zh-CN"/>
        </w:rPr>
        <w:t xml:space="preserve"> objective of this research is to </w:t>
      </w:r>
      <w:r w:rsidR="001827CD">
        <w:rPr>
          <w:lang w:val="en-US" w:eastAsia="zh-CN"/>
        </w:rPr>
        <w:t>study the market behaviour by measuring market elasticity.</w:t>
      </w:r>
    </w:p>
    <w:p w14:paraId="35F5AA64" w14:textId="77777777" w:rsidR="008E0324" w:rsidRDefault="008E0324" w:rsidP="00233079">
      <w:pPr>
        <w:jc w:val="both"/>
        <w:rPr>
          <w:lang w:val="en-US" w:eastAsia="zh-CN"/>
        </w:rPr>
      </w:pPr>
    </w:p>
    <w:p w14:paraId="0B1EC32E" w14:textId="77777777" w:rsidR="00345CB2" w:rsidRPr="00D47A5F" w:rsidRDefault="00345CB2" w:rsidP="00233079">
      <w:pPr>
        <w:jc w:val="both"/>
        <w:rPr>
          <w:lang w:val="en-US" w:eastAsia="zh-CN"/>
        </w:rPr>
      </w:pPr>
    </w:p>
    <w:p w14:paraId="5D6D0971" w14:textId="5C1A4201" w:rsidR="009A0487" w:rsidRDefault="00BF0AB8" w:rsidP="004C348A">
      <w:pPr>
        <w:pStyle w:val="Heading1"/>
        <w:tabs>
          <w:tab w:val="clear" w:pos="1440"/>
          <w:tab w:val="num" w:pos="426"/>
        </w:tabs>
      </w:pPr>
      <w:r>
        <w:t xml:space="preserve">Review of </w:t>
      </w:r>
      <w:proofErr w:type="gramStart"/>
      <w:r>
        <w:t>the Literature</w:t>
      </w:r>
      <w:proofErr w:type="gramEnd"/>
    </w:p>
    <w:p w14:paraId="2A6AE055" w14:textId="1815903D" w:rsidR="005B5DF3" w:rsidRDefault="005B5DF3" w:rsidP="005B5DF3">
      <w:pPr>
        <w:pStyle w:val="ListParagraph"/>
        <w:numPr>
          <w:ilvl w:val="1"/>
          <w:numId w:val="24"/>
        </w:numPr>
        <w:ind w:left="993" w:hanging="426"/>
        <w:jc w:val="both"/>
        <w:rPr>
          <w:lang w:val="en-US" w:eastAsia="zh-CN"/>
        </w:rPr>
      </w:pPr>
      <w:r>
        <w:rPr>
          <w:lang w:val="en-US" w:eastAsia="zh-CN"/>
        </w:rPr>
        <w:t>Demand</w:t>
      </w:r>
      <w:r w:rsidR="00BE39CF">
        <w:rPr>
          <w:lang w:val="en-US" w:eastAsia="zh-CN"/>
        </w:rPr>
        <w:t xml:space="preserve"> of Container Shipping Industry</w:t>
      </w:r>
    </w:p>
    <w:p w14:paraId="300DC19A" w14:textId="6138E6ED" w:rsidR="00ED3FC4" w:rsidRPr="00ED3FC4" w:rsidRDefault="00ED3FC4" w:rsidP="00ED3FC4">
      <w:pPr>
        <w:ind w:firstLine="567"/>
        <w:jc w:val="both"/>
        <w:rPr>
          <w:lang w:val="en-US" w:eastAsia="zh-CN"/>
        </w:rPr>
      </w:pPr>
      <w:proofErr w:type="gramStart"/>
      <w:r w:rsidRPr="00ED3FC4">
        <w:rPr>
          <w:lang w:val="en-US" w:eastAsia="zh-CN"/>
        </w:rPr>
        <w:t>Many</w:t>
      </w:r>
      <w:proofErr w:type="gramEnd"/>
      <w:r w:rsidRPr="00ED3FC4">
        <w:rPr>
          <w:lang w:val="en-US" w:eastAsia="zh-CN"/>
        </w:rPr>
        <w:t xml:space="preserve"> academia stated that the demand for marine transportation services is derived from economic activities. It can be captured through cargo production in and out of ports (Stopford, 2009). Various </w:t>
      </w:r>
      <w:proofErr w:type="gramStart"/>
      <w:r w:rsidRPr="00ED3FC4">
        <w:rPr>
          <w:lang w:val="en-US" w:eastAsia="zh-CN"/>
        </w:rPr>
        <w:t>research</w:t>
      </w:r>
      <w:proofErr w:type="gramEnd"/>
      <w:r w:rsidRPr="00ED3FC4">
        <w:rPr>
          <w:lang w:val="en-US" w:eastAsia="zh-CN"/>
        </w:rPr>
        <w:t xml:space="preserve"> used regression </w:t>
      </w:r>
      <w:proofErr w:type="gramStart"/>
      <w:r w:rsidRPr="00ED3FC4">
        <w:rPr>
          <w:lang w:val="en-US" w:eastAsia="zh-CN"/>
        </w:rPr>
        <w:t>method</w:t>
      </w:r>
      <w:proofErr w:type="gramEnd"/>
      <w:r w:rsidRPr="00ED3FC4">
        <w:rPr>
          <w:lang w:val="en-US" w:eastAsia="zh-CN"/>
        </w:rPr>
        <w:t xml:space="preserve"> to calculate the demand for the container shipping industry. There are many combinations of the variable used, but Stopford (2009) extending the analysis of the causal variables within 4 categories</w:t>
      </w:r>
      <w:r w:rsidR="00572608">
        <w:rPr>
          <w:lang w:val="en-US" w:eastAsia="zh-CN"/>
        </w:rPr>
        <w:t>:</w:t>
      </w:r>
      <w:r w:rsidRPr="00ED3FC4">
        <w:rPr>
          <w:lang w:val="en-US" w:eastAsia="zh-CN"/>
        </w:rPr>
        <w:t xml:space="preserve"> </w:t>
      </w:r>
      <w:r w:rsidR="00572608">
        <w:rPr>
          <w:lang w:val="en-US" w:eastAsia="zh-CN"/>
        </w:rPr>
        <w:t xml:space="preserve">(i) </w:t>
      </w:r>
      <w:r w:rsidRPr="00ED3FC4">
        <w:rPr>
          <w:lang w:val="en-US" w:eastAsia="zh-CN"/>
        </w:rPr>
        <w:t xml:space="preserve">macroeconomic condition, </w:t>
      </w:r>
      <w:r w:rsidR="00572608">
        <w:rPr>
          <w:lang w:val="en-US" w:eastAsia="zh-CN"/>
        </w:rPr>
        <w:t xml:space="preserve">(ii) </w:t>
      </w:r>
      <w:r w:rsidRPr="00ED3FC4">
        <w:rPr>
          <w:lang w:val="en-US" w:eastAsia="zh-CN"/>
        </w:rPr>
        <w:t xml:space="preserve">cargo commodity type, </w:t>
      </w:r>
      <w:r w:rsidR="00572608">
        <w:rPr>
          <w:lang w:val="en-US" w:eastAsia="zh-CN"/>
        </w:rPr>
        <w:t xml:space="preserve">(iii) </w:t>
      </w:r>
      <w:r w:rsidRPr="00ED3FC4">
        <w:rPr>
          <w:lang w:val="en-US" w:eastAsia="zh-CN"/>
        </w:rPr>
        <w:t xml:space="preserve">random shock, and </w:t>
      </w:r>
      <w:r w:rsidR="00572608">
        <w:rPr>
          <w:lang w:val="en-US" w:eastAsia="zh-CN"/>
        </w:rPr>
        <w:t xml:space="preserve">(iv) </w:t>
      </w:r>
      <w:r w:rsidRPr="00ED3FC4">
        <w:rPr>
          <w:lang w:val="en-US" w:eastAsia="zh-CN"/>
        </w:rPr>
        <w:t>the new emerging technology.</w:t>
      </w:r>
    </w:p>
    <w:p w14:paraId="1AC8F535" w14:textId="72D3889C" w:rsidR="00ED3FC4" w:rsidRPr="00ED3FC4" w:rsidRDefault="00ED3FC4" w:rsidP="00ED3FC4">
      <w:pPr>
        <w:ind w:firstLine="567"/>
        <w:jc w:val="both"/>
        <w:rPr>
          <w:lang w:val="en-US" w:eastAsia="zh-CN"/>
        </w:rPr>
      </w:pPr>
      <w:r w:rsidRPr="00ED3FC4">
        <w:rPr>
          <w:lang w:val="en-US" w:eastAsia="zh-CN"/>
        </w:rPr>
        <w:t xml:space="preserve">The demand analysis of the container shipping industry </w:t>
      </w:r>
      <w:proofErr w:type="gramStart"/>
      <w:r w:rsidRPr="00ED3FC4">
        <w:rPr>
          <w:lang w:val="en-US" w:eastAsia="zh-CN"/>
        </w:rPr>
        <w:t>often</w:t>
      </w:r>
      <w:proofErr w:type="gramEnd"/>
      <w:r w:rsidRPr="00ED3FC4">
        <w:rPr>
          <w:lang w:val="en-US" w:eastAsia="zh-CN"/>
        </w:rPr>
        <w:t xml:space="preserve"> used to forecast the trend. Esmer (2015) used a multiple regression method to forecast the cargo demand of ports in Turkey. He measures the </w:t>
      </w:r>
      <w:r w:rsidR="00F933E4">
        <w:rPr>
          <w:lang w:val="en-US" w:eastAsia="zh-CN"/>
        </w:rPr>
        <w:t>Gross Domestic Product (</w:t>
      </w:r>
      <w:r w:rsidRPr="00ED3FC4">
        <w:rPr>
          <w:lang w:val="en-US" w:eastAsia="zh-CN"/>
        </w:rPr>
        <w:t>GDP</w:t>
      </w:r>
      <w:r w:rsidR="00F933E4">
        <w:rPr>
          <w:lang w:val="en-US" w:eastAsia="zh-CN"/>
        </w:rPr>
        <w:t>)</w:t>
      </w:r>
      <w:r w:rsidRPr="00ED3FC4">
        <w:rPr>
          <w:lang w:val="en-US" w:eastAsia="zh-CN"/>
        </w:rPr>
        <w:t xml:space="preserve">, foreign trade, and population within the previous 5 years as independent variables then </w:t>
      </w:r>
      <w:proofErr w:type="gramStart"/>
      <w:r w:rsidRPr="00ED3FC4">
        <w:rPr>
          <w:lang w:val="en-US" w:eastAsia="zh-CN"/>
        </w:rPr>
        <w:t>regress</w:t>
      </w:r>
      <w:proofErr w:type="gramEnd"/>
      <w:r w:rsidRPr="00ED3FC4">
        <w:rPr>
          <w:lang w:val="en-US" w:eastAsia="zh-CN"/>
        </w:rPr>
        <w:t xml:space="preserve"> them to forecast ports throughput to up to 9 years. Chou (2007) modified the regression model of two variables, GDP and port throughput, by adding a non-stationary contribution coefficient to deal with the forecast error problem.</w:t>
      </w:r>
    </w:p>
    <w:p w14:paraId="2CD77670" w14:textId="70093136" w:rsidR="00BD3EAC" w:rsidRDefault="00ED3FC4" w:rsidP="00ED3FC4">
      <w:pPr>
        <w:ind w:firstLine="567"/>
        <w:jc w:val="both"/>
        <w:rPr>
          <w:lang w:val="en-US" w:eastAsia="zh-CN"/>
        </w:rPr>
      </w:pPr>
      <w:r w:rsidRPr="00ED3FC4">
        <w:rPr>
          <w:lang w:val="en-US" w:eastAsia="zh-CN"/>
        </w:rPr>
        <w:t>Although there were many varieties of variables used in the demand analysis, the most common way is to derive the demand for cargo from economic output or GDP. Therefore, in this paper, the authors use the GDP only as an independent variable in the regression analysis</w:t>
      </w:r>
      <w:r w:rsidR="001E785A">
        <w:rPr>
          <w:lang w:val="en-US" w:eastAsia="zh-CN"/>
        </w:rPr>
        <w:t>.</w:t>
      </w:r>
    </w:p>
    <w:p w14:paraId="1652B2C6" w14:textId="77A5851D" w:rsidR="000C3FE2" w:rsidRDefault="000C3FE2" w:rsidP="00ED3FC4">
      <w:pPr>
        <w:ind w:firstLine="567"/>
        <w:jc w:val="both"/>
        <w:rPr>
          <w:lang w:val="en-US" w:eastAsia="zh-CN"/>
        </w:rPr>
      </w:pPr>
      <w:r>
        <w:rPr>
          <w:lang w:val="en-US" w:eastAsia="zh-CN"/>
        </w:rPr>
        <w:t xml:space="preserve">The importance of demand analysis of shipping is not only for shipping industries itself (both liner and tramper market), but it is also for shipbuilding industries. This is due to the logical consequences that shipping industry demand will trigger the demand for shipbuilding industry. For example, </w:t>
      </w:r>
      <w:r>
        <w:rPr>
          <w:lang w:val="en-US" w:eastAsia="zh-CN"/>
        </w:rPr>
        <w:t xml:space="preserve">(Han SW, </w:t>
      </w:r>
      <w:r w:rsidR="00910E20" w:rsidRPr="000C3FE2">
        <w:rPr>
          <w:i/>
          <w:iCs/>
          <w:lang w:val="en-US" w:eastAsia="zh-CN"/>
        </w:rPr>
        <w:t>et.al</w:t>
      </w:r>
      <w:r w:rsidR="00910E20">
        <w:rPr>
          <w:lang w:val="en-US" w:eastAsia="zh-CN"/>
        </w:rPr>
        <w:t>,</w:t>
      </w:r>
      <w:r>
        <w:rPr>
          <w:lang w:val="en-US" w:eastAsia="zh-CN"/>
        </w:rPr>
        <w:t xml:space="preserve"> 2024) has dem</w:t>
      </w:r>
      <w:r>
        <w:rPr>
          <w:lang w:val="en-US" w:eastAsia="zh-CN"/>
        </w:rPr>
        <w:t>o</w:t>
      </w:r>
      <w:r>
        <w:rPr>
          <w:lang w:val="en-US" w:eastAsia="zh-CN"/>
        </w:rPr>
        <w:t xml:space="preserve">nstrated </w:t>
      </w:r>
      <w:r>
        <w:rPr>
          <w:lang w:val="en-US" w:eastAsia="zh-CN"/>
        </w:rPr>
        <w:t>that</w:t>
      </w:r>
      <w:r w:rsidR="00C224EC">
        <w:rPr>
          <w:lang w:val="en-US" w:eastAsia="zh-CN"/>
        </w:rPr>
        <w:t xml:space="preserve"> in</w:t>
      </w:r>
      <w:r>
        <w:rPr>
          <w:lang w:val="en-US" w:eastAsia="zh-CN"/>
        </w:rPr>
        <w:t xml:space="preserve"> </w:t>
      </w:r>
      <w:r w:rsidR="00C224EC">
        <w:rPr>
          <w:lang w:val="en-US" w:eastAsia="zh-CN"/>
        </w:rPr>
        <w:t>LNGC transportation</w:t>
      </w:r>
      <w:r w:rsidR="00C224EC">
        <w:rPr>
          <w:lang w:val="en-US" w:eastAsia="zh-CN"/>
        </w:rPr>
        <w:t>,</w:t>
      </w:r>
      <w:r w:rsidR="00C224EC" w:rsidRPr="00C224EC">
        <w:rPr>
          <w:lang w:val="en-US" w:eastAsia="zh-CN"/>
        </w:rPr>
        <w:t xml:space="preserve"> </w:t>
      </w:r>
      <w:r w:rsidR="002109E7">
        <w:rPr>
          <w:lang w:val="en-US" w:eastAsia="zh-CN"/>
        </w:rPr>
        <w:t>by using system dynamics</w:t>
      </w:r>
      <w:r w:rsidR="00910E20">
        <w:rPr>
          <w:lang w:val="en-US" w:eastAsia="zh-CN"/>
        </w:rPr>
        <w:t xml:space="preserve"> model</w:t>
      </w:r>
      <w:r w:rsidR="002109E7">
        <w:rPr>
          <w:lang w:val="en-US" w:eastAsia="zh-CN"/>
        </w:rPr>
        <w:t xml:space="preserve">, </w:t>
      </w:r>
      <w:r w:rsidR="00C224EC">
        <w:rPr>
          <w:lang w:val="en-US" w:eastAsia="zh-CN"/>
        </w:rPr>
        <w:t>f</w:t>
      </w:r>
      <w:r w:rsidR="00C224EC" w:rsidRPr="00C224EC">
        <w:rPr>
          <w:lang w:val="en-US" w:eastAsia="zh-CN"/>
        </w:rPr>
        <w:t xml:space="preserve">orecasting </w:t>
      </w:r>
      <w:r w:rsidR="00C224EC">
        <w:rPr>
          <w:lang w:val="en-US" w:eastAsia="zh-CN"/>
        </w:rPr>
        <w:t xml:space="preserve">of </w:t>
      </w:r>
      <w:r w:rsidR="00C224EC" w:rsidRPr="00C224EC">
        <w:rPr>
          <w:lang w:val="en-US" w:eastAsia="zh-CN"/>
        </w:rPr>
        <w:t xml:space="preserve">shipbuilding demand </w:t>
      </w:r>
      <w:r w:rsidR="00C224EC">
        <w:rPr>
          <w:lang w:val="en-US" w:eastAsia="zh-CN"/>
        </w:rPr>
        <w:t xml:space="preserve">can be derived from </w:t>
      </w:r>
      <w:r w:rsidR="00C224EC" w:rsidRPr="00C224EC">
        <w:rPr>
          <w:lang w:val="en-US" w:eastAsia="zh-CN"/>
        </w:rPr>
        <w:t>shipping market</w:t>
      </w:r>
      <w:r w:rsidR="00C224EC">
        <w:rPr>
          <w:lang w:val="en-US" w:eastAsia="zh-CN"/>
        </w:rPr>
        <w:t>.</w:t>
      </w:r>
    </w:p>
    <w:p w14:paraId="075DF283" w14:textId="77777777" w:rsidR="00910E20" w:rsidRDefault="00910E20" w:rsidP="00ED3FC4">
      <w:pPr>
        <w:ind w:firstLine="567"/>
        <w:jc w:val="both"/>
        <w:rPr>
          <w:lang w:val="en-US" w:eastAsia="zh-CN"/>
        </w:rPr>
      </w:pPr>
    </w:p>
    <w:p w14:paraId="757199FE" w14:textId="77777777" w:rsidR="00910E20" w:rsidRDefault="00910E20" w:rsidP="00ED3FC4">
      <w:pPr>
        <w:ind w:firstLine="567"/>
        <w:jc w:val="both"/>
        <w:rPr>
          <w:lang w:val="en-US" w:eastAsia="zh-CN"/>
        </w:rPr>
      </w:pPr>
    </w:p>
    <w:p w14:paraId="482459D4" w14:textId="77777777" w:rsidR="00910E20" w:rsidRDefault="00910E20" w:rsidP="00ED3FC4">
      <w:pPr>
        <w:ind w:firstLine="567"/>
        <w:jc w:val="both"/>
        <w:rPr>
          <w:lang w:val="en-US" w:eastAsia="zh-CN"/>
        </w:rPr>
      </w:pPr>
    </w:p>
    <w:p w14:paraId="716CD91B" w14:textId="271D2F56" w:rsidR="00BE39CF" w:rsidRDefault="00BE39CF" w:rsidP="005B5DF3">
      <w:pPr>
        <w:pStyle w:val="ListParagraph"/>
        <w:numPr>
          <w:ilvl w:val="1"/>
          <w:numId w:val="24"/>
        </w:numPr>
        <w:ind w:left="993" w:hanging="426"/>
        <w:jc w:val="both"/>
        <w:rPr>
          <w:lang w:val="en-US" w:eastAsia="zh-CN"/>
        </w:rPr>
      </w:pPr>
      <w:r>
        <w:rPr>
          <w:lang w:val="en-US" w:eastAsia="zh-CN"/>
        </w:rPr>
        <w:lastRenderedPageBreak/>
        <w:t>Market Structure</w:t>
      </w:r>
      <w:r w:rsidR="000A3CBA">
        <w:rPr>
          <w:lang w:val="en-US" w:eastAsia="zh-CN"/>
        </w:rPr>
        <w:t xml:space="preserve"> of </w:t>
      </w:r>
      <w:r w:rsidR="00ED3FC4">
        <w:rPr>
          <w:lang w:val="en-US" w:eastAsia="zh-CN"/>
        </w:rPr>
        <w:t xml:space="preserve">the </w:t>
      </w:r>
      <w:r w:rsidR="000A3CBA">
        <w:rPr>
          <w:lang w:val="en-US" w:eastAsia="zh-CN"/>
        </w:rPr>
        <w:t>Shipping Industry</w:t>
      </w:r>
    </w:p>
    <w:p w14:paraId="594A49E1" w14:textId="2F7F1166" w:rsidR="00ED3FC4" w:rsidRPr="00ED3FC4" w:rsidRDefault="00322EA5" w:rsidP="00ED3FC4">
      <w:pPr>
        <w:jc w:val="both"/>
        <w:rPr>
          <w:lang w:val="en-US" w:eastAsia="zh-CN"/>
        </w:rPr>
      </w:pPr>
      <w:r>
        <w:rPr>
          <w:lang w:val="en-US" w:eastAsia="zh-CN"/>
        </w:rPr>
        <w:t xml:space="preserve"> </w:t>
      </w:r>
      <w:r w:rsidR="00D34639">
        <w:rPr>
          <w:lang w:val="en-US" w:eastAsia="zh-CN"/>
        </w:rPr>
        <w:tab/>
      </w:r>
      <w:r w:rsidR="00ED3FC4" w:rsidRPr="00ED3FC4">
        <w:rPr>
          <w:lang w:val="en-US" w:eastAsia="zh-CN"/>
        </w:rPr>
        <w:t>Market structure is a concept that describes the elements and the situation of a market. Uzonwanne et al. (2017) stated the most common three elements of the market</w:t>
      </w:r>
      <w:r w:rsidR="00BA269A">
        <w:rPr>
          <w:lang w:val="en-US" w:eastAsia="zh-CN"/>
        </w:rPr>
        <w:t>: (i)</w:t>
      </w:r>
      <w:r w:rsidR="00ED3FC4" w:rsidRPr="00ED3FC4">
        <w:rPr>
          <w:lang w:val="en-US" w:eastAsia="zh-CN"/>
        </w:rPr>
        <w:t xml:space="preserve"> the size distribution of sellers/buyers, </w:t>
      </w:r>
      <w:r w:rsidR="00BA269A">
        <w:rPr>
          <w:lang w:val="en-US" w:eastAsia="zh-CN"/>
        </w:rPr>
        <w:t xml:space="preserve">(ii) </w:t>
      </w:r>
      <w:r w:rsidR="00ED3FC4" w:rsidRPr="00ED3FC4">
        <w:rPr>
          <w:lang w:val="en-US" w:eastAsia="zh-CN"/>
        </w:rPr>
        <w:t>the degree of product differentiation, and</w:t>
      </w:r>
      <w:r w:rsidR="00BA269A">
        <w:rPr>
          <w:lang w:val="en-US" w:eastAsia="zh-CN"/>
        </w:rPr>
        <w:t xml:space="preserve"> (iii) </w:t>
      </w:r>
      <w:r w:rsidR="00ED3FC4" w:rsidRPr="00ED3FC4">
        <w:rPr>
          <w:lang w:val="en-US" w:eastAsia="zh-CN"/>
        </w:rPr>
        <w:t xml:space="preserve">the condition of entry into the market. Various </w:t>
      </w:r>
      <w:r w:rsidR="00BA269A" w:rsidRPr="00ED3FC4">
        <w:rPr>
          <w:lang w:val="en-US" w:eastAsia="zh-CN"/>
        </w:rPr>
        <w:t>research</w:t>
      </w:r>
      <w:r w:rsidR="00ED3FC4" w:rsidRPr="00ED3FC4">
        <w:rPr>
          <w:lang w:val="en-US" w:eastAsia="zh-CN"/>
        </w:rPr>
        <w:t xml:space="preserve"> </w:t>
      </w:r>
      <w:proofErr w:type="gramStart"/>
      <w:r w:rsidR="00ED3FC4" w:rsidRPr="00ED3FC4">
        <w:rPr>
          <w:lang w:val="en-US" w:eastAsia="zh-CN"/>
        </w:rPr>
        <w:t>have</w:t>
      </w:r>
      <w:proofErr w:type="gramEnd"/>
      <w:r w:rsidR="00ED3FC4" w:rsidRPr="00ED3FC4">
        <w:rPr>
          <w:lang w:val="en-US" w:eastAsia="zh-CN"/>
        </w:rPr>
        <w:t xml:space="preserve"> been down to measure market structure, mostly by calculating the </w:t>
      </w:r>
      <w:r w:rsidR="00BA269A">
        <w:rPr>
          <w:lang w:val="en-US" w:eastAsia="zh-CN"/>
        </w:rPr>
        <w:t>Concentration Ratio of the big four players (</w:t>
      </w:r>
      <w:r w:rsidR="00ED3FC4" w:rsidRPr="00ED3FC4">
        <w:rPr>
          <w:lang w:val="en-US" w:eastAsia="zh-CN"/>
        </w:rPr>
        <w:t>CR4</w:t>
      </w:r>
      <w:r w:rsidR="00BA269A">
        <w:rPr>
          <w:lang w:val="en-US" w:eastAsia="zh-CN"/>
        </w:rPr>
        <w:t>)</w:t>
      </w:r>
      <w:r w:rsidR="00ED3FC4" w:rsidRPr="00ED3FC4">
        <w:rPr>
          <w:lang w:val="en-US" w:eastAsia="zh-CN"/>
        </w:rPr>
        <w:t xml:space="preserve"> ratio or Hirschman-Herfindahl Index (HHI). Lijesen et al. (2002) conducted HHI analysis on the aviation industry, Alegria et al. (2008) on the banking industry, and Noam (2008) on the internet and media industry.</w:t>
      </w:r>
    </w:p>
    <w:p w14:paraId="12011010" w14:textId="3E3915E8" w:rsidR="00ED3FC4" w:rsidRPr="00ED3FC4" w:rsidRDefault="00ED3FC4" w:rsidP="00ED3FC4">
      <w:pPr>
        <w:jc w:val="both"/>
        <w:rPr>
          <w:lang w:val="en-US" w:eastAsia="zh-CN"/>
        </w:rPr>
      </w:pPr>
      <w:r w:rsidRPr="00ED3FC4">
        <w:rPr>
          <w:lang w:val="en-US" w:eastAsia="zh-CN"/>
        </w:rPr>
        <w:t xml:space="preserve">           While in the shipping industry, Sys (2016) calculated the HHI and CR4 ratio on the global liner industry before and after the consolidation process from 1995 to 2008. He concluded that the market was become more concentrated within the period. </w:t>
      </w:r>
      <w:r w:rsidR="00E07BEC" w:rsidRPr="00ED3FC4">
        <w:rPr>
          <w:lang w:val="en-US" w:eastAsia="zh-CN"/>
        </w:rPr>
        <w:t>Thus,</w:t>
      </w:r>
      <w:r w:rsidRPr="00ED3FC4">
        <w:rPr>
          <w:lang w:val="en-US" w:eastAsia="zh-CN"/>
        </w:rPr>
        <w:t xml:space="preserve"> the hypothesis of an oligopoly market in the shipping industry is confirmed to be positive. Charłampowicz (2018) questioning whether the global container shipping market was still competitive for its participants. He also uses the CR4 ratio and HHI as a parameter of measurement, which directed to the same result as Sys (2009). Still using the same method, Goulielmos (2017) found that the increase in the sample used to analyze will lower the value of HHI. </w:t>
      </w:r>
    </w:p>
    <w:p w14:paraId="1772FC37" w14:textId="5EECCCD5" w:rsidR="001409AE" w:rsidRDefault="00ED3FC4" w:rsidP="00ED3FC4">
      <w:pPr>
        <w:jc w:val="both"/>
        <w:rPr>
          <w:lang w:val="en-US" w:eastAsia="zh-CN"/>
        </w:rPr>
      </w:pPr>
      <w:r w:rsidRPr="00ED3FC4">
        <w:rPr>
          <w:lang w:val="en-US" w:eastAsia="zh-CN"/>
        </w:rPr>
        <w:t xml:space="preserve">           Based on previous research, there is a similarity in its conclusion that the container shipping industry's market structure is an oligopoly market, with some companies control </w:t>
      </w:r>
      <w:proofErr w:type="gramStart"/>
      <w:r w:rsidRPr="00ED3FC4">
        <w:rPr>
          <w:lang w:val="en-US" w:eastAsia="zh-CN"/>
        </w:rPr>
        <w:t>the majority of</w:t>
      </w:r>
      <w:proofErr w:type="gramEnd"/>
      <w:r w:rsidRPr="00ED3FC4">
        <w:rPr>
          <w:lang w:val="en-US" w:eastAsia="zh-CN"/>
        </w:rPr>
        <w:t xml:space="preserve"> the share in the market</w:t>
      </w:r>
      <w:r w:rsidR="009D6842">
        <w:rPr>
          <w:lang w:val="en-US" w:eastAsia="zh-CN"/>
        </w:rPr>
        <w:t>.</w:t>
      </w:r>
    </w:p>
    <w:p w14:paraId="0D9E7E8E" w14:textId="77777777" w:rsidR="00767EEE" w:rsidRPr="00BB5F2F" w:rsidRDefault="00767EEE" w:rsidP="00ED3FC4">
      <w:pPr>
        <w:jc w:val="both"/>
        <w:rPr>
          <w:lang w:val="en-US" w:eastAsia="zh-CN"/>
        </w:rPr>
      </w:pPr>
    </w:p>
    <w:p w14:paraId="23AEBA70" w14:textId="0BB18ABF" w:rsidR="00BE39CF" w:rsidRDefault="00BE39CF" w:rsidP="005B5DF3">
      <w:pPr>
        <w:pStyle w:val="ListParagraph"/>
        <w:numPr>
          <w:ilvl w:val="1"/>
          <w:numId w:val="24"/>
        </w:numPr>
        <w:ind w:left="993" w:hanging="426"/>
        <w:jc w:val="both"/>
        <w:rPr>
          <w:lang w:val="en-US" w:eastAsia="zh-CN"/>
        </w:rPr>
      </w:pPr>
      <w:r>
        <w:rPr>
          <w:lang w:val="en-US" w:eastAsia="zh-CN"/>
        </w:rPr>
        <w:t>Dynamics of Supply and Demand</w:t>
      </w:r>
      <w:r w:rsidR="003272A9">
        <w:rPr>
          <w:lang w:val="en-US" w:eastAsia="zh-CN"/>
        </w:rPr>
        <w:t xml:space="preserve"> Curves in</w:t>
      </w:r>
      <w:r>
        <w:rPr>
          <w:lang w:val="en-US" w:eastAsia="zh-CN"/>
        </w:rPr>
        <w:t xml:space="preserve"> Container Shipping</w:t>
      </w:r>
    </w:p>
    <w:p w14:paraId="4D283308" w14:textId="77777777" w:rsidR="00ED3FC4" w:rsidRPr="00ED3FC4" w:rsidRDefault="00ED3FC4" w:rsidP="00ED3FC4">
      <w:pPr>
        <w:ind w:firstLine="851"/>
        <w:jc w:val="both"/>
        <w:rPr>
          <w:lang w:val="en-US" w:eastAsia="zh-CN"/>
        </w:rPr>
      </w:pPr>
      <w:r w:rsidRPr="00ED3FC4">
        <w:rPr>
          <w:lang w:val="en-US" w:eastAsia="zh-CN"/>
        </w:rPr>
        <w:t xml:space="preserve">The economist tried to explain market </w:t>
      </w:r>
      <w:proofErr w:type="gramStart"/>
      <w:r w:rsidRPr="00ED3FC4">
        <w:rPr>
          <w:lang w:val="en-US" w:eastAsia="zh-CN"/>
        </w:rPr>
        <w:t>condition</w:t>
      </w:r>
      <w:proofErr w:type="gramEnd"/>
      <w:r w:rsidRPr="00ED3FC4">
        <w:rPr>
          <w:lang w:val="en-US" w:eastAsia="zh-CN"/>
        </w:rPr>
        <w:t xml:space="preserve"> using demand and supply curves visually. The curve consists of price as the y-axis and quantity as the x-axis. That basic curve could explain how the market interacts when there is a shortage or </w:t>
      </w:r>
      <w:proofErr w:type="gramStart"/>
      <w:r w:rsidRPr="00ED3FC4">
        <w:rPr>
          <w:lang w:val="en-US" w:eastAsia="zh-CN"/>
        </w:rPr>
        <w:t>oversupply</w:t>
      </w:r>
      <w:proofErr w:type="gramEnd"/>
      <w:r w:rsidRPr="00ED3FC4">
        <w:rPr>
          <w:lang w:val="en-US" w:eastAsia="zh-CN"/>
        </w:rPr>
        <w:t xml:space="preserve"> in the market. H.L. Moore firstly introduce the demand curve by deriving the curve from statistical data around 1915. The demand curve is characterized by the line from the upper left downs to the right, while the supply curve was the opposite. </w:t>
      </w:r>
    </w:p>
    <w:p w14:paraId="1A3A9DDD" w14:textId="77777777" w:rsidR="00ED3FC4" w:rsidRPr="00ED3FC4" w:rsidRDefault="00ED3FC4" w:rsidP="00ED3FC4">
      <w:pPr>
        <w:ind w:firstLine="851"/>
        <w:jc w:val="both"/>
        <w:rPr>
          <w:lang w:val="en-US" w:eastAsia="zh-CN"/>
        </w:rPr>
      </w:pPr>
      <w:r w:rsidRPr="00ED3FC4">
        <w:rPr>
          <w:lang w:val="en-US" w:eastAsia="zh-CN"/>
        </w:rPr>
        <w:t>On the shipping industry, Stopford (2009) explained the special characteristic of the shipping industry's supply curve. He carefully analyzed the supply curve of an individual ship and the shipping industry as a whole and concluded that the supply curve for an individual ship is a J-shape curve. That individual curve then stacked and combined with another J-shape individual curve to form the shipping industry's supply curve. Therefore, the shipping industry's curve is an aggregate of individual ship curve and has a flatter shape than the usual supply curve. On the other hand, the main characteristic of the shipping industry's demand curve is a steep line due to inelasticity towards the supply side.</w:t>
      </w:r>
    </w:p>
    <w:p w14:paraId="3621D73B" w14:textId="058EEB2B" w:rsidR="0096086E" w:rsidRDefault="00ED3FC4" w:rsidP="00ED3FC4">
      <w:pPr>
        <w:ind w:firstLine="851"/>
        <w:jc w:val="both"/>
      </w:pPr>
      <w:r w:rsidRPr="00ED3FC4">
        <w:rPr>
          <w:lang w:val="en-US" w:eastAsia="zh-CN"/>
        </w:rPr>
        <w:t xml:space="preserve">Efes et al. (2019) proposed a supply-demand interaction model in China's shipping industry. The higher the demand will lead to a higher freight rate (price), while the increase in supply will lower the freight. In the short run, the supply side cannot adjust quickly in response to the market. While in the long run, the supply side shift slowly adjusts the market's increase and </w:t>
      </w:r>
      <w:proofErr w:type="gramStart"/>
      <w:r w:rsidRPr="00ED3FC4">
        <w:rPr>
          <w:lang w:val="en-US" w:eastAsia="zh-CN"/>
        </w:rPr>
        <w:t>lower</w:t>
      </w:r>
      <w:proofErr w:type="gramEnd"/>
      <w:r w:rsidRPr="00ED3FC4">
        <w:rPr>
          <w:lang w:val="en-US" w:eastAsia="zh-CN"/>
        </w:rPr>
        <w:t xml:space="preserve"> the freight. Luo et al. (2009) use the cobweb model to analyze the interaction between supply and demand in the container shipping industry. At the time when the freight is high, the quantity demanded is lower than the quantity supplied. </w:t>
      </w:r>
      <w:proofErr w:type="gramStart"/>
      <w:r w:rsidRPr="00ED3FC4">
        <w:rPr>
          <w:lang w:val="en-US" w:eastAsia="zh-CN"/>
        </w:rPr>
        <w:t>The oversupply</w:t>
      </w:r>
      <w:proofErr w:type="gramEnd"/>
      <w:r w:rsidRPr="00ED3FC4">
        <w:rPr>
          <w:lang w:val="en-US" w:eastAsia="zh-CN"/>
        </w:rPr>
        <w:t xml:space="preserve"> will reduce the price. At the new </w:t>
      </w:r>
      <w:proofErr w:type="gramStart"/>
      <w:r w:rsidRPr="00ED3FC4">
        <w:rPr>
          <w:lang w:val="en-US" w:eastAsia="zh-CN"/>
        </w:rPr>
        <w:t>lower-price</w:t>
      </w:r>
      <w:proofErr w:type="gramEnd"/>
      <w:r w:rsidRPr="00ED3FC4">
        <w:rPr>
          <w:lang w:val="en-US" w:eastAsia="zh-CN"/>
        </w:rPr>
        <w:t xml:space="preserve"> level, the quantity demanded </w:t>
      </w:r>
      <w:proofErr w:type="gramStart"/>
      <w:r w:rsidRPr="00ED3FC4">
        <w:rPr>
          <w:lang w:val="en-US" w:eastAsia="zh-CN"/>
        </w:rPr>
        <w:t>become</w:t>
      </w:r>
      <w:proofErr w:type="gramEnd"/>
      <w:r w:rsidRPr="00ED3FC4">
        <w:rPr>
          <w:lang w:val="en-US" w:eastAsia="zh-CN"/>
        </w:rPr>
        <w:t xml:space="preserve"> higher than the quantity supplied. This excessive demand will lead to an increase in freight. The interaction cycle then continues from the beginning</w:t>
      </w:r>
      <w:r w:rsidR="0096086E">
        <w:t>.</w:t>
      </w:r>
    </w:p>
    <w:p w14:paraId="56E07F60" w14:textId="77777777" w:rsidR="008E0324" w:rsidRPr="003272A9" w:rsidRDefault="008E0324" w:rsidP="00ED3FC4">
      <w:pPr>
        <w:ind w:firstLine="851"/>
        <w:jc w:val="both"/>
        <w:rPr>
          <w:lang w:val="en-US" w:eastAsia="zh-CN"/>
        </w:rPr>
      </w:pPr>
    </w:p>
    <w:p w14:paraId="792F5240" w14:textId="77777777" w:rsidR="0091656A" w:rsidRPr="0091656A" w:rsidRDefault="0091656A" w:rsidP="0091656A">
      <w:pPr>
        <w:pStyle w:val="ListParagraph"/>
        <w:numPr>
          <w:ilvl w:val="0"/>
          <w:numId w:val="3"/>
        </w:numPr>
        <w:spacing w:before="240"/>
        <w:contextualSpacing w:val="0"/>
        <w:rPr>
          <w:b/>
          <w:iCs/>
          <w:vanish/>
          <w:color w:val="000000"/>
          <w:szCs w:val="22"/>
        </w:rPr>
      </w:pPr>
    </w:p>
    <w:p w14:paraId="1137A7D6" w14:textId="77777777" w:rsidR="0091656A" w:rsidRPr="0091656A" w:rsidRDefault="0091656A" w:rsidP="0091656A">
      <w:pPr>
        <w:pStyle w:val="ListParagraph"/>
        <w:numPr>
          <w:ilvl w:val="0"/>
          <w:numId w:val="3"/>
        </w:numPr>
        <w:spacing w:before="240"/>
        <w:contextualSpacing w:val="0"/>
        <w:rPr>
          <w:b/>
          <w:iCs/>
          <w:vanish/>
          <w:color w:val="000000"/>
          <w:szCs w:val="22"/>
        </w:rPr>
      </w:pPr>
    </w:p>
    <w:p w14:paraId="672C5194" w14:textId="44B9C192" w:rsidR="0079219D" w:rsidRDefault="002E589F" w:rsidP="004C348A">
      <w:pPr>
        <w:pStyle w:val="Heading1"/>
        <w:tabs>
          <w:tab w:val="clear" w:pos="1440"/>
          <w:tab w:val="num" w:pos="426"/>
        </w:tabs>
        <w:spacing w:before="240"/>
      </w:pPr>
      <w:r>
        <w:t>Methodology</w:t>
      </w:r>
    </w:p>
    <w:p w14:paraId="536E73A7" w14:textId="6D956E1A" w:rsidR="00533242" w:rsidRDefault="00ED3FC4" w:rsidP="00ED3FC4">
      <w:pPr>
        <w:pStyle w:val="BodytextIndented"/>
        <w:ind w:firstLine="851"/>
      </w:pPr>
      <w:r w:rsidRPr="00ED3FC4">
        <w:t xml:space="preserve">The analysis </w:t>
      </w:r>
      <w:r w:rsidR="006C25FD" w:rsidRPr="00ED3FC4">
        <w:t>was carried</w:t>
      </w:r>
      <w:r w:rsidRPr="00ED3FC4">
        <w:t xml:space="preserve"> out in 3 stages of analysis demand-side analysis, supply-side analysis, market equilibrium analysis. The first step is the demand side analysis. This stage aims to determine the condition of the demand for domestic container shipping. The analysis was carried out by regressing the components in the </w:t>
      </w:r>
      <w:r w:rsidR="00064F2B">
        <w:t>Gross Regional Domestic Product (</w:t>
      </w:r>
      <w:r w:rsidRPr="00ED3FC4">
        <w:t>GRDP</w:t>
      </w:r>
      <w:r w:rsidR="00064F2B">
        <w:t>)</w:t>
      </w:r>
      <w:r w:rsidRPr="00ED3FC4">
        <w:t xml:space="preserve"> with data on domestic container production at the port. As for the projection process on the demand side, the growth of Indonesia's GRDP </w:t>
      </w:r>
      <w:r w:rsidRPr="00ED3FC4">
        <w:lastRenderedPageBreak/>
        <w:t>published by the World Bank is used and then regressed with container production in Indonesia. Thus, as explained in the literature review</w:t>
      </w:r>
      <w:r w:rsidR="00533242">
        <w:t>,</w:t>
      </w:r>
      <w:r>
        <w:t xml:space="preserve"> the author used the regression model as follows</w:t>
      </w:r>
      <w:r w:rsidR="00556B3C">
        <w:t>:</w:t>
      </w:r>
    </w:p>
    <w:p w14:paraId="6E083F43" w14:textId="77777777" w:rsidR="00556B3C" w:rsidRDefault="00556B3C" w:rsidP="00ED3FC4">
      <w:pPr>
        <w:pStyle w:val="BodytextIndented"/>
        <w:ind w:firstLine="851"/>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1103"/>
      </w:tblGrid>
      <w:tr w:rsidR="00533242" w:rsidRPr="00D835C0" w14:paraId="701D2F7D" w14:textId="77777777" w:rsidTr="00ED3FC4">
        <w:tc>
          <w:tcPr>
            <w:tcW w:w="6725" w:type="dxa"/>
          </w:tcPr>
          <w:p w14:paraId="6A667531" w14:textId="17FE6D9B" w:rsidR="00533242" w:rsidRPr="00533242" w:rsidRDefault="00533242" w:rsidP="00024255">
            <w:pPr>
              <w:pStyle w:val="ListParagraph"/>
              <w:spacing w:line="360" w:lineRule="auto"/>
              <w:ind w:left="582" w:firstLine="858"/>
              <w:jc w:val="both"/>
              <w:rPr>
                <w:bCs/>
                <w:i/>
                <w:color w:val="000000" w:themeColor="text1"/>
                <w:sz w:val="20"/>
                <w:szCs w:val="20"/>
              </w:rPr>
            </w:pPr>
            <m:oMathPara>
              <m:oMathParaPr>
                <m:jc m:val="left"/>
              </m:oMathParaPr>
              <m:oMath>
                <m:r>
                  <w:rPr>
                    <w:rFonts w:ascii="Cambria Math" w:hAnsi="Cambria Math"/>
                    <w:color w:val="000000" w:themeColor="text1"/>
                    <w:sz w:val="20"/>
                    <w:szCs w:val="20"/>
                  </w:rPr>
                  <m:t>Throughput=Demand=</m:t>
                </m:r>
                <m:sSub>
                  <m:sSubPr>
                    <m:ctrlPr>
                      <w:rPr>
                        <w:rFonts w:ascii="Cambria Math" w:hAnsi="Cambria Math"/>
                        <w:bCs/>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0</m:t>
                    </m:r>
                  </m:sub>
                </m:sSub>
                <m:r>
                  <w:rPr>
                    <w:rFonts w:ascii="Cambria Math" w:hAnsi="Cambria Math"/>
                    <w:color w:val="000000" w:themeColor="text1"/>
                    <w:sz w:val="20"/>
                    <w:szCs w:val="20"/>
                  </w:rPr>
                  <m:t>×GDRP</m:t>
                </m:r>
              </m:oMath>
            </m:oMathPara>
          </w:p>
        </w:tc>
        <w:tc>
          <w:tcPr>
            <w:tcW w:w="1122" w:type="dxa"/>
          </w:tcPr>
          <w:p w14:paraId="77AAD794" w14:textId="77777777" w:rsidR="00533242" w:rsidRPr="00D835C0" w:rsidRDefault="00533242" w:rsidP="00024255">
            <w:pPr>
              <w:pStyle w:val="ListParagraph"/>
              <w:spacing w:line="360" w:lineRule="auto"/>
              <w:ind w:left="0"/>
              <w:jc w:val="right"/>
              <w:rPr>
                <w:bCs/>
                <w:color w:val="000000" w:themeColor="text1"/>
              </w:rPr>
            </w:pPr>
            <w:r w:rsidRPr="00D835C0">
              <w:rPr>
                <w:bCs/>
                <w:color w:val="000000" w:themeColor="text1"/>
                <w:sz w:val="20"/>
                <w:szCs w:val="20"/>
              </w:rPr>
              <w:t>(3.1)</w:t>
            </w:r>
          </w:p>
        </w:tc>
      </w:tr>
    </w:tbl>
    <w:p w14:paraId="3FBEAD28" w14:textId="77777777" w:rsidR="00ED3FC4" w:rsidRDefault="00ED3FC4" w:rsidP="00ED3FC4">
      <w:pPr>
        <w:pStyle w:val="BodytextIndented"/>
        <w:ind w:firstLine="360"/>
      </w:pPr>
      <w:r>
        <w:t>Where c</w:t>
      </w:r>
      <w:r w:rsidRPr="00556B3C">
        <w:rPr>
          <w:vertAlign w:val="subscript"/>
        </w:rPr>
        <w:t>0</w:t>
      </w:r>
      <w:r>
        <w:t xml:space="preserve"> is the coefficient that connects the demand for sea transportation services with GRDP.</w:t>
      </w:r>
    </w:p>
    <w:p w14:paraId="58B9AD86" w14:textId="77777777" w:rsidR="00556B3C" w:rsidRDefault="00556B3C" w:rsidP="00ED3FC4">
      <w:pPr>
        <w:pStyle w:val="BodytextIndented"/>
        <w:ind w:firstLine="360"/>
      </w:pPr>
    </w:p>
    <w:p w14:paraId="46E7CAD0" w14:textId="56F5C0ED" w:rsidR="00533242" w:rsidRDefault="00ED3FC4" w:rsidP="00ED3FC4">
      <w:pPr>
        <w:pStyle w:val="BodytextIndented"/>
        <w:ind w:firstLine="360"/>
      </w:pPr>
      <w:r>
        <w:t xml:space="preserve">Furthermore, the demand curve analysis is carried out with the input of container demand data from LK3 and processed data from interviews with business actors </w:t>
      </w:r>
      <w:r w:rsidR="00F71BC8">
        <w:t>(cargo owner)</w:t>
      </w:r>
      <w:r>
        <w:t>. During the interview, a simulation was conducted on the effect of freight rate changes on the number of goods to be shipped. The results of the interview are structured to form a demand curve for the domestic container shipping industry. Thus, the quantity component is the amount of container demand, while the price component is the expected price from interviews with business actors. To determine the elasticity of the demand side, elasticity analysis was performed using the mid-point elasticity method</w:t>
      </w:r>
      <w:r w:rsidR="00533242">
        <w:t>.</w:t>
      </w:r>
    </w:p>
    <w:p w14:paraId="137A1D43" w14:textId="77777777" w:rsidR="00233079" w:rsidRDefault="00233079" w:rsidP="00ED3FC4">
      <w:pPr>
        <w:pStyle w:val="BodytextIndented"/>
        <w:ind w:firstLine="360"/>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3742"/>
      </w:tblGrid>
      <w:tr w:rsidR="00533242" w:rsidRPr="00D835C0" w14:paraId="14064E8B" w14:textId="77777777" w:rsidTr="00ED3FC4">
        <w:tc>
          <w:tcPr>
            <w:tcW w:w="3986" w:type="dxa"/>
          </w:tcPr>
          <w:p w14:paraId="1F889985" w14:textId="1616C51F" w:rsidR="00533242" w:rsidRPr="00D835C0" w:rsidRDefault="00533242" w:rsidP="00024255">
            <w:pPr>
              <w:pStyle w:val="ListParagraph"/>
              <w:spacing w:after="240" w:line="360" w:lineRule="auto"/>
              <w:ind w:left="0"/>
              <w:jc w:val="both"/>
              <w:rPr>
                <w:bCs/>
                <w:i/>
                <w:iCs/>
                <w:color w:val="000000" w:themeColor="text1"/>
              </w:rPr>
            </w:pPr>
            <w:bookmarkStart w:id="0" w:name="_Hlk65157512"/>
            <m:oMathPara>
              <m:oMath>
                <m:r>
                  <w:rPr>
                    <w:rFonts w:ascii="Cambria Math" w:hAnsi="Cambria Math"/>
                    <w:sz w:val="20"/>
                    <w:szCs w:val="20"/>
                  </w:rPr>
                  <m:t>Elasticity=</m:t>
                </m:r>
                <m:f>
                  <m:fPr>
                    <m:ctrlPr>
                      <w:rPr>
                        <w:rFonts w:ascii="Cambria Math" w:hAnsi="Cambria Math"/>
                        <w:i/>
                        <w:sz w:val="20"/>
                        <w:szCs w:val="20"/>
                      </w:rPr>
                    </m:ctrlPr>
                  </m:fPr>
                  <m:num>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1</m:t>
                            </m:r>
                          </m:sub>
                        </m:sSub>
                      </m:num>
                      <m:den>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num>
                          <m:den>
                            <m:r>
                              <w:rPr>
                                <w:rFonts w:ascii="Cambria Math" w:hAnsi="Cambria Math"/>
                                <w:sz w:val="20"/>
                                <w:szCs w:val="20"/>
                              </w:rPr>
                              <m:t>2</m:t>
                            </m:r>
                          </m:den>
                        </m:f>
                      </m:den>
                    </m:f>
                  </m:num>
                  <m:den>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num>
                      <m:den>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r>
                              <w:rPr>
                                <w:rFonts w:ascii="Cambria Math" w:hAnsi="Cambria Math"/>
                                <w:sz w:val="20"/>
                                <w:szCs w:val="20"/>
                              </w:rPr>
                              <m:t>)</m:t>
                            </m:r>
                          </m:num>
                          <m:den>
                            <m:r>
                              <w:rPr>
                                <w:rFonts w:ascii="Cambria Math" w:hAnsi="Cambria Math"/>
                                <w:sz w:val="20"/>
                                <w:szCs w:val="20"/>
                              </w:rPr>
                              <m:t>2</m:t>
                            </m:r>
                          </m:den>
                        </m:f>
                      </m:den>
                    </m:f>
                  </m:den>
                </m:f>
              </m:oMath>
            </m:oMathPara>
          </w:p>
        </w:tc>
        <w:tc>
          <w:tcPr>
            <w:tcW w:w="3861" w:type="dxa"/>
            <w:vAlign w:val="center"/>
          </w:tcPr>
          <w:p w14:paraId="567650CB" w14:textId="77777777" w:rsidR="00533242" w:rsidRPr="00D835C0" w:rsidRDefault="00533242" w:rsidP="00024255">
            <w:pPr>
              <w:pStyle w:val="ListParagraph"/>
              <w:spacing w:after="240" w:line="360" w:lineRule="auto"/>
              <w:ind w:left="0"/>
              <w:jc w:val="right"/>
              <w:rPr>
                <w:bCs/>
                <w:i/>
                <w:iCs/>
                <w:color w:val="000000" w:themeColor="text1"/>
              </w:rPr>
            </w:pPr>
            <w:r w:rsidRPr="00D835C0">
              <w:rPr>
                <w:bCs/>
                <w:color w:val="000000" w:themeColor="text1"/>
                <w:sz w:val="20"/>
                <w:szCs w:val="20"/>
              </w:rPr>
              <w:t>(3.2)</w:t>
            </w:r>
          </w:p>
        </w:tc>
      </w:tr>
      <w:bookmarkEnd w:id="0"/>
    </w:tbl>
    <w:p w14:paraId="29FDA116" w14:textId="77777777" w:rsidR="00881507" w:rsidRDefault="00881507" w:rsidP="00AE4C9F">
      <w:pPr>
        <w:pStyle w:val="BodytextIndented"/>
        <w:ind w:firstLine="360"/>
      </w:pPr>
    </w:p>
    <w:p w14:paraId="28A0440F" w14:textId="7759D20E" w:rsidR="00881507" w:rsidRDefault="00881507" w:rsidP="00AE4C9F">
      <w:pPr>
        <w:pStyle w:val="BodytextIndented"/>
        <w:ind w:firstLine="360"/>
      </w:pPr>
      <w:r>
        <w:t xml:space="preserve">Where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and </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1</m:t>
            </m:r>
          </m:sub>
        </m:sSub>
      </m:oMath>
      <w:r>
        <w:rPr>
          <w:sz w:val="20"/>
          <w:szCs w:val="20"/>
        </w:rPr>
        <w:t xml:space="preserve"> are quantity demanded at the Price (freight) of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2</m:t>
            </m:r>
          </m:sub>
        </m:sSub>
        <m:r>
          <w:rPr>
            <w:rFonts w:ascii="Cambria Math" w:hAnsi="Cambria Math"/>
            <w:sz w:val="20"/>
            <w:szCs w:val="20"/>
          </w:rPr>
          <m:t xml:space="preserve"> and </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oMath>
      <w:r>
        <w:rPr>
          <w:sz w:val="20"/>
          <w:szCs w:val="20"/>
        </w:rPr>
        <w:t xml:space="preserve"> respectively.</w:t>
      </w:r>
    </w:p>
    <w:p w14:paraId="4ABC018D" w14:textId="021988C3" w:rsidR="00AE4C9F" w:rsidRDefault="00ED3FC4" w:rsidP="00AE4C9F">
      <w:pPr>
        <w:pStyle w:val="BodytextIndented"/>
        <w:ind w:firstLine="360"/>
      </w:pPr>
      <w:r w:rsidRPr="00ED3FC4">
        <w:t>On the supply side, the analysis starts with identifying the market structure. The analysis uses the HHI value on the 9 routes analyzed</w:t>
      </w:r>
      <w:r w:rsidR="00533242">
        <w:t>.</w:t>
      </w:r>
    </w:p>
    <w:p w14:paraId="587721E6" w14:textId="77777777" w:rsidR="008E0324" w:rsidRDefault="008E0324" w:rsidP="00AE4C9F">
      <w:pPr>
        <w:pStyle w:val="BodytextIndented"/>
        <w:ind w:firstLine="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5"/>
      </w:tblGrid>
      <w:tr w:rsidR="00AE4C9F" w14:paraId="5AFED78E" w14:textId="77777777" w:rsidTr="00AE4C9F">
        <w:tc>
          <w:tcPr>
            <w:tcW w:w="4643" w:type="dxa"/>
          </w:tcPr>
          <w:p w14:paraId="283A24FC" w14:textId="6549AE00" w:rsidR="00AE4C9F" w:rsidRDefault="00AE4C9F" w:rsidP="00AE4C9F">
            <w:pPr>
              <w:pStyle w:val="BodytextIndented"/>
              <w:ind w:firstLine="0"/>
            </w:pPr>
            <m:oMathPara>
              <m:oMath>
                <m:r>
                  <w:rPr>
                    <w:rFonts w:ascii="Cambria Math" w:hAnsi="Cambria Math"/>
                  </w:rPr>
                  <m:t xml:space="preserve">HHI= </m:t>
                </m:r>
                <m:nary>
                  <m:naryPr>
                    <m:chr m:val="∑"/>
                    <m:limLoc m:val="subSup"/>
                    <m:ctrlPr>
                      <w:rPr>
                        <w:rFonts w:ascii="Cambria Math" w:eastAsia="Times New Roman" w:hAnsi="Cambria Math"/>
                        <w:i/>
                      </w:rPr>
                    </m:ctrlPr>
                  </m:naryPr>
                  <m:sub>
                    <m:r>
                      <w:rPr>
                        <w:rFonts w:ascii="Cambria Math" w:hAnsi="Cambria Math"/>
                      </w:rPr>
                      <m:t>i=1</m:t>
                    </m:r>
                  </m:sub>
                  <m:sup>
                    <m:r>
                      <w:rPr>
                        <w:rFonts w:ascii="Cambria Math" w:hAnsi="Cambria Math"/>
                      </w:rPr>
                      <m:t>n</m:t>
                    </m:r>
                  </m:sup>
                  <m:e>
                    <m:sSup>
                      <m:sSupPr>
                        <m:ctrlPr>
                          <w:rPr>
                            <w:rFonts w:ascii="Cambria Math" w:eastAsia="Times New Roman" w:hAnsi="Cambria Math"/>
                            <w:i/>
                          </w:rPr>
                        </m:ctrlPr>
                      </m:sSupPr>
                      <m:e>
                        <m:sSub>
                          <m:sSubPr>
                            <m:ctrlPr>
                              <w:rPr>
                                <w:rFonts w:ascii="Cambria Math" w:eastAsia="Times New Roman" w:hAnsi="Cambria Math"/>
                                <w:i/>
                              </w:rPr>
                            </m:ctrlPr>
                          </m:sSubPr>
                          <m:e>
                            <m:r>
                              <w:rPr>
                                <w:rFonts w:ascii="Cambria Math" w:hAnsi="Cambria Math"/>
                              </w:rPr>
                              <m:t>s</m:t>
                            </m:r>
                          </m:e>
                          <m:sub>
                            <m:r>
                              <w:rPr>
                                <w:rFonts w:ascii="Cambria Math" w:hAnsi="Cambria Math"/>
                              </w:rPr>
                              <m:t>i</m:t>
                            </m:r>
                          </m:sub>
                        </m:sSub>
                      </m:e>
                      <m:sup>
                        <m:r>
                          <w:rPr>
                            <w:rFonts w:ascii="Cambria Math" w:hAnsi="Cambria Math"/>
                          </w:rPr>
                          <m:t>2</m:t>
                        </m:r>
                      </m:sup>
                    </m:sSup>
                  </m:e>
                </m:nary>
              </m:oMath>
            </m:oMathPara>
          </w:p>
        </w:tc>
        <w:tc>
          <w:tcPr>
            <w:tcW w:w="4644" w:type="dxa"/>
          </w:tcPr>
          <w:p w14:paraId="59A99D27" w14:textId="2A155774" w:rsidR="00AE4C9F" w:rsidRDefault="00AE4C9F" w:rsidP="00AE4C9F">
            <w:pPr>
              <w:pStyle w:val="BodytextIndented"/>
              <w:ind w:firstLine="0"/>
              <w:jc w:val="right"/>
            </w:pPr>
            <w:r w:rsidRPr="00AE4C9F">
              <w:rPr>
                <w:sz w:val="20"/>
                <w:szCs w:val="20"/>
              </w:rPr>
              <w:t>(3</w:t>
            </w:r>
            <w:r w:rsidR="00AD21F3">
              <w:rPr>
                <w:sz w:val="20"/>
                <w:szCs w:val="20"/>
              </w:rPr>
              <w:t>.</w:t>
            </w:r>
            <w:r w:rsidRPr="00AE4C9F">
              <w:rPr>
                <w:sz w:val="20"/>
                <w:szCs w:val="20"/>
              </w:rPr>
              <w:t>3)</w:t>
            </w:r>
          </w:p>
        </w:tc>
      </w:tr>
    </w:tbl>
    <w:p w14:paraId="0C79E4DD" w14:textId="77777777" w:rsidR="008E0324" w:rsidRDefault="008E0324" w:rsidP="00ED3FC4">
      <w:pPr>
        <w:pStyle w:val="BodytextIndented"/>
        <w:ind w:firstLine="360"/>
      </w:pPr>
    </w:p>
    <w:p w14:paraId="6306B812" w14:textId="6D5C641F" w:rsidR="00ED3FC4" w:rsidRDefault="00ED3FC4" w:rsidP="00ED3FC4">
      <w:pPr>
        <w:pStyle w:val="BodytextIndented"/>
        <w:ind w:firstLine="360"/>
      </w:pPr>
      <w:r>
        <w:t xml:space="preserve">Where </w:t>
      </w:r>
      <w:r w:rsidRPr="008E0324">
        <w:rPr>
          <w:i/>
          <w:iCs w:val="0"/>
        </w:rPr>
        <w:t>S</w:t>
      </w:r>
      <w:r w:rsidRPr="008E0324">
        <w:rPr>
          <w:i/>
          <w:iCs w:val="0"/>
          <w:vertAlign w:val="subscript"/>
        </w:rPr>
        <w:t>i</w:t>
      </w:r>
      <w:r>
        <w:t xml:space="preserve"> indicates the market share of each company identified. The market structure is identified to validate the simulated domestic container shipping demand curve data from the interview results.</w:t>
      </w:r>
    </w:p>
    <w:p w14:paraId="04D45EFA" w14:textId="5BE2A636" w:rsidR="00533242" w:rsidRDefault="00ED3FC4" w:rsidP="00ED3FC4">
      <w:pPr>
        <w:pStyle w:val="BodytextIndented"/>
        <w:ind w:firstLine="360"/>
      </w:pPr>
      <w:r>
        <w:t xml:space="preserve">Next, an analysis was carried out using a generic voyage calculation model to determine the size of the capacity of Indonesia's container ships fleet, both in </w:t>
      </w:r>
      <w:r w:rsidR="00881507">
        <w:t>Twenty Equivalent Unit (</w:t>
      </w:r>
      <w:r>
        <w:t>TEUs</w:t>
      </w:r>
      <w:r w:rsidR="00881507">
        <w:t>)</w:t>
      </w:r>
      <w:r>
        <w:t xml:space="preserve"> and TEUs.miles. The model can also be used to determine the unit cost on the supply side. The unit cost will be used as a benchmark for market conditions to determine the shipowner's profitability in operating his ship and prove the relationship between the supply capacity variable and the unit cost. The voyage calculation model was prepared by </w:t>
      </w:r>
      <w:r w:rsidR="00881507">
        <w:t>considering</w:t>
      </w:r>
      <w:r>
        <w:t xml:space="preserve"> ship age, ship size, ship speed and fuel consumption, crews, and others</w:t>
      </w:r>
      <w:r w:rsidR="002B011F">
        <w:t xml:space="preserve"> as follows:</w:t>
      </w:r>
    </w:p>
    <w:p w14:paraId="2A6BB0CF" w14:textId="77777777" w:rsidR="00556B3C" w:rsidRDefault="00556B3C" w:rsidP="00ED3FC4">
      <w:pPr>
        <w:pStyle w:val="BodytextIndented"/>
        <w:ind w:firstLine="360"/>
      </w:pPr>
    </w:p>
    <w:tbl>
      <w:tblPr>
        <w:tblStyle w:val="TableGrid"/>
        <w:tblW w:w="8641"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gridCol w:w="840"/>
      </w:tblGrid>
      <w:tr w:rsidR="00533242" w:rsidRPr="00533242" w14:paraId="09303557" w14:textId="77777777" w:rsidTr="00024255">
        <w:tc>
          <w:tcPr>
            <w:tcW w:w="7801" w:type="dxa"/>
          </w:tcPr>
          <w:p w14:paraId="0B6FF218" w14:textId="77777777" w:rsidR="00533242" w:rsidRPr="00533242" w:rsidRDefault="00533242" w:rsidP="00024255">
            <w:pPr>
              <w:spacing w:line="360" w:lineRule="auto"/>
              <w:ind w:right="-1" w:firstLine="608"/>
              <w:contextualSpacing/>
              <w:jc w:val="both"/>
              <w:rPr>
                <w:rFonts w:eastAsia="Calibri"/>
                <w:color w:val="000000" w:themeColor="text1"/>
                <w:sz w:val="18"/>
                <w:szCs w:val="16"/>
              </w:rPr>
            </w:pPr>
            <w:bookmarkStart w:id="1" w:name="_Hlk201510110"/>
            <m:oMathPara>
              <m:oMathParaPr>
                <m:jc m:val="left"/>
              </m:oMathParaPr>
              <m:oMath>
                <m:r>
                  <w:rPr>
                    <w:rFonts w:ascii="Cambria Math" w:hAnsi="Cambria Math"/>
                    <w:color w:val="000000" w:themeColor="text1"/>
                    <w:sz w:val="18"/>
                    <w:szCs w:val="16"/>
                  </w:rPr>
                  <m:t>Total Cost=CapitalC+OperatingC+VoyageC+CHC</m:t>
                </m:r>
              </m:oMath>
            </m:oMathPara>
            <w:bookmarkEnd w:id="1"/>
          </w:p>
        </w:tc>
        <w:tc>
          <w:tcPr>
            <w:tcW w:w="840" w:type="dxa"/>
            <w:vAlign w:val="center"/>
          </w:tcPr>
          <w:p w14:paraId="60A731D9" w14:textId="2265C0FA" w:rsidR="00533242" w:rsidRPr="00533242" w:rsidRDefault="00533242" w:rsidP="00024255">
            <w:pPr>
              <w:pStyle w:val="ListParagraph"/>
              <w:spacing w:line="360" w:lineRule="auto"/>
              <w:ind w:left="0"/>
              <w:jc w:val="both"/>
              <w:rPr>
                <w:bCs/>
                <w:color w:val="000000" w:themeColor="text1"/>
                <w:sz w:val="18"/>
                <w:szCs w:val="16"/>
              </w:rPr>
            </w:pPr>
            <w:r w:rsidRPr="00533242">
              <w:rPr>
                <w:bCs/>
                <w:color w:val="000000" w:themeColor="text1"/>
                <w:sz w:val="18"/>
                <w:szCs w:val="16"/>
              </w:rPr>
              <w:t>(3.</w:t>
            </w:r>
            <w:r w:rsidR="00AD21F3">
              <w:rPr>
                <w:bCs/>
                <w:color w:val="000000" w:themeColor="text1"/>
                <w:sz w:val="18"/>
                <w:szCs w:val="16"/>
                <w:lang w:val="en-US"/>
              </w:rPr>
              <w:t>4</w:t>
            </w:r>
            <w:r w:rsidRPr="00533242">
              <w:rPr>
                <w:bCs/>
                <w:color w:val="000000" w:themeColor="text1"/>
                <w:sz w:val="18"/>
                <w:szCs w:val="16"/>
              </w:rPr>
              <w:t>)</w:t>
            </w:r>
          </w:p>
        </w:tc>
      </w:tr>
      <w:tr w:rsidR="00533242" w:rsidRPr="00533242" w14:paraId="5E74E01D" w14:textId="77777777" w:rsidTr="00024255">
        <w:tc>
          <w:tcPr>
            <w:tcW w:w="7801" w:type="dxa"/>
          </w:tcPr>
          <w:p w14:paraId="197B067A" w14:textId="1F045EB4" w:rsidR="00533242" w:rsidRPr="00533242" w:rsidRDefault="00533242" w:rsidP="00024255">
            <w:pPr>
              <w:pStyle w:val="ListParagraph"/>
              <w:spacing w:line="360" w:lineRule="auto"/>
              <w:ind w:left="0" w:right="-1" w:firstLine="48"/>
              <w:jc w:val="both"/>
              <w:rPr>
                <w:bCs/>
                <w:color w:val="000000" w:themeColor="text1"/>
                <w:sz w:val="18"/>
                <w:szCs w:val="16"/>
              </w:rPr>
            </w:pPr>
            <m:oMathPara>
              <m:oMathParaPr>
                <m:jc m:val="left"/>
              </m:oMathParaPr>
              <m:oMath>
                <m:r>
                  <w:rPr>
                    <w:rFonts w:ascii="Cambria Math" w:hAnsi="Cambria Math"/>
                    <w:color w:val="000000" w:themeColor="text1"/>
                    <w:sz w:val="18"/>
                    <w:szCs w:val="16"/>
                  </w:rPr>
                  <m:t xml:space="preserve">Unit Cost (TEUs)= </m:t>
                </m:r>
                <m:f>
                  <m:fPr>
                    <m:ctrlPr>
                      <w:rPr>
                        <w:rFonts w:ascii="Cambria Math" w:hAnsi="Cambria Math"/>
                        <w:bCs/>
                        <w:i/>
                        <w:color w:val="000000" w:themeColor="text1"/>
                        <w:sz w:val="18"/>
                        <w:szCs w:val="16"/>
                      </w:rPr>
                    </m:ctrlPr>
                  </m:fPr>
                  <m:num>
                    <m:r>
                      <w:rPr>
                        <w:rFonts w:ascii="Cambria Math" w:hAnsi="Cambria Math"/>
                        <w:color w:val="000000" w:themeColor="text1"/>
                        <w:sz w:val="18"/>
                        <w:szCs w:val="16"/>
                      </w:rPr>
                      <m:t>Total Cost</m:t>
                    </m:r>
                  </m:num>
                  <m:den>
                    <m:r>
                      <w:rPr>
                        <w:rFonts w:ascii="Cambria Math" w:hAnsi="Cambria Math"/>
                        <w:color w:val="000000" w:themeColor="text1"/>
                        <w:sz w:val="18"/>
                        <w:szCs w:val="16"/>
                      </w:rPr>
                      <m:t xml:space="preserve">Ship Capacity ×Freq </m:t>
                    </m:r>
                  </m:den>
                </m:f>
              </m:oMath>
            </m:oMathPara>
          </w:p>
        </w:tc>
        <w:tc>
          <w:tcPr>
            <w:tcW w:w="840" w:type="dxa"/>
            <w:vAlign w:val="center"/>
          </w:tcPr>
          <w:p w14:paraId="1FB42ED2" w14:textId="50CC44C9" w:rsidR="00533242" w:rsidRPr="00533242" w:rsidRDefault="00533242" w:rsidP="00024255">
            <w:pPr>
              <w:pStyle w:val="ListParagraph"/>
              <w:spacing w:line="360" w:lineRule="auto"/>
              <w:ind w:left="0"/>
              <w:jc w:val="both"/>
              <w:rPr>
                <w:bCs/>
                <w:color w:val="000000" w:themeColor="text1"/>
                <w:sz w:val="18"/>
                <w:szCs w:val="16"/>
              </w:rPr>
            </w:pPr>
            <w:r w:rsidRPr="00533242">
              <w:rPr>
                <w:bCs/>
                <w:color w:val="000000" w:themeColor="text1"/>
                <w:sz w:val="18"/>
                <w:szCs w:val="16"/>
              </w:rPr>
              <w:t>(3.</w:t>
            </w:r>
            <w:r w:rsidR="00AD21F3">
              <w:rPr>
                <w:bCs/>
                <w:color w:val="000000" w:themeColor="text1"/>
                <w:sz w:val="18"/>
                <w:szCs w:val="16"/>
                <w:lang w:val="en-US"/>
              </w:rPr>
              <w:t>5</w:t>
            </w:r>
            <w:r w:rsidRPr="00533242">
              <w:rPr>
                <w:bCs/>
                <w:color w:val="000000" w:themeColor="text1"/>
                <w:sz w:val="18"/>
                <w:szCs w:val="16"/>
              </w:rPr>
              <w:t>)</w:t>
            </w:r>
          </w:p>
        </w:tc>
      </w:tr>
      <w:tr w:rsidR="00533242" w:rsidRPr="00533242" w14:paraId="7AD3DFF7" w14:textId="77777777" w:rsidTr="00024255">
        <w:tc>
          <w:tcPr>
            <w:tcW w:w="7801" w:type="dxa"/>
          </w:tcPr>
          <w:p w14:paraId="44C6B0B8" w14:textId="6112423E" w:rsidR="00533242" w:rsidRPr="00533242" w:rsidRDefault="00533242" w:rsidP="00024255">
            <w:pPr>
              <w:pStyle w:val="ListParagraph"/>
              <w:spacing w:line="360" w:lineRule="auto"/>
              <w:ind w:left="0" w:right="-1"/>
              <w:jc w:val="both"/>
              <w:rPr>
                <w:bCs/>
                <w:color w:val="000000" w:themeColor="text1"/>
                <w:sz w:val="18"/>
                <w:szCs w:val="16"/>
              </w:rPr>
            </w:pPr>
            <m:oMathPara>
              <m:oMathParaPr>
                <m:jc m:val="left"/>
              </m:oMathParaPr>
              <m:oMath>
                <m:r>
                  <w:rPr>
                    <w:rFonts w:ascii="Cambria Math" w:hAnsi="Cambria Math"/>
                    <w:color w:val="000000" w:themeColor="text1"/>
                    <w:sz w:val="18"/>
                    <w:szCs w:val="16"/>
                  </w:rPr>
                  <m:t xml:space="preserve">Unit Cost (TEUs.Miles)= </m:t>
                </m:r>
                <m:f>
                  <m:fPr>
                    <m:ctrlPr>
                      <w:rPr>
                        <w:rFonts w:ascii="Cambria Math" w:hAnsi="Cambria Math"/>
                        <w:bCs/>
                        <w:i/>
                        <w:color w:val="000000" w:themeColor="text1"/>
                        <w:sz w:val="18"/>
                        <w:szCs w:val="16"/>
                      </w:rPr>
                    </m:ctrlPr>
                  </m:fPr>
                  <m:num>
                    <m:r>
                      <w:rPr>
                        <w:rFonts w:ascii="Cambria Math" w:hAnsi="Cambria Math"/>
                        <w:color w:val="000000" w:themeColor="text1"/>
                        <w:sz w:val="18"/>
                        <w:szCs w:val="16"/>
                      </w:rPr>
                      <m:t>Total Cost</m:t>
                    </m:r>
                  </m:num>
                  <m:den>
                    <m:r>
                      <w:rPr>
                        <w:rFonts w:ascii="Cambria Math" w:hAnsi="Cambria Math"/>
                        <w:color w:val="000000" w:themeColor="text1"/>
                        <w:sz w:val="18"/>
                        <w:szCs w:val="16"/>
                      </w:rPr>
                      <m:t>Ship Capacity ×Freq x Distance</m:t>
                    </m:r>
                  </m:den>
                </m:f>
              </m:oMath>
            </m:oMathPara>
          </w:p>
        </w:tc>
        <w:tc>
          <w:tcPr>
            <w:tcW w:w="840" w:type="dxa"/>
            <w:vAlign w:val="center"/>
          </w:tcPr>
          <w:p w14:paraId="15766A2C" w14:textId="58C9FC14" w:rsidR="00533242" w:rsidRPr="00533242" w:rsidRDefault="00533242" w:rsidP="00024255">
            <w:pPr>
              <w:pStyle w:val="ListParagraph"/>
              <w:spacing w:line="360" w:lineRule="auto"/>
              <w:ind w:left="0"/>
              <w:jc w:val="both"/>
              <w:rPr>
                <w:bCs/>
                <w:color w:val="000000" w:themeColor="text1"/>
                <w:sz w:val="18"/>
                <w:szCs w:val="16"/>
              </w:rPr>
            </w:pPr>
            <w:r w:rsidRPr="00533242">
              <w:rPr>
                <w:bCs/>
                <w:color w:val="000000" w:themeColor="text1"/>
                <w:sz w:val="18"/>
                <w:szCs w:val="16"/>
              </w:rPr>
              <w:t>(3.</w:t>
            </w:r>
            <w:r w:rsidR="00AD21F3">
              <w:rPr>
                <w:bCs/>
                <w:color w:val="000000" w:themeColor="text1"/>
                <w:sz w:val="18"/>
                <w:szCs w:val="16"/>
                <w:lang w:val="en-US"/>
              </w:rPr>
              <w:t>6</w:t>
            </w:r>
            <w:r w:rsidRPr="00533242">
              <w:rPr>
                <w:bCs/>
                <w:color w:val="000000" w:themeColor="text1"/>
                <w:sz w:val="18"/>
                <w:szCs w:val="16"/>
              </w:rPr>
              <w:t>)</w:t>
            </w:r>
          </w:p>
        </w:tc>
      </w:tr>
      <w:tr w:rsidR="00533242" w:rsidRPr="00533242" w14:paraId="43BAB0DC" w14:textId="77777777" w:rsidTr="00024255">
        <w:tc>
          <w:tcPr>
            <w:tcW w:w="7801" w:type="dxa"/>
          </w:tcPr>
          <w:p w14:paraId="2D43F999" w14:textId="75B2BD22" w:rsidR="00533242" w:rsidRPr="00533242" w:rsidRDefault="00857389" w:rsidP="00024255">
            <w:pPr>
              <w:pStyle w:val="ListParagraph"/>
              <w:spacing w:line="360" w:lineRule="auto"/>
              <w:ind w:left="0" w:right="-1" w:firstLine="466"/>
              <w:jc w:val="both"/>
              <w:rPr>
                <w:bCs/>
                <w:color w:val="000000" w:themeColor="text1"/>
                <w:sz w:val="18"/>
                <w:szCs w:val="16"/>
              </w:rPr>
            </w:pPr>
            <m:oMathPara>
              <m:oMathParaPr>
                <m:jc m:val="left"/>
              </m:oMathParaPr>
              <m:oMath>
                <m:r>
                  <w:rPr>
                    <w:rFonts w:ascii="Cambria Math" w:hAnsi="Cambria Math"/>
                    <w:color w:val="000000" w:themeColor="text1"/>
                    <w:sz w:val="18"/>
                    <w:szCs w:val="16"/>
                  </w:rPr>
                  <m:t xml:space="preserve">Capacity </m:t>
                </m:r>
                <m:d>
                  <m:dPr>
                    <m:ctrlPr>
                      <w:rPr>
                        <w:rFonts w:ascii="Cambria Math" w:hAnsi="Cambria Math"/>
                        <w:bCs/>
                        <w:i/>
                        <w:color w:val="000000" w:themeColor="text1"/>
                        <w:sz w:val="18"/>
                        <w:szCs w:val="16"/>
                      </w:rPr>
                    </m:ctrlPr>
                  </m:dPr>
                  <m:e>
                    <m:r>
                      <w:rPr>
                        <w:rFonts w:ascii="Cambria Math" w:hAnsi="Cambria Math"/>
                        <w:color w:val="000000" w:themeColor="text1"/>
                        <w:sz w:val="18"/>
                        <w:szCs w:val="16"/>
                      </w:rPr>
                      <m:t>TEUs</m:t>
                    </m:r>
                  </m:e>
                </m:d>
                <m:r>
                  <w:rPr>
                    <w:rFonts w:ascii="Cambria Math" w:hAnsi="Cambria Math"/>
                    <w:color w:val="000000" w:themeColor="text1"/>
                    <w:sz w:val="18"/>
                    <w:szCs w:val="16"/>
                  </w:rPr>
                  <m:t xml:space="preserve">=Ship Population ×Ship Capacity </m:t>
                </m:r>
              </m:oMath>
            </m:oMathPara>
          </w:p>
        </w:tc>
        <w:tc>
          <w:tcPr>
            <w:tcW w:w="840" w:type="dxa"/>
            <w:vAlign w:val="center"/>
          </w:tcPr>
          <w:p w14:paraId="23CB2798" w14:textId="26940CFD" w:rsidR="00533242" w:rsidRPr="00533242" w:rsidRDefault="00533242" w:rsidP="00024255">
            <w:pPr>
              <w:pStyle w:val="ListParagraph"/>
              <w:spacing w:line="360" w:lineRule="auto"/>
              <w:ind w:left="0"/>
              <w:jc w:val="both"/>
              <w:rPr>
                <w:bCs/>
                <w:color w:val="000000" w:themeColor="text1"/>
                <w:sz w:val="18"/>
                <w:szCs w:val="16"/>
              </w:rPr>
            </w:pPr>
            <w:r w:rsidRPr="00533242">
              <w:rPr>
                <w:bCs/>
                <w:color w:val="000000" w:themeColor="text1"/>
                <w:sz w:val="18"/>
                <w:szCs w:val="16"/>
              </w:rPr>
              <w:t>(3.</w:t>
            </w:r>
            <w:r w:rsidR="00AD21F3">
              <w:rPr>
                <w:bCs/>
                <w:color w:val="000000" w:themeColor="text1"/>
                <w:sz w:val="18"/>
                <w:szCs w:val="16"/>
                <w:lang w:val="en-US"/>
              </w:rPr>
              <w:t>7</w:t>
            </w:r>
            <w:r w:rsidRPr="00533242">
              <w:rPr>
                <w:bCs/>
                <w:color w:val="000000" w:themeColor="text1"/>
                <w:sz w:val="18"/>
                <w:szCs w:val="16"/>
              </w:rPr>
              <w:t>)</w:t>
            </w:r>
          </w:p>
        </w:tc>
      </w:tr>
      <w:tr w:rsidR="00533242" w:rsidRPr="00533242" w14:paraId="4F663670" w14:textId="77777777" w:rsidTr="00024255">
        <w:tc>
          <w:tcPr>
            <w:tcW w:w="7801" w:type="dxa"/>
          </w:tcPr>
          <w:p w14:paraId="6C1FBC10" w14:textId="0F2533F2" w:rsidR="00533242" w:rsidRPr="00533242" w:rsidRDefault="00857389" w:rsidP="00024255">
            <w:pPr>
              <w:pStyle w:val="ListParagraph"/>
              <w:spacing w:line="360" w:lineRule="auto"/>
              <w:ind w:left="0" w:right="-260"/>
              <w:jc w:val="both"/>
              <w:rPr>
                <w:bCs/>
                <w:color w:val="000000" w:themeColor="text1"/>
                <w:sz w:val="18"/>
                <w:szCs w:val="16"/>
              </w:rPr>
            </w:pPr>
            <m:oMathPara>
              <m:oMathParaPr>
                <m:jc m:val="left"/>
              </m:oMathParaPr>
              <m:oMath>
                <m:r>
                  <w:rPr>
                    <w:rFonts w:ascii="Cambria Math" w:hAnsi="Cambria Math"/>
                    <w:color w:val="000000" w:themeColor="text1"/>
                    <w:sz w:val="18"/>
                    <w:szCs w:val="16"/>
                  </w:rPr>
                  <m:t xml:space="preserve">Capacity </m:t>
                </m:r>
                <m:d>
                  <m:dPr>
                    <m:ctrlPr>
                      <w:rPr>
                        <w:rFonts w:ascii="Cambria Math" w:hAnsi="Cambria Math"/>
                        <w:bCs/>
                        <w:i/>
                        <w:color w:val="000000" w:themeColor="text1"/>
                        <w:sz w:val="18"/>
                        <w:szCs w:val="16"/>
                      </w:rPr>
                    </m:ctrlPr>
                  </m:dPr>
                  <m:e>
                    <m:r>
                      <w:rPr>
                        <w:rFonts w:ascii="Cambria Math" w:hAnsi="Cambria Math"/>
                        <w:color w:val="000000" w:themeColor="text1"/>
                        <w:sz w:val="18"/>
                        <w:szCs w:val="16"/>
                      </w:rPr>
                      <m:t>TEUs.Miles</m:t>
                    </m:r>
                  </m:e>
                </m:d>
                <m:r>
                  <w:rPr>
                    <w:rFonts w:ascii="Cambria Math" w:hAnsi="Cambria Math"/>
                    <w:color w:val="000000" w:themeColor="text1"/>
                    <w:sz w:val="18"/>
                    <w:szCs w:val="16"/>
                  </w:rPr>
                  <m:t>=Ship Population ×Ship Capacity ×distance</m:t>
                </m:r>
              </m:oMath>
            </m:oMathPara>
          </w:p>
        </w:tc>
        <w:tc>
          <w:tcPr>
            <w:tcW w:w="840" w:type="dxa"/>
            <w:vAlign w:val="center"/>
          </w:tcPr>
          <w:p w14:paraId="187EB158" w14:textId="0BDA71A6" w:rsidR="00533242" w:rsidRPr="00533242" w:rsidRDefault="00533242" w:rsidP="00024255">
            <w:pPr>
              <w:pStyle w:val="ListParagraph"/>
              <w:spacing w:line="360" w:lineRule="auto"/>
              <w:ind w:left="0"/>
              <w:jc w:val="both"/>
              <w:rPr>
                <w:bCs/>
                <w:color w:val="000000" w:themeColor="text1"/>
                <w:sz w:val="18"/>
                <w:szCs w:val="16"/>
              </w:rPr>
            </w:pPr>
            <w:r w:rsidRPr="00533242">
              <w:rPr>
                <w:bCs/>
                <w:color w:val="000000" w:themeColor="text1"/>
                <w:sz w:val="18"/>
                <w:szCs w:val="16"/>
              </w:rPr>
              <w:t>(3.</w:t>
            </w:r>
            <w:r w:rsidR="00AD21F3">
              <w:rPr>
                <w:bCs/>
                <w:color w:val="000000" w:themeColor="text1"/>
                <w:sz w:val="18"/>
                <w:szCs w:val="16"/>
                <w:lang w:val="en-US"/>
              </w:rPr>
              <w:t>8</w:t>
            </w:r>
            <w:r w:rsidRPr="00533242">
              <w:rPr>
                <w:bCs/>
                <w:color w:val="000000" w:themeColor="text1"/>
                <w:sz w:val="18"/>
                <w:szCs w:val="16"/>
              </w:rPr>
              <w:t>)</w:t>
            </w:r>
          </w:p>
        </w:tc>
      </w:tr>
    </w:tbl>
    <w:p w14:paraId="1B8FF013" w14:textId="77777777" w:rsidR="00556B3C" w:rsidRDefault="00556B3C" w:rsidP="00ED3FC4">
      <w:pPr>
        <w:pStyle w:val="BodytextIndented"/>
        <w:ind w:firstLine="360"/>
      </w:pPr>
    </w:p>
    <w:p w14:paraId="041CDBA2" w14:textId="09C874A7" w:rsidR="00AA22B5" w:rsidRDefault="00AA22B5" w:rsidP="00ED3FC4">
      <w:pPr>
        <w:pStyle w:val="BodytextIndented"/>
        <w:ind w:firstLine="360"/>
      </w:pPr>
      <w:r>
        <w:t>Where:</w:t>
      </w:r>
    </w:p>
    <w:tbl>
      <w:tblPr>
        <w:tblStyle w:val="TableGrid"/>
        <w:tblW w:w="0" w:type="auto"/>
        <w:jc w:val="center"/>
        <w:tblLook w:val="04A0" w:firstRow="1" w:lastRow="0" w:firstColumn="1" w:lastColumn="0" w:noHBand="0" w:noVBand="1"/>
      </w:tblPr>
      <w:tblGrid>
        <w:gridCol w:w="1795"/>
        <w:gridCol w:w="4950"/>
        <w:gridCol w:w="1084"/>
      </w:tblGrid>
      <w:tr w:rsidR="00AA22B5" w14:paraId="62FA2543" w14:textId="77777777" w:rsidTr="002B011F">
        <w:trPr>
          <w:jc w:val="center"/>
        </w:trPr>
        <w:tc>
          <w:tcPr>
            <w:tcW w:w="1795" w:type="dxa"/>
          </w:tcPr>
          <w:p w14:paraId="65C1D6D1" w14:textId="431948ED" w:rsidR="00AA22B5" w:rsidRPr="009A6409" w:rsidRDefault="00AA22B5" w:rsidP="002B011F">
            <w:pPr>
              <w:pStyle w:val="BodytextIndented"/>
              <w:ind w:firstLine="0"/>
              <w:jc w:val="center"/>
              <w:rPr>
                <w:b/>
                <w:bCs/>
              </w:rPr>
            </w:pPr>
            <w:r w:rsidRPr="009A6409">
              <w:rPr>
                <w:b/>
                <w:bCs/>
              </w:rPr>
              <w:t>Variable name</w:t>
            </w:r>
          </w:p>
        </w:tc>
        <w:tc>
          <w:tcPr>
            <w:tcW w:w="4950" w:type="dxa"/>
          </w:tcPr>
          <w:p w14:paraId="585B0842" w14:textId="74B614A5" w:rsidR="00AA22B5" w:rsidRPr="009A6409" w:rsidRDefault="00AA22B5" w:rsidP="002B011F">
            <w:pPr>
              <w:pStyle w:val="BodytextIndented"/>
              <w:ind w:firstLine="0"/>
              <w:jc w:val="center"/>
              <w:rPr>
                <w:b/>
                <w:bCs/>
              </w:rPr>
            </w:pPr>
            <w:r w:rsidRPr="009A6409">
              <w:rPr>
                <w:b/>
                <w:bCs/>
              </w:rPr>
              <w:t>Explanation</w:t>
            </w:r>
          </w:p>
        </w:tc>
        <w:tc>
          <w:tcPr>
            <w:tcW w:w="1084" w:type="dxa"/>
          </w:tcPr>
          <w:p w14:paraId="3758C13D" w14:textId="14C7E6FB" w:rsidR="00AA22B5" w:rsidRPr="009A6409" w:rsidRDefault="00AA22B5" w:rsidP="002B011F">
            <w:pPr>
              <w:pStyle w:val="BodytextIndented"/>
              <w:ind w:firstLine="0"/>
              <w:jc w:val="center"/>
              <w:rPr>
                <w:b/>
                <w:bCs/>
              </w:rPr>
            </w:pPr>
            <w:r w:rsidRPr="009A6409">
              <w:rPr>
                <w:b/>
                <w:bCs/>
              </w:rPr>
              <w:t>Unit</w:t>
            </w:r>
          </w:p>
        </w:tc>
      </w:tr>
      <w:tr w:rsidR="00AA22B5" w14:paraId="7B749B3F" w14:textId="77777777" w:rsidTr="002B011F">
        <w:trPr>
          <w:jc w:val="center"/>
        </w:trPr>
        <w:tc>
          <w:tcPr>
            <w:tcW w:w="1795" w:type="dxa"/>
          </w:tcPr>
          <w:p w14:paraId="31746EF5" w14:textId="7F84E03D" w:rsidR="00AA22B5" w:rsidRPr="00AA22B5" w:rsidRDefault="00AA22B5" w:rsidP="009A6409">
            <w:pPr>
              <w:pStyle w:val="BodytextIndented"/>
              <w:ind w:firstLine="0"/>
              <w:jc w:val="left"/>
            </w:pPr>
            <m:oMathPara>
              <m:oMathParaPr>
                <m:jc m:val="left"/>
              </m:oMathParaPr>
              <m:oMath>
                <m:r>
                  <w:rPr>
                    <w:rFonts w:ascii="Cambria Math" w:hAnsi="Cambria Math"/>
                    <w:color w:val="000000" w:themeColor="text1"/>
                    <w:sz w:val="18"/>
                    <w:szCs w:val="16"/>
                  </w:rPr>
                  <m:t>Total Cost</m:t>
                </m:r>
              </m:oMath>
            </m:oMathPara>
          </w:p>
        </w:tc>
        <w:tc>
          <w:tcPr>
            <w:tcW w:w="4950" w:type="dxa"/>
          </w:tcPr>
          <w:p w14:paraId="5AD16AE5" w14:textId="1188029F" w:rsidR="00AA22B5" w:rsidRDefault="00AA22B5" w:rsidP="00AA22B5">
            <w:pPr>
              <w:pStyle w:val="BodytextIndented"/>
              <w:ind w:firstLine="0"/>
            </w:pPr>
            <w:r>
              <w:t>Total Shipping Cost per annum</w:t>
            </w:r>
          </w:p>
        </w:tc>
        <w:tc>
          <w:tcPr>
            <w:tcW w:w="1084" w:type="dxa"/>
          </w:tcPr>
          <w:p w14:paraId="2EFEAE61" w14:textId="4C1A2BC8" w:rsidR="00AA22B5" w:rsidRDefault="00AA22B5" w:rsidP="009A6409">
            <w:pPr>
              <w:pStyle w:val="BodytextIndented"/>
              <w:ind w:firstLine="0"/>
              <w:jc w:val="center"/>
            </w:pPr>
            <w:r>
              <w:t>IDR</w:t>
            </w:r>
          </w:p>
        </w:tc>
      </w:tr>
      <w:tr w:rsidR="009A6409" w14:paraId="0F1B23C5" w14:textId="77777777" w:rsidTr="002B011F">
        <w:trPr>
          <w:jc w:val="center"/>
        </w:trPr>
        <w:tc>
          <w:tcPr>
            <w:tcW w:w="1795" w:type="dxa"/>
          </w:tcPr>
          <w:p w14:paraId="4374C230" w14:textId="107CD36F" w:rsidR="009A6409" w:rsidRPr="00AA22B5"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CapitalC</m:t>
                </m:r>
              </m:oMath>
            </m:oMathPara>
          </w:p>
        </w:tc>
        <w:tc>
          <w:tcPr>
            <w:tcW w:w="4950" w:type="dxa"/>
          </w:tcPr>
          <w:p w14:paraId="714A807A" w14:textId="65597D06" w:rsidR="009A6409" w:rsidRDefault="009A6409" w:rsidP="009A6409">
            <w:pPr>
              <w:pStyle w:val="BodytextIndented"/>
              <w:ind w:firstLine="0"/>
            </w:pPr>
            <w:r>
              <w:t>Capital Cost per annum</w:t>
            </w:r>
          </w:p>
        </w:tc>
        <w:tc>
          <w:tcPr>
            <w:tcW w:w="1084" w:type="dxa"/>
          </w:tcPr>
          <w:p w14:paraId="522FCEBE" w14:textId="2C984F12" w:rsidR="009A6409" w:rsidRDefault="009A6409" w:rsidP="009A6409">
            <w:pPr>
              <w:pStyle w:val="BodytextIndented"/>
              <w:ind w:firstLine="0"/>
              <w:jc w:val="center"/>
            </w:pPr>
            <w:r>
              <w:t>IDR</w:t>
            </w:r>
          </w:p>
        </w:tc>
      </w:tr>
      <w:tr w:rsidR="009A6409" w14:paraId="62586108" w14:textId="77777777" w:rsidTr="002B011F">
        <w:trPr>
          <w:jc w:val="center"/>
        </w:trPr>
        <w:tc>
          <w:tcPr>
            <w:tcW w:w="1795" w:type="dxa"/>
          </w:tcPr>
          <w:p w14:paraId="1F3800C1" w14:textId="1A5401C7" w:rsidR="009A6409" w:rsidRPr="00AA22B5"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w:lastRenderedPageBreak/>
                  <m:t>OperatingC</m:t>
                </m:r>
              </m:oMath>
            </m:oMathPara>
          </w:p>
        </w:tc>
        <w:tc>
          <w:tcPr>
            <w:tcW w:w="4950" w:type="dxa"/>
          </w:tcPr>
          <w:p w14:paraId="4281AAD4" w14:textId="6053C133" w:rsidR="009A6409" w:rsidRDefault="009A6409" w:rsidP="009A6409">
            <w:pPr>
              <w:pStyle w:val="BodytextIndented"/>
              <w:ind w:firstLine="0"/>
            </w:pPr>
            <w:r>
              <w:t>Fixed Operating Cost per annum</w:t>
            </w:r>
          </w:p>
        </w:tc>
        <w:tc>
          <w:tcPr>
            <w:tcW w:w="1084" w:type="dxa"/>
          </w:tcPr>
          <w:p w14:paraId="03836222" w14:textId="6A1E3509" w:rsidR="009A6409" w:rsidRDefault="009A6409" w:rsidP="009A6409">
            <w:pPr>
              <w:pStyle w:val="BodytextIndented"/>
              <w:ind w:firstLine="0"/>
              <w:jc w:val="center"/>
            </w:pPr>
            <w:r>
              <w:t>IDR</w:t>
            </w:r>
          </w:p>
        </w:tc>
      </w:tr>
      <w:tr w:rsidR="009A6409" w14:paraId="57C4C508" w14:textId="77777777" w:rsidTr="002B011F">
        <w:trPr>
          <w:jc w:val="center"/>
        </w:trPr>
        <w:tc>
          <w:tcPr>
            <w:tcW w:w="1795" w:type="dxa"/>
          </w:tcPr>
          <w:p w14:paraId="738F4FF6" w14:textId="173EEC0F" w:rsidR="009A6409" w:rsidRPr="00AA22B5"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VoyageC</m:t>
                </m:r>
              </m:oMath>
            </m:oMathPara>
          </w:p>
        </w:tc>
        <w:tc>
          <w:tcPr>
            <w:tcW w:w="4950" w:type="dxa"/>
          </w:tcPr>
          <w:p w14:paraId="5BFB8B53" w14:textId="1BAD06B3" w:rsidR="009A6409" w:rsidRDefault="009A6409" w:rsidP="009A6409">
            <w:pPr>
              <w:pStyle w:val="BodytextIndented"/>
              <w:ind w:firstLine="0"/>
            </w:pPr>
            <w:r>
              <w:t>Voyage Cost per annum</w:t>
            </w:r>
          </w:p>
        </w:tc>
        <w:tc>
          <w:tcPr>
            <w:tcW w:w="1084" w:type="dxa"/>
          </w:tcPr>
          <w:p w14:paraId="5C1CCBD6" w14:textId="23E58FC2" w:rsidR="009A6409" w:rsidRDefault="009A6409" w:rsidP="009A6409">
            <w:pPr>
              <w:pStyle w:val="BodytextIndented"/>
              <w:ind w:firstLine="0"/>
              <w:jc w:val="center"/>
            </w:pPr>
            <w:r>
              <w:t>IDR</w:t>
            </w:r>
          </w:p>
        </w:tc>
      </w:tr>
      <w:tr w:rsidR="009A6409" w14:paraId="216E7E9A" w14:textId="77777777" w:rsidTr="002B011F">
        <w:trPr>
          <w:jc w:val="center"/>
        </w:trPr>
        <w:tc>
          <w:tcPr>
            <w:tcW w:w="1795" w:type="dxa"/>
          </w:tcPr>
          <w:p w14:paraId="32C79A26" w14:textId="50386C6A" w:rsidR="009A6409" w:rsidRPr="00AA22B5"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CHC</m:t>
                </m:r>
              </m:oMath>
            </m:oMathPara>
          </w:p>
        </w:tc>
        <w:tc>
          <w:tcPr>
            <w:tcW w:w="4950" w:type="dxa"/>
          </w:tcPr>
          <w:p w14:paraId="2E718045" w14:textId="5B059834" w:rsidR="009A6409" w:rsidRDefault="009A6409" w:rsidP="009A6409">
            <w:pPr>
              <w:pStyle w:val="BodytextIndented"/>
              <w:ind w:firstLine="0"/>
            </w:pPr>
            <w:r>
              <w:t>Container Handling Charges per annum</w:t>
            </w:r>
          </w:p>
        </w:tc>
        <w:tc>
          <w:tcPr>
            <w:tcW w:w="1084" w:type="dxa"/>
          </w:tcPr>
          <w:p w14:paraId="53529016" w14:textId="38C8D820" w:rsidR="009A6409" w:rsidRDefault="009A6409" w:rsidP="009A6409">
            <w:pPr>
              <w:pStyle w:val="BodytextIndented"/>
              <w:ind w:firstLine="0"/>
              <w:jc w:val="center"/>
            </w:pPr>
            <w:r>
              <w:t>IDR</w:t>
            </w:r>
          </w:p>
        </w:tc>
      </w:tr>
      <w:tr w:rsidR="009A6409" w14:paraId="018DA2C5" w14:textId="77777777" w:rsidTr="002B011F">
        <w:trPr>
          <w:jc w:val="center"/>
        </w:trPr>
        <w:tc>
          <w:tcPr>
            <w:tcW w:w="1795" w:type="dxa"/>
          </w:tcPr>
          <w:p w14:paraId="26FB8EEC" w14:textId="7FB5CCB7" w:rsidR="009A6409" w:rsidRPr="009A6409"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Unit Cost (TEUs)</m:t>
                </m:r>
              </m:oMath>
            </m:oMathPara>
          </w:p>
        </w:tc>
        <w:tc>
          <w:tcPr>
            <w:tcW w:w="4950" w:type="dxa"/>
          </w:tcPr>
          <w:p w14:paraId="1BA6B752" w14:textId="3ACDE31F" w:rsidR="009A6409" w:rsidRDefault="009A6409" w:rsidP="009A6409">
            <w:pPr>
              <w:pStyle w:val="BodytextIndented"/>
              <w:ind w:firstLine="0"/>
            </w:pPr>
            <w:r>
              <w:t>Unit cost per Container</w:t>
            </w:r>
          </w:p>
        </w:tc>
        <w:tc>
          <w:tcPr>
            <w:tcW w:w="1084" w:type="dxa"/>
          </w:tcPr>
          <w:p w14:paraId="65D3987B" w14:textId="3DF2991B" w:rsidR="009A6409" w:rsidRDefault="009A6409" w:rsidP="009A6409">
            <w:pPr>
              <w:pStyle w:val="BodytextIndented"/>
              <w:ind w:firstLine="0"/>
              <w:jc w:val="center"/>
            </w:pPr>
            <w:r>
              <w:t>IDR/TEU</w:t>
            </w:r>
          </w:p>
        </w:tc>
      </w:tr>
      <w:tr w:rsidR="009A6409" w14:paraId="0E29D9EB" w14:textId="77777777" w:rsidTr="002B011F">
        <w:trPr>
          <w:jc w:val="center"/>
        </w:trPr>
        <w:tc>
          <w:tcPr>
            <w:tcW w:w="1795" w:type="dxa"/>
          </w:tcPr>
          <w:p w14:paraId="31AA0B40" w14:textId="1EAD06B0" w:rsidR="009A6409" w:rsidRPr="009A6409"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Ship Capacity</m:t>
                </m:r>
              </m:oMath>
            </m:oMathPara>
          </w:p>
        </w:tc>
        <w:tc>
          <w:tcPr>
            <w:tcW w:w="4950" w:type="dxa"/>
          </w:tcPr>
          <w:p w14:paraId="637E6C1E" w14:textId="4C688554" w:rsidR="009A6409" w:rsidRDefault="009A6409" w:rsidP="009A6409">
            <w:pPr>
              <w:pStyle w:val="BodytextIndented"/>
              <w:ind w:firstLine="0"/>
            </w:pPr>
            <w:r>
              <w:t>Container Ship Capacity</w:t>
            </w:r>
          </w:p>
        </w:tc>
        <w:tc>
          <w:tcPr>
            <w:tcW w:w="1084" w:type="dxa"/>
          </w:tcPr>
          <w:p w14:paraId="0406A663" w14:textId="33C3C799" w:rsidR="009A6409" w:rsidRDefault="009A6409" w:rsidP="009A6409">
            <w:pPr>
              <w:pStyle w:val="BodytextIndented"/>
              <w:ind w:firstLine="0"/>
              <w:jc w:val="center"/>
            </w:pPr>
            <w:r>
              <w:t>TEU’s</w:t>
            </w:r>
          </w:p>
        </w:tc>
      </w:tr>
      <w:tr w:rsidR="009A6409" w14:paraId="4E34294B" w14:textId="77777777" w:rsidTr="002B011F">
        <w:trPr>
          <w:jc w:val="center"/>
        </w:trPr>
        <w:tc>
          <w:tcPr>
            <w:tcW w:w="1795" w:type="dxa"/>
          </w:tcPr>
          <w:p w14:paraId="4EF1AACD" w14:textId="157EED23" w:rsidR="009A6409" w:rsidRPr="009A6409"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Freq</m:t>
                </m:r>
              </m:oMath>
            </m:oMathPara>
          </w:p>
        </w:tc>
        <w:tc>
          <w:tcPr>
            <w:tcW w:w="4950" w:type="dxa"/>
          </w:tcPr>
          <w:p w14:paraId="283251D7" w14:textId="34F456DA" w:rsidR="009A6409" w:rsidRDefault="009A6409" w:rsidP="009A6409">
            <w:pPr>
              <w:pStyle w:val="BodytextIndented"/>
              <w:ind w:firstLine="0"/>
            </w:pPr>
            <w:r>
              <w:t>Frequency of service (Ship’s call) per annum</w:t>
            </w:r>
          </w:p>
        </w:tc>
        <w:tc>
          <w:tcPr>
            <w:tcW w:w="1084" w:type="dxa"/>
          </w:tcPr>
          <w:p w14:paraId="2D7A7701" w14:textId="77777777" w:rsidR="009A6409" w:rsidRDefault="009A6409" w:rsidP="009A6409">
            <w:pPr>
              <w:pStyle w:val="BodytextIndented"/>
              <w:ind w:firstLine="0"/>
              <w:jc w:val="center"/>
            </w:pPr>
          </w:p>
        </w:tc>
      </w:tr>
      <w:tr w:rsidR="009A6409" w14:paraId="3CDBA433" w14:textId="77777777" w:rsidTr="002B011F">
        <w:trPr>
          <w:jc w:val="center"/>
        </w:trPr>
        <w:tc>
          <w:tcPr>
            <w:tcW w:w="1795" w:type="dxa"/>
          </w:tcPr>
          <w:p w14:paraId="2D217EF6" w14:textId="49D45520" w:rsidR="009A6409" w:rsidRPr="009A6409" w:rsidRDefault="009A6409" w:rsidP="009A6409">
            <w:pPr>
              <w:pStyle w:val="BodytextIndented"/>
              <w:ind w:firstLine="0"/>
              <w:jc w:val="left"/>
            </w:pPr>
            <m:oMathPara>
              <m:oMathParaPr>
                <m:jc m:val="left"/>
              </m:oMathParaPr>
              <m:oMath>
                <m:r>
                  <w:rPr>
                    <w:rFonts w:ascii="Cambria Math" w:hAnsi="Cambria Math"/>
                    <w:color w:val="000000" w:themeColor="text1"/>
                    <w:sz w:val="18"/>
                    <w:szCs w:val="16"/>
                  </w:rPr>
                  <m:t>Distance</m:t>
                </m:r>
              </m:oMath>
            </m:oMathPara>
          </w:p>
        </w:tc>
        <w:tc>
          <w:tcPr>
            <w:tcW w:w="4950" w:type="dxa"/>
          </w:tcPr>
          <w:p w14:paraId="79107D81" w14:textId="5E0487A2" w:rsidR="009A6409" w:rsidRDefault="009A6409" w:rsidP="009A6409">
            <w:pPr>
              <w:pStyle w:val="BodytextIndented"/>
              <w:ind w:firstLine="0"/>
            </w:pPr>
            <w:r>
              <w:t xml:space="preserve">Total distance </w:t>
            </w:r>
            <w:r w:rsidR="002B011F">
              <w:t>travelled</w:t>
            </w:r>
            <w:r>
              <w:t xml:space="preserve"> per route</w:t>
            </w:r>
          </w:p>
        </w:tc>
        <w:tc>
          <w:tcPr>
            <w:tcW w:w="1084" w:type="dxa"/>
          </w:tcPr>
          <w:p w14:paraId="08ABAB6A" w14:textId="70C6A62C" w:rsidR="009A6409" w:rsidRDefault="009A6409" w:rsidP="009A6409">
            <w:pPr>
              <w:pStyle w:val="BodytextIndented"/>
              <w:ind w:firstLine="0"/>
              <w:jc w:val="center"/>
            </w:pPr>
            <w:proofErr w:type="gramStart"/>
            <w:r>
              <w:t>N.miles</w:t>
            </w:r>
            <w:proofErr w:type="gramEnd"/>
          </w:p>
        </w:tc>
      </w:tr>
      <w:tr w:rsidR="009A6409" w14:paraId="264801C7" w14:textId="77777777" w:rsidTr="002B011F">
        <w:trPr>
          <w:jc w:val="center"/>
        </w:trPr>
        <w:tc>
          <w:tcPr>
            <w:tcW w:w="1795" w:type="dxa"/>
          </w:tcPr>
          <w:p w14:paraId="51371630" w14:textId="0146724D" w:rsidR="009A6409" w:rsidRPr="002B011F" w:rsidRDefault="002B011F" w:rsidP="009A6409">
            <w:pPr>
              <w:pStyle w:val="BodytextIndented"/>
              <w:ind w:firstLine="0"/>
              <w:jc w:val="left"/>
            </w:pPr>
            <m:oMathPara>
              <m:oMathParaPr>
                <m:jc m:val="left"/>
              </m:oMathParaPr>
              <m:oMath>
                <m:r>
                  <w:rPr>
                    <w:rFonts w:ascii="Cambria Math" w:hAnsi="Cambria Math"/>
                    <w:color w:val="000000" w:themeColor="text1"/>
                    <w:sz w:val="18"/>
                    <w:szCs w:val="16"/>
                  </w:rPr>
                  <m:t>Ship Population</m:t>
                </m:r>
              </m:oMath>
            </m:oMathPara>
          </w:p>
        </w:tc>
        <w:tc>
          <w:tcPr>
            <w:tcW w:w="4950" w:type="dxa"/>
          </w:tcPr>
          <w:p w14:paraId="495B0B39" w14:textId="651F30C0" w:rsidR="009A6409" w:rsidRDefault="002B011F" w:rsidP="009A6409">
            <w:pPr>
              <w:pStyle w:val="BodytextIndented"/>
              <w:ind w:firstLine="0"/>
            </w:pPr>
            <w:r>
              <w:t xml:space="preserve">Number of container ships operating </w:t>
            </w:r>
            <w:proofErr w:type="gramStart"/>
            <w:r>
              <w:t>in</w:t>
            </w:r>
            <w:proofErr w:type="gramEnd"/>
            <w:r>
              <w:t xml:space="preserve"> a particular route</w:t>
            </w:r>
          </w:p>
        </w:tc>
        <w:tc>
          <w:tcPr>
            <w:tcW w:w="1084" w:type="dxa"/>
          </w:tcPr>
          <w:p w14:paraId="44CA771A" w14:textId="7A44BB8F" w:rsidR="009A6409" w:rsidRDefault="00780DB2" w:rsidP="009A6409">
            <w:pPr>
              <w:pStyle w:val="BodytextIndented"/>
              <w:ind w:firstLine="0"/>
              <w:jc w:val="center"/>
            </w:pPr>
            <w:r>
              <w:t>U</w:t>
            </w:r>
            <w:r w:rsidR="002B011F">
              <w:t>nit</w:t>
            </w:r>
            <w:r>
              <w:t xml:space="preserve"> of Ships</w:t>
            </w:r>
          </w:p>
        </w:tc>
      </w:tr>
    </w:tbl>
    <w:p w14:paraId="61B91029" w14:textId="1FA3F979" w:rsidR="00AA22B5" w:rsidRPr="00AA22B5" w:rsidRDefault="00AA22B5" w:rsidP="00ED3FC4">
      <w:pPr>
        <w:pStyle w:val="BodytextIndented"/>
        <w:ind w:firstLine="360"/>
        <w:rPr>
          <w:color w:val="000000" w:themeColor="text1"/>
          <w:sz w:val="18"/>
          <w:szCs w:val="16"/>
        </w:rPr>
      </w:pPr>
    </w:p>
    <w:p w14:paraId="195003D5" w14:textId="6222879A" w:rsidR="00ED3FC4" w:rsidRDefault="00ED3FC4" w:rsidP="00ED3FC4">
      <w:pPr>
        <w:pStyle w:val="BodytextIndented"/>
        <w:ind w:firstLine="360"/>
      </w:pPr>
      <w:r>
        <w:t xml:space="preserve">To complete the voyage analysis on the calculation of the domestic container ships fleet, a sensitivity analysis of the unit cost was carried out against the load factor and fuel price. </w:t>
      </w:r>
      <w:r w:rsidR="00881507">
        <w:t>Both</w:t>
      </w:r>
      <w:r>
        <w:t xml:space="preserve"> variables are variables that greatly influence the freight rate fluctuation. Then the supply curve analysis is carried out. The quantity component is the container fleet's capacity, while the price component represents the prevailing freight rate. Freight rates are obtained by conducting interviews and collecting primary and secondary data. An </w:t>
      </w:r>
      <w:proofErr w:type="gramStart"/>
      <w:r>
        <w:t>elasticity</w:t>
      </w:r>
      <w:proofErr w:type="gramEnd"/>
      <w:r>
        <w:t xml:space="preserve"> analysis using the mid-point elasticity method is also carried out (equation 3.3).</w:t>
      </w:r>
    </w:p>
    <w:p w14:paraId="2DAFD480" w14:textId="77777777" w:rsidR="00ED3FC4" w:rsidRDefault="00ED3FC4" w:rsidP="00ED3FC4">
      <w:pPr>
        <w:pStyle w:val="BodytextIndented"/>
        <w:ind w:firstLine="360"/>
      </w:pPr>
      <w:r>
        <w:t>The next stage is market equilibrium analysis which is based on short-run conditions. The input at this stage is the calculation output generated in the previous stage, both from the demand and supply side. The combination of the two is carried out and analyzed to determine the domestic container shipping industry's equilibrium. The market has its equilibrium only if there is an intersection point between the demand and supply curves. If there is no intersection point (equilibrium point), then the market is said to be unbalanced. An unbalanced market means that the market is experiencing an oversupply (when the demand curve is above the supply curve) or shortage (when the supply curve is above the demand curve). Based on the literature study in sub-chapter 2.4, the supply curve will shift horizontally so that there is a meeting point (equilibrium point) to the demand curve so that there is a balance. So that if there is an imbalance in the market, the supply side will adjust the imbalance.</w:t>
      </w:r>
    </w:p>
    <w:p w14:paraId="0501111F" w14:textId="5D1BABBA" w:rsidR="00533242" w:rsidRDefault="00ED3FC4" w:rsidP="00ED3FC4">
      <w:pPr>
        <w:pStyle w:val="BodytextIndented"/>
        <w:ind w:firstLine="360"/>
      </w:pPr>
      <w:r>
        <w:t xml:space="preserve">The analysis is carried out mathematically using the parabolic equation method. The x-axis is the quantity variable, while the y-axis is the shipping rate variable. The demand curve is arranged into a demand function </w:t>
      </w:r>
      <w:r w:rsidR="0093521A">
        <w:t>(</w:t>
      </w:r>
      <w:r w:rsidR="0093521A" w:rsidRPr="0093521A">
        <w:rPr>
          <w:i/>
          <w:iCs w:val="0"/>
        </w:rPr>
        <w:t>D</w:t>
      </w:r>
      <w:r w:rsidR="0093521A">
        <w:t xml:space="preserve">) </w:t>
      </w:r>
      <w:r>
        <w:t>with a quadratic equation as follows</w:t>
      </w:r>
      <w:r w:rsidR="006C25FD">
        <w:t>:</w:t>
      </w:r>
    </w:p>
    <w:p w14:paraId="3B209FD9" w14:textId="77777777" w:rsidR="00556B3C" w:rsidRDefault="00556B3C" w:rsidP="00ED3FC4">
      <w:pPr>
        <w:pStyle w:val="BodytextIndented"/>
        <w:ind w:firstLine="360"/>
      </w:pPr>
    </w:p>
    <w:tbl>
      <w:tblPr>
        <w:tblStyle w:val="TableGrid"/>
        <w:tblW w:w="778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840"/>
      </w:tblGrid>
      <w:tr w:rsidR="00857389" w:rsidRPr="00D835C0" w14:paraId="3A79B131" w14:textId="77777777" w:rsidTr="00024255">
        <w:tc>
          <w:tcPr>
            <w:tcW w:w="6945" w:type="dxa"/>
          </w:tcPr>
          <w:p w14:paraId="1FFC443A" w14:textId="36E75FAA" w:rsidR="00857389" w:rsidRPr="008F6962" w:rsidRDefault="0093521A" w:rsidP="00024255">
            <w:pPr>
              <w:spacing w:line="360" w:lineRule="auto"/>
              <w:ind w:right="-1" w:firstLine="608"/>
              <w:contextualSpacing/>
              <w:jc w:val="both"/>
              <w:rPr>
                <w:rFonts w:eastAsia="Calibri"/>
                <w:i/>
                <w:color w:val="000000" w:themeColor="text1"/>
                <w:sz w:val="20"/>
                <w:szCs w:val="18"/>
                <w:lang w:val="en-US"/>
              </w:rPr>
            </w:pPr>
            <m:oMath>
              <m:r>
                <w:rPr>
                  <w:rFonts w:ascii="Cambria Math" w:hAnsi="Cambria Math"/>
                  <w:color w:val="000000" w:themeColor="text1"/>
                  <w:sz w:val="20"/>
                  <w:szCs w:val="18"/>
                </w:rPr>
                <m:t>D</m:t>
              </m:r>
              <m:r>
                <m:rPr>
                  <m:sty m:val="p"/>
                </m:rPr>
                <w:rPr>
                  <w:rFonts w:ascii="Cambria Math" w:hAnsi="Cambria Math"/>
                  <w:color w:val="000000" w:themeColor="text1"/>
                  <w:sz w:val="20"/>
                  <w:szCs w:val="18"/>
                </w:rPr>
                <m:t xml:space="preserve"> = </m:t>
              </m:r>
              <m:r>
                <w:rPr>
                  <w:rFonts w:ascii="Cambria Math" w:hAnsi="Cambria Math"/>
                  <w:color w:val="000000" w:themeColor="text1"/>
                  <w:sz w:val="20"/>
                  <w:szCs w:val="18"/>
                </w:rPr>
                <m:t xml:space="preserve">f(x)= </m:t>
              </m:r>
            </m:oMath>
            <w:bookmarkStart w:id="2" w:name="_Hlk201514280"/>
            <w:r w:rsidR="00857389">
              <w:rPr>
                <w:rFonts w:eastAsia="Calibri"/>
                <w:i/>
                <w:color w:val="000000" w:themeColor="text1"/>
                <w:sz w:val="20"/>
                <w:szCs w:val="18"/>
                <w:lang w:val="en-US"/>
              </w:rPr>
              <w:t>ax</w:t>
            </w:r>
            <w:r w:rsidR="00857389" w:rsidRPr="008F6962">
              <w:rPr>
                <w:rFonts w:eastAsia="Calibri"/>
                <w:i/>
                <w:color w:val="000000" w:themeColor="text1"/>
                <w:sz w:val="20"/>
                <w:szCs w:val="18"/>
                <w:vertAlign w:val="superscript"/>
                <w:lang w:val="en-US"/>
              </w:rPr>
              <w:t>2</w:t>
            </w:r>
            <w:r w:rsidR="00857389">
              <w:rPr>
                <w:rFonts w:eastAsia="Calibri"/>
                <w:i/>
                <w:color w:val="000000" w:themeColor="text1"/>
                <w:sz w:val="20"/>
                <w:szCs w:val="18"/>
                <w:lang w:val="en-US"/>
              </w:rPr>
              <w:t xml:space="preserve"> + bx + c </w:t>
            </w:r>
            <w:bookmarkEnd w:id="2"/>
          </w:p>
        </w:tc>
        <w:tc>
          <w:tcPr>
            <w:tcW w:w="840" w:type="dxa"/>
            <w:vAlign w:val="center"/>
          </w:tcPr>
          <w:p w14:paraId="2BD2364B" w14:textId="273FC0B5" w:rsidR="00857389" w:rsidRPr="00D835C0" w:rsidRDefault="00857389" w:rsidP="00024255">
            <w:pPr>
              <w:pStyle w:val="ListParagraph"/>
              <w:spacing w:line="360" w:lineRule="auto"/>
              <w:ind w:left="0"/>
              <w:jc w:val="both"/>
              <w:rPr>
                <w:bCs/>
                <w:color w:val="000000" w:themeColor="text1"/>
              </w:rPr>
            </w:pPr>
            <w:r w:rsidRPr="00D835C0">
              <w:rPr>
                <w:bCs/>
                <w:color w:val="000000" w:themeColor="text1"/>
                <w:sz w:val="20"/>
                <w:szCs w:val="20"/>
              </w:rPr>
              <w:t>(3.</w:t>
            </w:r>
            <w:r w:rsidR="00AD21F3">
              <w:rPr>
                <w:bCs/>
                <w:color w:val="000000" w:themeColor="text1"/>
                <w:sz w:val="20"/>
                <w:szCs w:val="20"/>
                <w:lang w:val="en-US"/>
              </w:rPr>
              <w:t>9</w:t>
            </w:r>
            <w:r w:rsidRPr="00D835C0">
              <w:rPr>
                <w:bCs/>
                <w:color w:val="000000" w:themeColor="text1"/>
                <w:sz w:val="20"/>
                <w:szCs w:val="20"/>
              </w:rPr>
              <w:t>)</w:t>
            </w:r>
          </w:p>
        </w:tc>
      </w:tr>
    </w:tbl>
    <w:p w14:paraId="44483D6E" w14:textId="1F34523C" w:rsidR="00574395" w:rsidRPr="00574395" w:rsidRDefault="00574395" w:rsidP="00B67BAB">
      <w:pPr>
        <w:pStyle w:val="BodytextIndented"/>
        <w:ind w:firstLine="360"/>
        <w:rPr>
          <w:iCs w:val="0"/>
        </w:rPr>
      </w:pPr>
      <w:r>
        <w:t xml:space="preserve">Where </w:t>
      </w:r>
      <w:r>
        <w:rPr>
          <w:rFonts w:eastAsia="Calibri"/>
          <w:i/>
          <w:color w:val="000000" w:themeColor="text1"/>
          <w:sz w:val="20"/>
          <w:szCs w:val="18"/>
        </w:rPr>
        <w:t xml:space="preserve">a, b, c </w:t>
      </w:r>
      <w:r>
        <w:rPr>
          <w:rFonts w:eastAsia="Calibri"/>
          <w:iCs w:val="0"/>
          <w:color w:val="000000" w:themeColor="text1"/>
          <w:sz w:val="20"/>
          <w:szCs w:val="18"/>
        </w:rPr>
        <w:t>are parameters of demand function to be determined.</w:t>
      </w:r>
    </w:p>
    <w:p w14:paraId="05390C11" w14:textId="77777777" w:rsidR="00574395" w:rsidRDefault="00574395" w:rsidP="00B67BAB">
      <w:pPr>
        <w:pStyle w:val="BodytextIndented"/>
        <w:ind w:firstLine="360"/>
      </w:pPr>
    </w:p>
    <w:p w14:paraId="2DC11763" w14:textId="24E53CD2" w:rsidR="00B67BAB" w:rsidRDefault="00B67BAB" w:rsidP="00B67BAB">
      <w:pPr>
        <w:pStyle w:val="BodytextIndented"/>
        <w:ind w:firstLine="360"/>
      </w:pPr>
      <w:r>
        <w:t>Then the supply curve is also arranged into a supply function</w:t>
      </w:r>
      <w:r w:rsidR="00574395">
        <w:t xml:space="preserve"> (</w:t>
      </w:r>
      <w:r w:rsidR="00574395" w:rsidRPr="00574395">
        <w:rPr>
          <w:i/>
          <w:iCs w:val="0"/>
        </w:rPr>
        <w:t>S</w:t>
      </w:r>
      <w:r w:rsidR="00574395">
        <w:t>)</w:t>
      </w:r>
      <w:r>
        <w:t xml:space="preserve"> with the quadratic equation as follows</w:t>
      </w:r>
      <w:r w:rsidR="006C25FD">
        <w:t>:</w:t>
      </w:r>
    </w:p>
    <w:p w14:paraId="29774F53" w14:textId="77777777" w:rsidR="00233079" w:rsidRDefault="00233079" w:rsidP="00B67BAB">
      <w:pPr>
        <w:pStyle w:val="BodytextIndented"/>
        <w:ind w:firstLine="360"/>
      </w:pPr>
    </w:p>
    <w:tbl>
      <w:tblPr>
        <w:tblStyle w:val="TableGrid"/>
        <w:tblW w:w="778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840"/>
      </w:tblGrid>
      <w:tr w:rsidR="00B67BAB" w:rsidRPr="00D835C0" w14:paraId="7F8300D6" w14:textId="77777777" w:rsidTr="00024255">
        <w:tc>
          <w:tcPr>
            <w:tcW w:w="6945" w:type="dxa"/>
          </w:tcPr>
          <w:p w14:paraId="00417CA1" w14:textId="1A4D9CC9" w:rsidR="00B67BAB" w:rsidRPr="008F6962" w:rsidRDefault="0093521A" w:rsidP="00024255">
            <w:pPr>
              <w:spacing w:line="360" w:lineRule="auto"/>
              <w:ind w:right="-1" w:firstLine="608"/>
              <w:contextualSpacing/>
              <w:jc w:val="both"/>
              <w:rPr>
                <w:rFonts w:eastAsia="Calibri"/>
                <w:i/>
                <w:color w:val="000000" w:themeColor="text1"/>
                <w:sz w:val="20"/>
                <w:szCs w:val="18"/>
                <w:lang w:val="en-US"/>
              </w:rPr>
            </w:pPr>
            <m:oMath>
              <m:r>
                <w:rPr>
                  <w:rFonts w:ascii="Cambria Math" w:hAnsi="Cambria Math"/>
                  <w:color w:val="000000" w:themeColor="text1"/>
                  <w:sz w:val="20"/>
                  <w:szCs w:val="18"/>
                </w:rPr>
                <m:t>S =f(x)= i</m:t>
              </m:r>
            </m:oMath>
            <w:r w:rsidR="00B67BAB">
              <w:rPr>
                <w:rFonts w:eastAsia="Calibri"/>
                <w:i/>
                <w:color w:val="000000" w:themeColor="text1"/>
                <w:sz w:val="20"/>
                <w:szCs w:val="18"/>
                <w:lang w:val="en-US"/>
              </w:rPr>
              <w:t>x</w:t>
            </w:r>
            <w:r w:rsidR="00B67BAB" w:rsidRPr="008F6962">
              <w:rPr>
                <w:rFonts w:eastAsia="Calibri"/>
                <w:i/>
                <w:color w:val="000000" w:themeColor="text1"/>
                <w:sz w:val="20"/>
                <w:szCs w:val="18"/>
                <w:vertAlign w:val="superscript"/>
                <w:lang w:val="en-US"/>
              </w:rPr>
              <w:t>2</w:t>
            </w:r>
            <w:r w:rsidR="00B67BAB">
              <w:rPr>
                <w:rFonts w:eastAsia="Calibri"/>
                <w:i/>
                <w:color w:val="000000" w:themeColor="text1"/>
                <w:sz w:val="20"/>
                <w:szCs w:val="18"/>
                <w:lang w:val="en-US"/>
              </w:rPr>
              <w:t xml:space="preserve"> + jx + k </w:t>
            </w:r>
          </w:p>
        </w:tc>
        <w:tc>
          <w:tcPr>
            <w:tcW w:w="840" w:type="dxa"/>
            <w:vAlign w:val="center"/>
          </w:tcPr>
          <w:p w14:paraId="6B56E458" w14:textId="4A587080" w:rsidR="00B67BAB" w:rsidRPr="00D835C0" w:rsidRDefault="00B67BAB" w:rsidP="00024255">
            <w:pPr>
              <w:pStyle w:val="ListParagraph"/>
              <w:spacing w:line="360" w:lineRule="auto"/>
              <w:ind w:left="0"/>
              <w:jc w:val="both"/>
              <w:rPr>
                <w:bCs/>
                <w:color w:val="000000" w:themeColor="text1"/>
              </w:rPr>
            </w:pPr>
            <w:r w:rsidRPr="00D835C0">
              <w:rPr>
                <w:bCs/>
                <w:color w:val="000000" w:themeColor="text1"/>
                <w:sz w:val="20"/>
                <w:szCs w:val="20"/>
              </w:rPr>
              <w:t>(3.</w:t>
            </w:r>
            <w:r w:rsidR="00AD21F3">
              <w:rPr>
                <w:bCs/>
                <w:color w:val="000000" w:themeColor="text1"/>
                <w:sz w:val="20"/>
                <w:szCs w:val="20"/>
                <w:lang w:val="en-US"/>
              </w:rPr>
              <w:t>10</w:t>
            </w:r>
            <w:r w:rsidRPr="00D835C0">
              <w:rPr>
                <w:bCs/>
                <w:color w:val="000000" w:themeColor="text1"/>
                <w:sz w:val="20"/>
                <w:szCs w:val="20"/>
              </w:rPr>
              <w:t>)</w:t>
            </w:r>
          </w:p>
        </w:tc>
      </w:tr>
    </w:tbl>
    <w:p w14:paraId="2F68181B" w14:textId="53B4C7B3" w:rsidR="0093521A" w:rsidRDefault="00574395" w:rsidP="00B67BAB">
      <w:pPr>
        <w:pStyle w:val="BodytextIndented"/>
        <w:ind w:firstLine="360"/>
      </w:pPr>
      <w:r>
        <w:t xml:space="preserve">Where </w:t>
      </w:r>
      <w:r w:rsidR="00CB2A68">
        <w:rPr>
          <w:rFonts w:eastAsia="Calibri"/>
          <w:i/>
          <w:color w:val="000000" w:themeColor="text1"/>
          <w:sz w:val="20"/>
          <w:szCs w:val="18"/>
        </w:rPr>
        <w:t>i</w:t>
      </w:r>
      <w:r>
        <w:rPr>
          <w:rFonts w:eastAsia="Calibri"/>
          <w:i/>
          <w:color w:val="000000" w:themeColor="text1"/>
          <w:sz w:val="20"/>
          <w:szCs w:val="18"/>
        </w:rPr>
        <w:t xml:space="preserve">, j, k </w:t>
      </w:r>
      <w:r>
        <w:rPr>
          <w:rFonts w:eastAsia="Calibri"/>
          <w:iCs w:val="0"/>
          <w:color w:val="000000" w:themeColor="text1"/>
          <w:sz w:val="20"/>
          <w:szCs w:val="18"/>
        </w:rPr>
        <w:t>are parameters of supply function to be determined</w:t>
      </w:r>
    </w:p>
    <w:p w14:paraId="2CF833F2" w14:textId="77777777" w:rsidR="00574395" w:rsidRDefault="00574395" w:rsidP="00B67BAB">
      <w:pPr>
        <w:pStyle w:val="BodytextIndented"/>
        <w:ind w:firstLine="360"/>
      </w:pPr>
    </w:p>
    <w:p w14:paraId="30B6B5F2" w14:textId="5CD3F471" w:rsidR="00B67BAB" w:rsidRDefault="00B67BAB" w:rsidP="00B67BAB">
      <w:pPr>
        <w:pStyle w:val="BodytextIndented"/>
        <w:ind w:firstLine="360"/>
      </w:pPr>
      <w:r>
        <w:t xml:space="preserve">Furthermore, by using the quadratic non-linear equation method, the </w:t>
      </w:r>
      <w:r w:rsidRPr="003709F3">
        <w:rPr>
          <w:i/>
          <w:iCs w:val="0"/>
        </w:rPr>
        <w:t>x</w:t>
      </w:r>
      <w:r>
        <w:t xml:space="preserve"> roots of the demand and supply function equation are obtained as follows</w:t>
      </w:r>
      <w:r w:rsidR="00574395">
        <w:t>:</w:t>
      </w:r>
    </w:p>
    <w:p w14:paraId="55F7FECC" w14:textId="77777777" w:rsidR="00556B3C" w:rsidRDefault="00556B3C" w:rsidP="00B67BAB">
      <w:pPr>
        <w:pStyle w:val="BodytextIndented"/>
        <w:ind w:firstLine="360"/>
      </w:pPr>
    </w:p>
    <w:tbl>
      <w:tblPr>
        <w:tblStyle w:val="TableGrid"/>
        <w:tblW w:w="778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840"/>
      </w:tblGrid>
      <w:tr w:rsidR="00B67BAB" w:rsidRPr="00D835C0" w14:paraId="5FFCA676" w14:textId="77777777" w:rsidTr="00024255">
        <w:tc>
          <w:tcPr>
            <w:tcW w:w="6945" w:type="dxa"/>
          </w:tcPr>
          <w:p w14:paraId="04E2797A" w14:textId="77777777" w:rsidR="00B67BAB" w:rsidRPr="00826219" w:rsidRDefault="00000000" w:rsidP="00024255">
            <w:pPr>
              <w:spacing w:line="360" w:lineRule="auto"/>
              <w:ind w:left="603" w:right="-1" w:firstLine="142"/>
              <w:contextualSpacing/>
              <w:jc w:val="both"/>
              <w:rPr>
                <w:color w:val="000000" w:themeColor="text1"/>
                <w:szCs w:val="20"/>
                <w:lang w:val="en-US"/>
              </w:rPr>
            </w:pPr>
            <m:oMathPara>
              <m:oMathParaPr>
                <m:jc m:val="left"/>
              </m:oMathParaPr>
              <m:oMath>
                <m:d>
                  <m:dPr>
                    <m:ctrlPr>
                      <w:rPr>
                        <w:rFonts w:ascii="Cambria Math" w:hAnsi="Cambria Math"/>
                        <w:i/>
                        <w:color w:val="000000" w:themeColor="text1"/>
                        <w:szCs w:val="20"/>
                      </w:rPr>
                    </m:ctrlPr>
                  </m:dPr>
                  <m:e>
                    <m:r>
                      <w:rPr>
                        <w:rFonts w:ascii="Cambria Math" w:hAnsi="Cambria Math"/>
                        <w:color w:val="000000" w:themeColor="text1"/>
                        <w:szCs w:val="20"/>
                      </w:rPr>
                      <m:t>a-i</m:t>
                    </m:r>
                  </m:e>
                </m:d>
                <m:sSup>
                  <m:sSupPr>
                    <m:ctrlPr>
                      <w:rPr>
                        <w:rFonts w:ascii="Cambria Math" w:hAnsi="Cambria Math"/>
                        <w:i/>
                        <w:color w:val="000000" w:themeColor="text1"/>
                        <w:szCs w:val="20"/>
                      </w:rPr>
                    </m:ctrlPr>
                  </m:sSupPr>
                  <m:e>
                    <m:r>
                      <w:rPr>
                        <w:rFonts w:ascii="Cambria Math" w:hAnsi="Cambria Math"/>
                        <w:color w:val="000000" w:themeColor="text1"/>
                        <w:szCs w:val="20"/>
                      </w:rPr>
                      <m:t>x</m:t>
                    </m:r>
                  </m:e>
                  <m:sup>
                    <m:r>
                      <w:rPr>
                        <w:rFonts w:ascii="Cambria Math" w:hAnsi="Cambria Math"/>
                        <w:color w:val="000000" w:themeColor="text1"/>
                        <w:szCs w:val="20"/>
                      </w:rPr>
                      <m:t>2</m:t>
                    </m:r>
                  </m:sup>
                </m:sSup>
                <m:r>
                  <w:rPr>
                    <w:rFonts w:ascii="Cambria Math" w:hAnsi="Cambria Math"/>
                    <w:color w:val="000000" w:themeColor="text1"/>
                    <w:szCs w:val="20"/>
                  </w:rPr>
                  <m:t>+</m:t>
                </m:r>
                <m:d>
                  <m:dPr>
                    <m:ctrlPr>
                      <w:rPr>
                        <w:rFonts w:ascii="Cambria Math" w:hAnsi="Cambria Math"/>
                        <w:i/>
                        <w:color w:val="000000" w:themeColor="text1"/>
                        <w:szCs w:val="20"/>
                      </w:rPr>
                    </m:ctrlPr>
                  </m:dPr>
                  <m:e>
                    <m:r>
                      <w:rPr>
                        <w:rFonts w:ascii="Cambria Math" w:hAnsi="Cambria Math"/>
                        <w:color w:val="000000" w:themeColor="text1"/>
                        <w:szCs w:val="20"/>
                      </w:rPr>
                      <m:t>b-j</m:t>
                    </m:r>
                  </m:e>
                </m:d>
                <m:r>
                  <w:rPr>
                    <w:rFonts w:ascii="Cambria Math" w:hAnsi="Cambria Math"/>
                    <w:color w:val="000000" w:themeColor="text1"/>
                    <w:szCs w:val="20"/>
                  </w:rPr>
                  <m:t>x+c-k= 0</m:t>
                </m:r>
              </m:oMath>
            </m:oMathPara>
          </w:p>
        </w:tc>
        <w:tc>
          <w:tcPr>
            <w:tcW w:w="840" w:type="dxa"/>
            <w:vAlign w:val="center"/>
          </w:tcPr>
          <w:p w14:paraId="7F5AF883" w14:textId="73291AF6" w:rsidR="00B67BAB" w:rsidRPr="009D3A24" w:rsidRDefault="00B67BAB" w:rsidP="00024255">
            <w:pPr>
              <w:pStyle w:val="ListParagraph"/>
              <w:spacing w:line="360" w:lineRule="auto"/>
              <w:ind w:left="0"/>
              <w:jc w:val="both"/>
              <w:rPr>
                <w:bCs/>
                <w:color w:val="000000" w:themeColor="text1"/>
                <w:sz w:val="20"/>
                <w:szCs w:val="20"/>
                <w:lang w:val="en-US"/>
              </w:rPr>
            </w:pPr>
            <w:r>
              <w:rPr>
                <w:bCs/>
                <w:color w:val="000000" w:themeColor="text1"/>
                <w:sz w:val="20"/>
                <w:szCs w:val="20"/>
                <w:lang w:val="en-US"/>
              </w:rPr>
              <w:t>(3.1</w:t>
            </w:r>
            <w:r w:rsidR="00AD21F3">
              <w:rPr>
                <w:bCs/>
                <w:color w:val="000000" w:themeColor="text1"/>
                <w:sz w:val="20"/>
                <w:szCs w:val="20"/>
                <w:lang w:val="en-US"/>
              </w:rPr>
              <w:t>1</w:t>
            </w:r>
            <w:r>
              <w:rPr>
                <w:bCs/>
                <w:color w:val="000000" w:themeColor="text1"/>
                <w:sz w:val="20"/>
                <w:szCs w:val="20"/>
                <w:lang w:val="en-US"/>
              </w:rPr>
              <w:t>)</w:t>
            </w:r>
          </w:p>
        </w:tc>
      </w:tr>
      <w:tr w:rsidR="00B67BAB" w:rsidRPr="00D835C0" w14:paraId="68F20A24" w14:textId="77777777" w:rsidTr="00024255">
        <w:tc>
          <w:tcPr>
            <w:tcW w:w="6945" w:type="dxa"/>
          </w:tcPr>
          <w:p w14:paraId="7A8AD3DB" w14:textId="29C23296" w:rsidR="00B67BAB" w:rsidRPr="008F6962" w:rsidRDefault="00000000" w:rsidP="00024255">
            <w:pPr>
              <w:spacing w:line="360" w:lineRule="auto"/>
              <w:ind w:right="-1" w:firstLine="608"/>
              <w:contextualSpacing/>
              <w:jc w:val="both"/>
              <w:rPr>
                <w:rFonts w:eastAsia="Calibri"/>
                <w:i/>
                <w:color w:val="000000" w:themeColor="text1"/>
                <w:sz w:val="20"/>
                <w:szCs w:val="18"/>
                <w:lang w:val="en-US"/>
              </w:rPr>
            </w:pPr>
            <m:oMath>
              <m:sSub>
                <m:sSubPr>
                  <m:ctrlPr>
                    <w:rPr>
                      <w:rFonts w:ascii="Cambria Math" w:hAnsi="Cambria Math"/>
                      <w:i/>
                      <w:color w:val="000000" w:themeColor="text1"/>
                      <w:szCs w:val="20"/>
                    </w:rPr>
                  </m:ctrlPr>
                </m:sSubPr>
                <m:e>
                  <m:r>
                    <w:rPr>
                      <w:rFonts w:ascii="Cambria Math" w:hAnsi="Cambria Math"/>
                      <w:color w:val="000000" w:themeColor="text1"/>
                      <w:szCs w:val="20"/>
                    </w:rPr>
                    <m:t>x</m:t>
                  </m:r>
                </m:e>
                <m:sub>
                  <m:r>
                    <w:rPr>
                      <w:rFonts w:ascii="Cambria Math" w:hAnsi="Cambria Math"/>
                      <w:color w:val="000000" w:themeColor="text1"/>
                      <w:szCs w:val="20"/>
                    </w:rPr>
                    <m:t>1</m:t>
                  </m:r>
                </m:sub>
              </m:sSub>
              <m:r>
                <w:rPr>
                  <w:rFonts w:ascii="Cambria Math" w:hAnsi="Cambria Math"/>
                  <w:color w:val="000000" w:themeColor="text1"/>
                  <w:szCs w:val="20"/>
                </w:rPr>
                <m:t xml:space="preserve">and </m:t>
              </m:r>
              <m:sSub>
                <m:sSubPr>
                  <m:ctrlPr>
                    <w:rPr>
                      <w:rFonts w:ascii="Cambria Math" w:hAnsi="Cambria Math"/>
                      <w:i/>
                      <w:color w:val="000000" w:themeColor="text1"/>
                      <w:szCs w:val="20"/>
                    </w:rPr>
                  </m:ctrlPr>
                </m:sSubPr>
                <m:e>
                  <m:r>
                    <w:rPr>
                      <w:rFonts w:ascii="Cambria Math" w:hAnsi="Cambria Math"/>
                      <w:color w:val="000000" w:themeColor="text1"/>
                      <w:szCs w:val="20"/>
                    </w:rPr>
                    <m:t>x</m:t>
                  </m:r>
                </m:e>
                <m:sub>
                  <m:r>
                    <w:rPr>
                      <w:rFonts w:ascii="Cambria Math" w:hAnsi="Cambria Math"/>
                      <w:color w:val="000000" w:themeColor="text1"/>
                      <w:szCs w:val="20"/>
                    </w:rPr>
                    <m:t>2</m:t>
                  </m:r>
                </m:sub>
              </m:sSub>
              <m:r>
                <w:rPr>
                  <w:rFonts w:ascii="Cambria Math" w:hAnsi="Cambria Math"/>
                  <w:color w:val="000000" w:themeColor="text1"/>
                  <w:szCs w:val="20"/>
                </w:rPr>
                <m:t xml:space="preserve">= </m:t>
              </m:r>
              <m:f>
                <m:fPr>
                  <m:ctrlPr>
                    <w:rPr>
                      <w:rFonts w:ascii="Cambria Math" w:hAnsi="Cambria Math"/>
                      <w:i/>
                      <w:color w:val="000000" w:themeColor="text1"/>
                      <w:szCs w:val="20"/>
                    </w:rPr>
                  </m:ctrlPr>
                </m:fPr>
                <m:num>
                  <m:r>
                    <w:rPr>
                      <w:rFonts w:ascii="Cambria Math" w:hAnsi="Cambria Math"/>
                      <w:color w:val="000000" w:themeColor="text1"/>
                      <w:szCs w:val="20"/>
                    </w:rPr>
                    <m:t>-</m:t>
                  </m:r>
                  <m:d>
                    <m:dPr>
                      <m:ctrlPr>
                        <w:rPr>
                          <w:rFonts w:ascii="Cambria Math" w:hAnsi="Cambria Math"/>
                          <w:i/>
                          <w:color w:val="000000" w:themeColor="text1"/>
                          <w:szCs w:val="20"/>
                        </w:rPr>
                      </m:ctrlPr>
                    </m:dPr>
                    <m:e>
                      <m:r>
                        <w:rPr>
                          <w:rFonts w:ascii="Cambria Math" w:hAnsi="Cambria Math"/>
                          <w:color w:val="000000" w:themeColor="text1"/>
                          <w:szCs w:val="20"/>
                        </w:rPr>
                        <m:t>b-j</m:t>
                      </m:r>
                    </m:e>
                  </m:d>
                  <m:r>
                    <w:rPr>
                      <w:rFonts w:ascii="Cambria Math" w:hAnsi="Cambria Math"/>
                      <w:color w:val="000000" w:themeColor="text1"/>
                      <w:szCs w:val="20"/>
                    </w:rPr>
                    <m:t xml:space="preserve">± </m:t>
                  </m:r>
                  <m:rad>
                    <m:radPr>
                      <m:degHide m:val="1"/>
                      <m:ctrlPr>
                        <w:rPr>
                          <w:rFonts w:ascii="Cambria Math" w:hAnsi="Cambria Math"/>
                          <w:i/>
                          <w:color w:val="000000" w:themeColor="text1"/>
                          <w:szCs w:val="20"/>
                        </w:rPr>
                      </m:ctrlPr>
                    </m:radPr>
                    <m:deg/>
                    <m:e>
                      <m:sSup>
                        <m:sSupPr>
                          <m:ctrlPr>
                            <w:rPr>
                              <w:rFonts w:ascii="Cambria Math" w:hAnsi="Cambria Math"/>
                              <w:i/>
                              <w:color w:val="000000" w:themeColor="text1"/>
                              <w:szCs w:val="20"/>
                            </w:rPr>
                          </m:ctrlPr>
                        </m:sSupPr>
                        <m:e>
                          <m:r>
                            <w:rPr>
                              <w:rFonts w:ascii="Cambria Math" w:hAnsi="Cambria Math"/>
                              <w:color w:val="000000" w:themeColor="text1"/>
                              <w:szCs w:val="20"/>
                            </w:rPr>
                            <m:t>(b-j)</m:t>
                          </m:r>
                        </m:e>
                        <m:sup>
                          <m:r>
                            <w:rPr>
                              <w:rFonts w:ascii="Cambria Math" w:hAnsi="Cambria Math"/>
                              <w:color w:val="000000" w:themeColor="text1"/>
                              <w:szCs w:val="20"/>
                            </w:rPr>
                            <m:t>2</m:t>
                          </m:r>
                        </m:sup>
                      </m:sSup>
                      <m:r>
                        <w:rPr>
                          <w:rFonts w:ascii="Cambria Math" w:hAnsi="Cambria Math"/>
                          <w:color w:val="000000" w:themeColor="text1"/>
                          <w:szCs w:val="20"/>
                        </w:rPr>
                        <m:t>-4((a-i)(c-k)</m:t>
                      </m:r>
                    </m:e>
                  </m:rad>
                </m:num>
                <m:den>
                  <m:r>
                    <w:rPr>
                      <w:rFonts w:ascii="Cambria Math" w:hAnsi="Cambria Math"/>
                      <w:color w:val="000000" w:themeColor="text1"/>
                      <w:szCs w:val="20"/>
                    </w:rPr>
                    <m:t>2(a-i)</m:t>
                  </m:r>
                </m:den>
              </m:f>
            </m:oMath>
            <w:r w:rsidR="00B67BAB">
              <w:rPr>
                <w:rFonts w:eastAsia="Calibri"/>
                <w:i/>
                <w:color w:val="000000" w:themeColor="text1"/>
                <w:sz w:val="20"/>
                <w:szCs w:val="18"/>
                <w:lang w:val="en-US"/>
              </w:rPr>
              <w:t xml:space="preserve"> </w:t>
            </w:r>
          </w:p>
        </w:tc>
        <w:tc>
          <w:tcPr>
            <w:tcW w:w="840" w:type="dxa"/>
            <w:vAlign w:val="center"/>
          </w:tcPr>
          <w:p w14:paraId="3AEE7457" w14:textId="0B54B37F" w:rsidR="00B67BAB" w:rsidRPr="00D835C0" w:rsidRDefault="00B67BAB" w:rsidP="00024255">
            <w:pPr>
              <w:pStyle w:val="ListParagraph"/>
              <w:spacing w:line="360" w:lineRule="auto"/>
              <w:ind w:left="0"/>
              <w:jc w:val="both"/>
              <w:rPr>
                <w:bCs/>
                <w:color w:val="000000" w:themeColor="text1"/>
              </w:rPr>
            </w:pPr>
            <w:r w:rsidRPr="00D835C0">
              <w:rPr>
                <w:bCs/>
                <w:color w:val="000000" w:themeColor="text1"/>
                <w:sz w:val="20"/>
                <w:szCs w:val="20"/>
              </w:rPr>
              <w:t>(3.</w:t>
            </w:r>
            <w:r>
              <w:rPr>
                <w:bCs/>
                <w:color w:val="000000" w:themeColor="text1"/>
                <w:sz w:val="20"/>
                <w:szCs w:val="20"/>
                <w:lang w:val="en-US"/>
              </w:rPr>
              <w:t>1</w:t>
            </w:r>
            <w:r w:rsidR="00AD21F3">
              <w:rPr>
                <w:bCs/>
                <w:color w:val="000000" w:themeColor="text1"/>
                <w:sz w:val="20"/>
                <w:szCs w:val="20"/>
                <w:lang w:val="en-US"/>
              </w:rPr>
              <w:t>2</w:t>
            </w:r>
            <w:r w:rsidRPr="00D835C0">
              <w:rPr>
                <w:bCs/>
                <w:color w:val="000000" w:themeColor="text1"/>
                <w:sz w:val="20"/>
                <w:szCs w:val="20"/>
              </w:rPr>
              <w:t>)</w:t>
            </w:r>
          </w:p>
        </w:tc>
      </w:tr>
    </w:tbl>
    <w:p w14:paraId="673A612A" w14:textId="5477C957" w:rsidR="00B67BAB" w:rsidRDefault="0070750E" w:rsidP="00B67BAB">
      <w:pPr>
        <w:pStyle w:val="BodytextIndented"/>
        <w:ind w:firstLine="360"/>
      </w:pPr>
      <w:r w:rsidRPr="0070750E">
        <w:t xml:space="preserve">The </w:t>
      </w:r>
      <w:r w:rsidRPr="00233079">
        <w:rPr>
          <w:i/>
          <w:iCs w:val="0"/>
        </w:rPr>
        <w:t>x</w:t>
      </w:r>
      <w:r w:rsidRPr="0070750E">
        <w:t xml:space="preserve"> root of the function above is the intersection between the demand and supply curves. </w:t>
      </w:r>
      <w:r>
        <w:t>In addition</w:t>
      </w:r>
      <w:r w:rsidRPr="0070750E">
        <w:t xml:space="preserve">, by substituting the non-negative </w:t>
      </w:r>
      <w:r w:rsidRPr="003709F3">
        <w:rPr>
          <w:i/>
          <w:iCs w:val="0"/>
        </w:rPr>
        <w:t>x</w:t>
      </w:r>
      <w:r w:rsidRPr="0070750E">
        <w:t xml:space="preserve"> root into the demand or supply function, the y-axis (price) </w:t>
      </w:r>
      <w:r>
        <w:t>of the equation can be found</w:t>
      </w:r>
      <w:r w:rsidRPr="0070750E">
        <w:t xml:space="preserve">. Suppose the two equations do not have the same root, where </w:t>
      </w:r>
      <m:oMath>
        <m:sSup>
          <m:sSupPr>
            <m:ctrlPr>
              <w:rPr>
                <w:rFonts w:ascii="Cambria Math" w:hAnsi="Cambria Math"/>
                <w:i/>
                <w:color w:val="000000" w:themeColor="text1"/>
                <w:szCs w:val="20"/>
              </w:rPr>
            </m:ctrlPr>
          </m:sSupPr>
          <m:e>
            <m:r>
              <w:rPr>
                <w:rFonts w:ascii="Cambria Math" w:hAnsi="Cambria Math"/>
                <w:color w:val="000000" w:themeColor="text1"/>
                <w:szCs w:val="20"/>
              </w:rPr>
              <m:t>(b-j)</m:t>
            </m:r>
          </m:e>
          <m:sup>
            <m:r>
              <w:rPr>
                <w:rFonts w:ascii="Cambria Math" w:hAnsi="Cambria Math"/>
                <w:color w:val="000000" w:themeColor="text1"/>
                <w:szCs w:val="20"/>
              </w:rPr>
              <m:t>2</m:t>
            </m:r>
          </m:sup>
        </m:sSup>
        <m:r>
          <w:rPr>
            <w:rFonts w:ascii="Cambria Math" w:hAnsi="Cambria Math"/>
            <w:color w:val="000000" w:themeColor="text1"/>
            <w:szCs w:val="20"/>
          </w:rPr>
          <m:t>-4(</m:t>
        </m:r>
        <m:d>
          <m:dPr>
            <m:ctrlPr>
              <w:rPr>
                <w:rFonts w:ascii="Cambria Math" w:hAnsi="Cambria Math"/>
                <w:i/>
                <w:color w:val="000000" w:themeColor="text1"/>
                <w:szCs w:val="20"/>
              </w:rPr>
            </m:ctrlPr>
          </m:dPr>
          <m:e>
            <m:r>
              <w:rPr>
                <w:rFonts w:ascii="Cambria Math" w:hAnsi="Cambria Math"/>
                <w:color w:val="000000" w:themeColor="text1"/>
                <w:szCs w:val="20"/>
              </w:rPr>
              <m:t>a-i</m:t>
            </m:r>
          </m:e>
        </m:d>
        <m:d>
          <m:dPr>
            <m:ctrlPr>
              <w:rPr>
                <w:rFonts w:ascii="Cambria Math" w:hAnsi="Cambria Math"/>
                <w:i/>
                <w:color w:val="000000" w:themeColor="text1"/>
                <w:szCs w:val="20"/>
              </w:rPr>
            </m:ctrlPr>
          </m:dPr>
          <m:e>
            <m:r>
              <w:rPr>
                <w:rFonts w:ascii="Cambria Math" w:hAnsi="Cambria Math"/>
                <w:color w:val="000000" w:themeColor="text1"/>
                <w:szCs w:val="20"/>
              </w:rPr>
              <m:t>c-k</m:t>
            </m:r>
          </m:e>
        </m:d>
        <m:r>
          <w:rPr>
            <w:rFonts w:ascii="Cambria Math" w:hAnsi="Cambria Math"/>
            <w:color w:val="000000" w:themeColor="text1"/>
            <w:szCs w:val="20"/>
          </w:rPr>
          <m:t xml:space="preserve">&lt; </m:t>
        </m:r>
      </m:oMath>
      <w:r w:rsidRPr="0070750E">
        <w:t xml:space="preserve">0, the supply curve will shift horizontally to the left. The shift in the supply function </w:t>
      </w:r>
      <w:r w:rsidRPr="0070750E">
        <w:lastRenderedPageBreak/>
        <w:t>f (s) is determined by adding the constant z, which is the value of the quantity supply to be reduced which is obtained by calculating the load factor ratio on other routes where there is an equilibrium</w:t>
      </w:r>
      <w:r w:rsidR="00B67BAB">
        <w:t>.</w:t>
      </w:r>
    </w:p>
    <w:p w14:paraId="4033C115" w14:textId="3B4D9F78" w:rsidR="00B67BAB" w:rsidRDefault="00B67BAB" w:rsidP="00B67BAB">
      <w:pPr>
        <w:pStyle w:val="BodytextIndented"/>
        <w:ind w:firstLine="360"/>
      </w:pPr>
    </w:p>
    <w:p w14:paraId="2BEB8660" w14:textId="77777777" w:rsidR="008E0324" w:rsidRDefault="008E0324" w:rsidP="00B67BAB">
      <w:pPr>
        <w:pStyle w:val="BodytextIndented"/>
        <w:ind w:firstLine="360"/>
      </w:pPr>
    </w:p>
    <w:p w14:paraId="52E6E9E1" w14:textId="357F39A2" w:rsidR="0079219D" w:rsidRDefault="0079219D" w:rsidP="007E1AF6">
      <w:pPr>
        <w:pStyle w:val="Heading1"/>
        <w:tabs>
          <w:tab w:val="clear" w:pos="1440"/>
          <w:tab w:val="num" w:pos="426"/>
        </w:tabs>
      </w:pPr>
      <w:r>
        <w:t>Result</w:t>
      </w:r>
      <w:r w:rsidR="00767EEE">
        <w:t>s</w:t>
      </w:r>
    </w:p>
    <w:p w14:paraId="4FA3DE32" w14:textId="2D0B58BA" w:rsidR="000F58F3" w:rsidRPr="000F58F3" w:rsidRDefault="007E1AF6" w:rsidP="000F58F3">
      <w:pPr>
        <w:pStyle w:val="Heading2"/>
        <w:numPr>
          <w:ilvl w:val="1"/>
          <w:numId w:val="15"/>
        </w:numPr>
      </w:pPr>
      <w:r>
        <w:t xml:space="preserve">The Demand </w:t>
      </w:r>
      <w:r w:rsidR="00A300D8">
        <w:t>Side Analysis</w:t>
      </w:r>
    </w:p>
    <w:p w14:paraId="11EB74D6" w14:textId="51653CB5" w:rsidR="00A300D8" w:rsidRDefault="00A300D8" w:rsidP="00A300D8">
      <w:pPr>
        <w:pStyle w:val="Heading4"/>
      </w:pPr>
      <w:r>
        <w:t xml:space="preserve">The Relation between Economic and </w:t>
      </w:r>
      <w:r w:rsidR="000F58F3">
        <w:t xml:space="preserve">the </w:t>
      </w:r>
      <w:r>
        <w:t xml:space="preserve">Demand </w:t>
      </w:r>
    </w:p>
    <w:p w14:paraId="1CE3141C" w14:textId="527BEBE1" w:rsidR="005D6059" w:rsidRDefault="0070750E" w:rsidP="00D22174">
      <w:pPr>
        <w:ind w:left="720" w:firstLine="851"/>
        <w:jc w:val="both"/>
      </w:pPr>
      <w:r w:rsidRPr="0070750E">
        <w:t>This section analyses the relationship between economic conditions and the demand for sea transport services—the analysis used to test the influence of economic variables on the growth of containers in domestic shipping. The GRDP variable represents economic variables in this analysis. The routes chosen was the nine busiest of all liner routes</w:t>
      </w:r>
      <w:r w:rsidR="005D6059">
        <w:t xml:space="preserve"> and they are considered as the full market mechanism where the container freight in those routes is determined by the demand–supply mechanism. These routes are depicted in the map below:</w:t>
      </w:r>
    </w:p>
    <w:p w14:paraId="42E5DBAC" w14:textId="77777777" w:rsidR="005D6059" w:rsidRDefault="005D6059" w:rsidP="00D22174">
      <w:pPr>
        <w:ind w:left="720" w:firstLine="851"/>
        <w:jc w:val="both"/>
      </w:pPr>
    </w:p>
    <w:p w14:paraId="1093FD2C" w14:textId="06ED989A" w:rsidR="005D6059" w:rsidRDefault="0000436E" w:rsidP="0000436E">
      <w:pPr>
        <w:ind w:left="720" w:hanging="11"/>
        <w:jc w:val="center"/>
      </w:pPr>
      <w:r w:rsidRPr="0000436E">
        <w:rPr>
          <w:noProof/>
        </w:rPr>
        <w:drawing>
          <wp:inline distT="0" distB="0" distL="0" distR="0" wp14:anchorId="64040FD4" wp14:editId="6EB068E7">
            <wp:extent cx="5219323" cy="2132379"/>
            <wp:effectExtent l="0" t="0" r="635" b="1270"/>
            <wp:docPr id="653636937" name="Picture 1" descr="A map of the wor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36937" name="Picture 1" descr="A map of the world&#10;&#10;AI-generated content may be incorrect."/>
                    <pic:cNvPicPr/>
                  </pic:nvPicPr>
                  <pic:blipFill>
                    <a:blip r:embed="rId8"/>
                    <a:stretch>
                      <a:fillRect/>
                    </a:stretch>
                  </pic:blipFill>
                  <pic:spPr>
                    <a:xfrm>
                      <a:off x="0" y="0"/>
                      <a:ext cx="5225188" cy="2134775"/>
                    </a:xfrm>
                    <a:prstGeom prst="rect">
                      <a:avLst/>
                    </a:prstGeom>
                  </pic:spPr>
                </pic:pic>
              </a:graphicData>
            </a:graphic>
          </wp:inline>
        </w:drawing>
      </w:r>
    </w:p>
    <w:p w14:paraId="5ADAFAE5" w14:textId="77777777" w:rsidR="005D6059" w:rsidRDefault="005D6059" w:rsidP="00D22174">
      <w:pPr>
        <w:ind w:left="720" w:firstLine="851"/>
        <w:jc w:val="both"/>
      </w:pPr>
    </w:p>
    <w:p w14:paraId="12337688" w14:textId="3EB2D591" w:rsidR="00035E26" w:rsidRPr="00A771BD" w:rsidRDefault="00035E26" w:rsidP="00035E26">
      <w:pPr>
        <w:pStyle w:val="Caption"/>
        <w:jc w:val="center"/>
        <w:rPr>
          <w:i w:val="0"/>
          <w:iCs w:val="0"/>
          <w:color w:val="000000" w:themeColor="text1"/>
          <w:sz w:val="22"/>
          <w:szCs w:val="22"/>
        </w:rPr>
      </w:pPr>
      <w:r w:rsidRPr="00A771BD">
        <w:rPr>
          <w:i w:val="0"/>
          <w:iCs w:val="0"/>
          <w:color w:val="000000" w:themeColor="text1"/>
          <w:sz w:val="22"/>
          <w:szCs w:val="22"/>
        </w:rPr>
        <w:t xml:space="preserve">Figure </w:t>
      </w:r>
      <w:r w:rsidR="00780DB2">
        <w:rPr>
          <w:i w:val="0"/>
          <w:iCs w:val="0"/>
          <w:color w:val="000000" w:themeColor="text1"/>
          <w:sz w:val="22"/>
          <w:szCs w:val="22"/>
        </w:rPr>
        <w:t>1</w:t>
      </w:r>
      <w:r w:rsidRPr="00A771BD">
        <w:rPr>
          <w:i w:val="0"/>
          <w:iCs w:val="0"/>
          <w:color w:val="000000" w:themeColor="text1"/>
          <w:sz w:val="22"/>
          <w:szCs w:val="22"/>
        </w:rPr>
        <w:t xml:space="preserve"> </w:t>
      </w:r>
      <w:r>
        <w:rPr>
          <w:i w:val="0"/>
          <w:iCs w:val="0"/>
          <w:color w:val="000000" w:themeColor="text1"/>
          <w:sz w:val="22"/>
          <w:szCs w:val="22"/>
        </w:rPr>
        <w:t>Route Map of Domestic Container Shipping</w:t>
      </w:r>
    </w:p>
    <w:p w14:paraId="0BE74652" w14:textId="2A3659AB" w:rsidR="00D22174" w:rsidRDefault="0070750E" w:rsidP="00D22174">
      <w:pPr>
        <w:ind w:left="720" w:firstLine="851"/>
        <w:jc w:val="both"/>
      </w:pPr>
      <w:r w:rsidRPr="0070750E">
        <w:t xml:space="preserve">The analysis was carried out by combining the </w:t>
      </w:r>
      <w:r w:rsidR="00574395">
        <w:t>GRDP</w:t>
      </w:r>
      <w:r w:rsidRPr="0070750E">
        <w:t xml:space="preserve"> variables of the two regions on each shipping route and then connected with the amount of loading flow on each of the analysed routes. The combination of two GRDP from each origin and destination area is due to the cargo carried on that route, which is basically loading and unloading cargoes. The merger of loading and unloading is accompanied by a combination of GRDP of the origin and destination regions. The following is the results</w:t>
      </w:r>
      <w:r w:rsidR="00CB2A68">
        <w:t>:</w:t>
      </w:r>
    </w:p>
    <w:p w14:paraId="39212004" w14:textId="77777777" w:rsidR="00035E26" w:rsidRDefault="00035E26" w:rsidP="00D22174">
      <w:pPr>
        <w:ind w:left="720" w:firstLine="851"/>
        <w:jc w:val="both"/>
      </w:pPr>
    </w:p>
    <w:p w14:paraId="56830BAF" w14:textId="0812CDBE" w:rsidR="002F5D0C" w:rsidRPr="002F5D0C" w:rsidRDefault="002F5D0C" w:rsidP="002F5D0C">
      <w:pPr>
        <w:pStyle w:val="Caption"/>
        <w:keepNext/>
        <w:spacing w:after="0"/>
        <w:jc w:val="center"/>
        <w:rPr>
          <w:b/>
          <w:bCs/>
          <w:i w:val="0"/>
          <w:iCs w:val="0"/>
          <w:color w:val="000000" w:themeColor="text1"/>
        </w:rPr>
      </w:pPr>
      <w:r w:rsidRPr="002F5D0C">
        <w:rPr>
          <w:b/>
          <w:bCs/>
          <w:i w:val="0"/>
          <w:iCs w:val="0"/>
          <w:color w:val="000000" w:themeColor="text1"/>
        </w:rPr>
        <w:t xml:space="preserve">Table </w:t>
      </w:r>
      <w:r w:rsidRPr="002F5D0C">
        <w:rPr>
          <w:b/>
          <w:bCs/>
          <w:i w:val="0"/>
          <w:iCs w:val="0"/>
          <w:color w:val="000000" w:themeColor="text1"/>
        </w:rPr>
        <w:fldChar w:fldCharType="begin"/>
      </w:r>
      <w:r w:rsidRPr="002F5D0C">
        <w:rPr>
          <w:b/>
          <w:bCs/>
          <w:i w:val="0"/>
          <w:iCs w:val="0"/>
          <w:color w:val="000000" w:themeColor="text1"/>
        </w:rPr>
        <w:instrText xml:space="preserve"> SEQ Table \* ARABIC </w:instrText>
      </w:r>
      <w:r w:rsidRPr="002F5D0C">
        <w:rPr>
          <w:b/>
          <w:bCs/>
          <w:i w:val="0"/>
          <w:iCs w:val="0"/>
          <w:color w:val="000000" w:themeColor="text1"/>
        </w:rPr>
        <w:fldChar w:fldCharType="separate"/>
      </w:r>
      <w:r w:rsidR="004B6CE6">
        <w:rPr>
          <w:b/>
          <w:bCs/>
          <w:i w:val="0"/>
          <w:iCs w:val="0"/>
          <w:noProof/>
          <w:color w:val="000000" w:themeColor="text1"/>
        </w:rPr>
        <w:t>1</w:t>
      </w:r>
      <w:r w:rsidRPr="002F5D0C">
        <w:rPr>
          <w:b/>
          <w:bCs/>
          <w:i w:val="0"/>
          <w:iCs w:val="0"/>
          <w:color w:val="000000" w:themeColor="text1"/>
        </w:rPr>
        <w:fldChar w:fldCharType="end"/>
      </w:r>
      <w:r w:rsidRPr="002F5D0C">
        <w:rPr>
          <w:b/>
          <w:bCs/>
          <w:i w:val="0"/>
          <w:iCs w:val="0"/>
          <w:color w:val="000000" w:themeColor="text1"/>
        </w:rPr>
        <w:t xml:space="preserve"> Relation Between Economic and Shipping Demand</w:t>
      </w:r>
    </w:p>
    <w:tbl>
      <w:tblPr>
        <w:tblStyle w:val="TableGrid"/>
        <w:tblW w:w="5712" w:type="dxa"/>
        <w:jc w:val="center"/>
        <w:tblLook w:val="04A0" w:firstRow="1" w:lastRow="0" w:firstColumn="1" w:lastColumn="0" w:noHBand="0" w:noVBand="1"/>
      </w:tblPr>
      <w:tblGrid>
        <w:gridCol w:w="2141"/>
        <w:gridCol w:w="628"/>
        <w:gridCol w:w="1072"/>
        <w:gridCol w:w="866"/>
        <w:gridCol w:w="1005"/>
      </w:tblGrid>
      <w:tr w:rsidR="002F5D0C" w:rsidRPr="002F5D0C" w14:paraId="137A598C" w14:textId="77777777" w:rsidTr="000F58F3">
        <w:trPr>
          <w:trHeight w:val="20"/>
          <w:jc w:val="center"/>
        </w:trPr>
        <w:tc>
          <w:tcPr>
            <w:tcW w:w="2141" w:type="dxa"/>
            <w:vMerge w:val="restart"/>
            <w:vAlign w:val="center"/>
            <w:hideMark/>
          </w:tcPr>
          <w:p w14:paraId="70291B18" w14:textId="5A3F7D6C" w:rsidR="002F5D0C" w:rsidRPr="002F5D0C" w:rsidRDefault="002F5D0C" w:rsidP="00024255">
            <w:pPr>
              <w:jc w:val="center"/>
              <w:rPr>
                <w:b/>
                <w:bCs/>
                <w:sz w:val="20"/>
                <w:szCs w:val="20"/>
                <w:lang w:val="en-US"/>
              </w:rPr>
            </w:pPr>
            <w:bookmarkStart w:id="3" w:name="_Hlk201516063"/>
            <w:r w:rsidRPr="002F5D0C">
              <w:rPr>
                <w:b/>
                <w:bCs/>
                <w:sz w:val="20"/>
                <w:szCs w:val="20"/>
              </w:rPr>
              <w:t>R</w:t>
            </w:r>
            <w:r w:rsidRPr="002F5D0C">
              <w:rPr>
                <w:b/>
                <w:bCs/>
                <w:sz w:val="20"/>
                <w:szCs w:val="20"/>
                <w:lang w:val="en-US"/>
              </w:rPr>
              <w:t>oute</w:t>
            </w:r>
          </w:p>
        </w:tc>
        <w:tc>
          <w:tcPr>
            <w:tcW w:w="628" w:type="dxa"/>
            <w:vMerge w:val="restart"/>
            <w:vAlign w:val="center"/>
            <w:hideMark/>
          </w:tcPr>
          <w:p w14:paraId="740154E3" w14:textId="77777777" w:rsidR="002F5D0C" w:rsidRPr="002F5D0C" w:rsidRDefault="002F5D0C" w:rsidP="00024255">
            <w:pPr>
              <w:jc w:val="center"/>
              <w:rPr>
                <w:b/>
                <w:bCs/>
                <w:sz w:val="20"/>
                <w:szCs w:val="20"/>
              </w:rPr>
            </w:pPr>
            <w:r w:rsidRPr="002F5D0C">
              <w:rPr>
                <w:b/>
                <w:bCs/>
                <w:sz w:val="20"/>
                <w:szCs w:val="20"/>
              </w:rPr>
              <w:t>RSQ</w:t>
            </w:r>
          </w:p>
        </w:tc>
        <w:tc>
          <w:tcPr>
            <w:tcW w:w="1072" w:type="dxa"/>
            <w:vMerge w:val="restart"/>
            <w:vAlign w:val="center"/>
            <w:hideMark/>
          </w:tcPr>
          <w:p w14:paraId="72227B54" w14:textId="77777777" w:rsidR="002F5D0C" w:rsidRPr="002F5D0C" w:rsidRDefault="002F5D0C" w:rsidP="00024255">
            <w:pPr>
              <w:jc w:val="center"/>
              <w:rPr>
                <w:b/>
                <w:bCs/>
                <w:sz w:val="20"/>
                <w:szCs w:val="20"/>
              </w:rPr>
            </w:pPr>
            <w:r w:rsidRPr="002F5D0C">
              <w:rPr>
                <w:b/>
                <w:bCs/>
                <w:sz w:val="20"/>
                <w:szCs w:val="20"/>
              </w:rPr>
              <w:t>CORREL</w:t>
            </w:r>
          </w:p>
        </w:tc>
        <w:tc>
          <w:tcPr>
            <w:tcW w:w="1871" w:type="dxa"/>
            <w:gridSpan w:val="2"/>
            <w:vAlign w:val="center"/>
            <w:hideMark/>
          </w:tcPr>
          <w:p w14:paraId="2FE230E4" w14:textId="56F1B9BA" w:rsidR="002F5D0C" w:rsidRPr="002F5D0C" w:rsidRDefault="002F5D0C" w:rsidP="00024255">
            <w:pPr>
              <w:jc w:val="center"/>
              <w:rPr>
                <w:b/>
                <w:bCs/>
                <w:sz w:val="20"/>
                <w:szCs w:val="20"/>
                <w:lang w:val="en-US"/>
              </w:rPr>
            </w:pPr>
            <w:r w:rsidRPr="002F5D0C">
              <w:rPr>
                <w:b/>
                <w:bCs/>
                <w:sz w:val="20"/>
                <w:szCs w:val="20"/>
                <w:lang w:val="en-US"/>
              </w:rPr>
              <w:t>Equation</w:t>
            </w:r>
          </w:p>
        </w:tc>
      </w:tr>
      <w:tr w:rsidR="002F5D0C" w:rsidRPr="002F5D0C" w14:paraId="439F78D0" w14:textId="77777777" w:rsidTr="000F58F3">
        <w:trPr>
          <w:trHeight w:val="20"/>
          <w:jc w:val="center"/>
        </w:trPr>
        <w:tc>
          <w:tcPr>
            <w:tcW w:w="2141" w:type="dxa"/>
            <w:vMerge/>
            <w:vAlign w:val="center"/>
            <w:hideMark/>
          </w:tcPr>
          <w:p w14:paraId="57CA049C" w14:textId="77777777" w:rsidR="002F5D0C" w:rsidRPr="002F5D0C" w:rsidRDefault="002F5D0C" w:rsidP="00024255">
            <w:pPr>
              <w:jc w:val="center"/>
              <w:rPr>
                <w:b/>
                <w:bCs/>
                <w:sz w:val="20"/>
                <w:szCs w:val="20"/>
              </w:rPr>
            </w:pPr>
          </w:p>
        </w:tc>
        <w:tc>
          <w:tcPr>
            <w:tcW w:w="628" w:type="dxa"/>
            <w:vMerge/>
            <w:vAlign w:val="center"/>
            <w:hideMark/>
          </w:tcPr>
          <w:p w14:paraId="7C1FA9B6" w14:textId="77777777" w:rsidR="002F5D0C" w:rsidRPr="002F5D0C" w:rsidRDefault="002F5D0C" w:rsidP="00024255">
            <w:pPr>
              <w:jc w:val="center"/>
              <w:rPr>
                <w:b/>
                <w:bCs/>
                <w:sz w:val="20"/>
                <w:szCs w:val="20"/>
              </w:rPr>
            </w:pPr>
          </w:p>
        </w:tc>
        <w:tc>
          <w:tcPr>
            <w:tcW w:w="1072" w:type="dxa"/>
            <w:vMerge/>
            <w:vAlign w:val="center"/>
            <w:hideMark/>
          </w:tcPr>
          <w:p w14:paraId="65BEB189" w14:textId="77777777" w:rsidR="002F5D0C" w:rsidRPr="002F5D0C" w:rsidRDefault="002F5D0C" w:rsidP="00024255">
            <w:pPr>
              <w:jc w:val="center"/>
              <w:rPr>
                <w:b/>
                <w:bCs/>
                <w:sz w:val="20"/>
                <w:szCs w:val="20"/>
              </w:rPr>
            </w:pPr>
          </w:p>
        </w:tc>
        <w:tc>
          <w:tcPr>
            <w:tcW w:w="866" w:type="dxa"/>
            <w:vAlign w:val="center"/>
            <w:hideMark/>
          </w:tcPr>
          <w:p w14:paraId="5FADCFE0" w14:textId="77777777" w:rsidR="002F5D0C" w:rsidRPr="002F5D0C" w:rsidRDefault="002F5D0C" w:rsidP="00024255">
            <w:pPr>
              <w:jc w:val="center"/>
              <w:rPr>
                <w:b/>
                <w:bCs/>
                <w:sz w:val="20"/>
                <w:szCs w:val="20"/>
              </w:rPr>
            </w:pPr>
            <w:r w:rsidRPr="002F5D0C">
              <w:rPr>
                <w:b/>
                <w:bCs/>
                <w:sz w:val="20"/>
                <w:szCs w:val="20"/>
              </w:rPr>
              <w:t>Slope</w:t>
            </w:r>
          </w:p>
        </w:tc>
        <w:tc>
          <w:tcPr>
            <w:tcW w:w="1005" w:type="dxa"/>
            <w:vAlign w:val="center"/>
            <w:hideMark/>
          </w:tcPr>
          <w:p w14:paraId="2A0CAEED" w14:textId="77777777" w:rsidR="002F5D0C" w:rsidRPr="002F5D0C" w:rsidRDefault="002F5D0C" w:rsidP="00024255">
            <w:pPr>
              <w:jc w:val="center"/>
              <w:rPr>
                <w:b/>
                <w:bCs/>
                <w:sz w:val="20"/>
                <w:szCs w:val="20"/>
              </w:rPr>
            </w:pPr>
            <w:r w:rsidRPr="002F5D0C">
              <w:rPr>
                <w:b/>
                <w:bCs/>
                <w:sz w:val="20"/>
                <w:szCs w:val="20"/>
              </w:rPr>
              <w:t>Intercept</w:t>
            </w:r>
          </w:p>
        </w:tc>
      </w:tr>
      <w:tr w:rsidR="002F5D0C" w:rsidRPr="002F5D0C" w14:paraId="7EF3C2C4" w14:textId="77777777" w:rsidTr="000F58F3">
        <w:trPr>
          <w:trHeight w:val="20"/>
          <w:jc w:val="center"/>
        </w:trPr>
        <w:tc>
          <w:tcPr>
            <w:tcW w:w="2141" w:type="dxa"/>
            <w:noWrap/>
            <w:vAlign w:val="center"/>
            <w:hideMark/>
          </w:tcPr>
          <w:p w14:paraId="57EA9EAD" w14:textId="77777777" w:rsidR="002F5D0C" w:rsidRPr="002F5D0C" w:rsidRDefault="002F5D0C" w:rsidP="00024255">
            <w:pPr>
              <w:rPr>
                <w:sz w:val="20"/>
                <w:szCs w:val="20"/>
              </w:rPr>
            </w:pPr>
            <w:r w:rsidRPr="002F5D0C">
              <w:rPr>
                <w:sz w:val="20"/>
                <w:szCs w:val="20"/>
              </w:rPr>
              <w:t>JKT-BLW</w:t>
            </w:r>
          </w:p>
        </w:tc>
        <w:tc>
          <w:tcPr>
            <w:tcW w:w="628" w:type="dxa"/>
            <w:noWrap/>
            <w:vAlign w:val="center"/>
            <w:hideMark/>
          </w:tcPr>
          <w:p w14:paraId="5ED627E4" w14:textId="77777777" w:rsidR="002F5D0C" w:rsidRPr="002F5D0C" w:rsidRDefault="002F5D0C" w:rsidP="00024255">
            <w:pPr>
              <w:rPr>
                <w:sz w:val="20"/>
                <w:szCs w:val="20"/>
              </w:rPr>
            </w:pPr>
            <w:r w:rsidRPr="002F5D0C">
              <w:rPr>
                <w:sz w:val="20"/>
                <w:szCs w:val="20"/>
              </w:rPr>
              <w:t>0,89</w:t>
            </w:r>
          </w:p>
        </w:tc>
        <w:tc>
          <w:tcPr>
            <w:tcW w:w="1072" w:type="dxa"/>
            <w:noWrap/>
            <w:vAlign w:val="center"/>
            <w:hideMark/>
          </w:tcPr>
          <w:p w14:paraId="58C535E3" w14:textId="77777777" w:rsidR="002F5D0C" w:rsidRPr="002F5D0C" w:rsidRDefault="002F5D0C" w:rsidP="00A62177">
            <w:pPr>
              <w:jc w:val="center"/>
              <w:rPr>
                <w:sz w:val="20"/>
                <w:szCs w:val="20"/>
              </w:rPr>
            </w:pPr>
            <w:r w:rsidRPr="002F5D0C">
              <w:rPr>
                <w:sz w:val="20"/>
                <w:szCs w:val="20"/>
              </w:rPr>
              <w:t>0,94</w:t>
            </w:r>
          </w:p>
        </w:tc>
        <w:tc>
          <w:tcPr>
            <w:tcW w:w="866" w:type="dxa"/>
            <w:noWrap/>
            <w:vAlign w:val="center"/>
            <w:hideMark/>
          </w:tcPr>
          <w:p w14:paraId="20B11A10" w14:textId="77777777" w:rsidR="002F5D0C" w:rsidRPr="002F5D0C" w:rsidRDefault="002F5D0C" w:rsidP="00024255">
            <w:pPr>
              <w:rPr>
                <w:sz w:val="20"/>
                <w:szCs w:val="20"/>
              </w:rPr>
            </w:pPr>
            <w:r w:rsidRPr="002F5D0C">
              <w:rPr>
                <w:sz w:val="20"/>
                <w:szCs w:val="20"/>
              </w:rPr>
              <w:t>0,05819</w:t>
            </w:r>
          </w:p>
        </w:tc>
        <w:tc>
          <w:tcPr>
            <w:tcW w:w="1005" w:type="dxa"/>
            <w:noWrap/>
            <w:vAlign w:val="center"/>
            <w:hideMark/>
          </w:tcPr>
          <w:p w14:paraId="45418E10" w14:textId="77777777" w:rsidR="002F5D0C" w:rsidRPr="002F5D0C" w:rsidRDefault="002F5D0C" w:rsidP="00024255">
            <w:pPr>
              <w:rPr>
                <w:sz w:val="20"/>
                <w:szCs w:val="20"/>
              </w:rPr>
            </w:pPr>
            <w:r w:rsidRPr="002F5D0C">
              <w:rPr>
                <w:sz w:val="20"/>
                <w:szCs w:val="20"/>
              </w:rPr>
              <w:t>204206</w:t>
            </w:r>
          </w:p>
        </w:tc>
      </w:tr>
      <w:tr w:rsidR="002F5D0C" w:rsidRPr="002F5D0C" w14:paraId="27D4FD3E" w14:textId="77777777" w:rsidTr="000F58F3">
        <w:trPr>
          <w:trHeight w:val="20"/>
          <w:jc w:val="center"/>
        </w:trPr>
        <w:tc>
          <w:tcPr>
            <w:tcW w:w="2141" w:type="dxa"/>
            <w:noWrap/>
            <w:vAlign w:val="center"/>
            <w:hideMark/>
          </w:tcPr>
          <w:p w14:paraId="6883D9EE" w14:textId="77777777" w:rsidR="002F5D0C" w:rsidRPr="002F5D0C" w:rsidRDefault="002F5D0C" w:rsidP="00024255">
            <w:pPr>
              <w:rPr>
                <w:sz w:val="20"/>
                <w:szCs w:val="20"/>
              </w:rPr>
            </w:pPr>
            <w:r w:rsidRPr="002F5D0C">
              <w:rPr>
                <w:sz w:val="20"/>
                <w:szCs w:val="20"/>
              </w:rPr>
              <w:t>JKT-SBY</w:t>
            </w:r>
          </w:p>
        </w:tc>
        <w:tc>
          <w:tcPr>
            <w:tcW w:w="628" w:type="dxa"/>
            <w:noWrap/>
            <w:vAlign w:val="center"/>
            <w:hideMark/>
          </w:tcPr>
          <w:p w14:paraId="254C5BB3" w14:textId="77777777" w:rsidR="002F5D0C" w:rsidRPr="002F5D0C" w:rsidRDefault="002F5D0C" w:rsidP="00024255">
            <w:pPr>
              <w:rPr>
                <w:sz w:val="20"/>
                <w:szCs w:val="20"/>
              </w:rPr>
            </w:pPr>
            <w:r w:rsidRPr="002F5D0C">
              <w:rPr>
                <w:sz w:val="20"/>
                <w:szCs w:val="20"/>
              </w:rPr>
              <w:t>0,92</w:t>
            </w:r>
          </w:p>
        </w:tc>
        <w:tc>
          <w:tcPr>
            <w:tcW w:w="1072" w:type="dxa"/>
            <w:noWrap/>
            <w:vAlign w:val="center"/>
            <w:hideMark/>
          </w:tcPr>
          <w:p w14:paraId="7D66AC81" w14:textId="77777777" w:rsidR="002F5D0C" w:rsidRPr="002F5D0C" w:rsidRDefault="002F5D0C" w:rsidP="00A62177">
            <w:pPr>
              <w:jc w:val="center"/>
              <w:rPr>
                <w:sz w:val="20"/>
                <w:szCs w:val="20"/>
              </w:rPr>
            </w:pPr>
            <w:r w:rsidRPr="002F5D0C">
              <w:rPr>
                <w:sz w:val="20"/>
                <w:szCs w:val="20"/>
              </w:rPr>
              <w:t>0,96</w:t>
            </w:r>
          </w:p>
        </w:tc>
        <w:tc>
          <w:tcPr>
            <w:tcW w:w="866" w:type="dxa"/>
            <w:noWrap/>
            <w:vAlign w:val="center"/>
            <w:hideMark/>
          </w:tcPr>
          <w:p w14:paraId="66F4BFD4" w14:textId="77777777" w:rsidR="002F5D0C" w:rsidRPr="002F5D0C" w:rsidRDefault="002F5D0C" w:rsidP="00024255">
            <w:pPr>
              <w:rPr>
                <w:sz w:val="20"/>
                <w:szCs w:val="20"/>
              </w:rPr>
            </w:pPr>
            <w:r w:rsidRPr="002F5D0C">
              <w:rPr>
                <w:sz w:val="20"/>
                <w:szCs w:val="20"/>
              </w:rPr>
              <w:t>0,07189</w:t>
            </w:r>
          </w:p>
        </w:tc>
        <w:tc>
          <w:tcPr>
            <w:tcW w:w="1005" w:type="dxa"/>
            <w:noWrap/>
            <w:vAlign w:val="center"/>
            <w:hideMark/>
          </w:tcPr>
          <w:p w14:paraId="567028AB" w14:textId="77777777" w:rsidR="002F5D0C" w:rsidRPr="002F5D0C" w:rsidRDefault="002F5D0C" w:rsidP="00024255">
            <w:pPr>
              <w:rPr>
                <w:sz w:val="20"/>
                <w:szCs w:val="20"/>
              </w:rPr>
            </w:pPr>
            <w:r w:rsidRPr="002F5D0C">
              <w:rPr>
                <w:sz w:val="20"/>
                <w:szCs w:val="20"/>
              </w:rPr>
              <w:t>55787</w:t>
            </w:r>
          </w:p>
        </w:tc>
      </w:tr>
      <w:tr w:rsidR="002F5D0C" w:rsidRPr="002F5D0C" w14:paraId="5231396E" w14:textId="77777777" w:rsidTr="000F58F3">
        <w:trPr>
          <w:trHeight w:val="20"/>
          <w:jc w:val="center"/>
        </w:trPr>
        <w:tc>
          <w:tcPr>
            <w:tcW w:w="2141" w:type="dxa"/>
            <w:noWrap/>
            <w:vAlign w:val="center"/>
            <w:hideMark/>
          </w:tcPr>
          <w:p w14:paraId="3103F430" w14:textId="77777777" w:rsidR="002F5D0C" w:rsidRPr="002F5D0C" w:rsidRDefault="002F5D0C" w:rsidP="00024255">
            <w:pPr>
              <w:rPr>
                <w:sz w:val="20"/>
                <w:szCs w:val="20"/>
              </w:rPr>
            </w:pPr>
            <w:r w:rsidRPr="002F5D0C">
              <w:rPr>
                <w:sz w:val="20"/>
                <w:szCs w:val="20"/>
              </w:rPr>
              <w:t>JKT-PNK</w:t>
            </w:r>
          </w:p>
        </w:tc>
        <w:tc>
          <w:tcPr>
            <w:tcW w:w="628" w:type="dxa"/>
            <w:noWrap/>
            <w:vAlign w:val="center"/>
            <w:hideMark/>
          </w:tcPr>
          <w:p w14:paraId="7FBBA5E8" w14:textId="77777777" w:rsidR="002F5D0C" w:rsidRPr="002F5D0C" w:rsidRDefault="002F5D0C" w:rsidP="00024255">
            <w:pPr>
              <w:rPr>
                <w:sz w:val="20"/>
                <w:szCs w:val="20"/>
              </w:rPr>
            </w:pPr>
            <w:r w:rsidRPr="002F5D0C">
              <w:rPr>
                <w:sz w:val="20"/>
                <w:szCs w:val="20"/>
              </w:rPr>
              <w:t>0,87</w:t>
            </w:r>
          </w:p>
        </w:tc>
        <w:tc>
          <w:tcPr>
            <w:tcW w:w="1072" w:type="dxa"/>
            <w:noWrap/>
            <w:vAlign w:val="center"/>
            <w:hideMark/>
          </w:tcPr>
          <w:p w14:paraId="5CD8B8A1" w14:textId="77777777" w:rsidR="002F5D0C" w:rsidRPr="002F5D0C" w:rsidRDefault="002F5D0C" w:rsidP="00A62177">
            <w:pPr>
              <w:jc w:val="center"/>
              <w:rPr>
                <w:sz w:val="20"/>
                <w:szCs w:val="20"/>
              </w:rPr>
            </w:pPr>
            <w:r w:rsidRPr="002F5D0C">
              <w:rPr>
                <w:sz w:val="20"/>
                <w:szCs w:val="20"/>
              </w:rPr>
              <w:t>0,93</w:t>
            </w:r>
          </w:p>
        </w:tc>
        <w:tc>
          <w:tcPr>
            <w:tcW w:w="866" w:type="dxa"/>
            <w:noWrap/>
            <w:vAlign w:val="center"/>
            <w:hideMark/>
          </w:tcPr>
          <w:p w14:paraId="012FE25E" w14:textId="77777777" w:rsidR="002F5D0C" w:rsidRPr="002F5D0C" w:rsidRDefault="002F5D0C" w:rsidP="00024255">
            <w:pPr>
              <w:rPr>
                <w:sz w:val="20"/>
                <w:szCs w:val="20"/>
              </w:rPr>
            </w:pPr>
            <w:r w:rsidRPr="002F5D0C">
              <w:rPr>
                <w:sz w:val="20"/>
                <w:szCs w:val="20"/>
              </w:rPr>
              <w:t>0,05598</w:t>
            </w:r>
          </w:p>
        </w:tc>
        <w:tc>
          <w:tcPr>
            <w:tcW w:w="1005" w:type="dxa"/>
            <w:noWrap/>
            <w:vAlign w:val="center"/>
            <w:hideMark/>
          </w:tcPr>
          <w:p w14:paraId="250BD684" w14:textId="77777777" w:rsidR="002F5D0C" w:rsidRPr="002F5D0C" w:rsidRDefault="002F5D0C" w:rsidP="00024255">
            <w:pPr>
              <w:rPr>
                <w:sz w:val="20"/>
                <w:szCs w:val="20"/>
              </w:rPr>
            </w:pPr>
            <w:r w:rsidRPr="002F5D0C">
              <w:rPr>
                <w:sz w:val="20"/>
                <w:szCs w:val="20"/>
              </w:rPr>
              <w:t>94997</w:t>
            </w:r>
          </w:p>
        </w:tc>
      </w:tr>
      <w:tr w:rsidR="002F5D0C" w:rsidRPr="002F5D0C" w14:paraId="1571CD73" w14:textId="77777777" w:rsidTr="000F58F3">
        <w:trPr>
          <w:trHeight w:val="20"/>
          <w:jc w:val="center"/>
        </w:trPr>
        <w:tc>
          <w:tcPr>
            <w:tcW w:w="2141" w:type="dxa"/>
            <w:noWrap/>
            <w:vAlign w:val="center"/>
            <w:hideMark/>
          </w:tcPr>
          <w:p w14:paraId="45750E22" w14:textId="77777777" w:rsidR="002F5D0C" w:rsidRPr="002F5D0C" w:rsidRDefault="002F5D0C" w:rsidP="00024255">
            <w:pPr>
              <w:rPr>
                <w:sz w:val="20"/>
                <w:szCs w:val="20"/>
              </w:rPr>
            </w:pPr>
            <w:r w:rsidRPr="002F5D0C">
              <w:rPr>
                <w:sz w:val="20"/>
                <w:szCs w:val="20"/>
              </w:rPr>
              <w:t>SBY-BNJRM</w:t>
            </w:r>
          </w:p>
        </w:tc>
        <w:tc>
          <w:tcPr>
            <w:tcW w:w="628" w:type="dxa"/>
            <w:noWrap/>
            <w:vAlign w:val="center"/>
            <w:hideMark/>
          </w:tcPr>
          <w:p w14:paraId="36AC165A" w14:textId="77777777" w:rsidR="002F5D0C" w:rsidRPr="002F5D0C" w:rsidRDefault="002F5D0C" w:rsidP="00024255">
            <w:pPr>
              <w:rPr>
                <w:sz w:val="20"/>
                <w:szCs w:val="20"/>
              </w:rPr>
            </w:pPr>
            <w:r w:rsidRPr="002F5D0C">
              <w:rPr>
                <w:sz w:val="20"/>
                <w:szCs w:val="20"/>
              </w:rPr>
              <w:t>0,97</w:t>
            </w:r>
          </w:p>
        </w:tc>
        <w:tc>
          <w:tcPr>
            <w:tcW w:w="1072" w:type="dxa"/>
            <w:noWrap/>
            <w:vAlign w:val="center"/>
            <w:hideMark/>
          </w:tcPr>
          <w:p w14:paraId="02E25909" w14:textId="77777777" w:rsidR="002F5D0C" w:rsidRPr="002F5D0C" w:rsidRDefault="002F5D0C" w:rsidP="00A62177">
            <w:pPr>
              <w:jc w:val="center"/>
              <w:rPr>
                <w:sz w:val="20"/>
                <w:szCs w:val="20"/>
              </w:rPr>
            </w:pPr>
            <w:r w:rsidRPr="002F5D0C">
              <w:rPr>
                <w:sz w:val="20"/>
                <w:szCs w:val="20"/>
              </w:rPr>
              <w:t>0,99</w:t>
            </w:r>
          </w:p>
        </w:tc>
        <w:tc>
          <w:tcPr>
            <w:tcW w:w="866" w:type="dxa"/>
            <w:noWrap/>
            <w:vAlign w:val="center"/>
            <w:hideMark/>
          </w:tcPr>
          <w:p w14:paraId="407E55AF" w14:textId="77777777" w:rsidR="002F5D0C" w:rsidRPr="002F5D0C" w:rsidRDefault="002F5D0C" w:rsidP="00024255">
            <w:pPr>
              <w:rPr>
                <w:sz w:val="20"/>
                <w:szCs w:val="20"/>
              </w:rPr>
            </w:pPr>
            <w:r w:rsidRPr="002F5D0C">
              <w:rPr>
                <w:sz w:val="20"/>
                <w:szCs w:val="20"/>
              </w:rPr>
              <w:t>0,13257</w:t>
            </w:r>
          </w:p>
        </w:tc>
        <w:tc>
          <w:tcPr>
            <w:tcW w:w="1005" w:type="dxa"/>
            <w:noWrap/>
            <w:vAlign w:val="center"/>
            <w:hideMark/>
          </w:tcPr>
          <w:p w14:paraId="49A9E2E2" w14:textId="77777777" w:rsidR="002F5D0C" w:rsidRPr="002F5D0C" w:rsidRDefault="002F5D0C" w:rsidP="00024255">
            <w:pPr>
              <w:rPr>
                <w:sz w:val="20"/>
                <w:szCs w:val="20"/>
              </w:rPr>
            </w:pPr>
            <w:r w:rsidRPr="002F5D0C">
              <w:rPr>
                <w:sz w:val="20"/>
                <w:szCs w:val="20"/>
              </w:rPr>
              <w:t>-65057</w:t>
            </w:r>
          </w:p>
        </w:tc>
      </w:tr>
      <w:tr w:rsidR="002F5D0C" w:rsidRPr="002F5D0C" w14:paraId="03DC4F84" w14:textId="77777777" w:rsidTr="000F58F3">
        <w:trPr>
          <w:trHeight w:val="20"/>
          <w:jc w:val="center"/>
        </w:trPr>
        <w:tc>
          <w:tcPr>
            <w:tcW w:w="2141" w:type="dxa"/>
            <w:noWrap/>
            <w:vAlign w:val="center"/>
            <w:hideMark/>
          </w:tcPr>
          <w:p w14:paraId="49E363FB" w14:textId="77777777" w:rsidR="002F5D0C" w:rsidRPr="002F5D0C" w:rsidRDefault="002F5D0C" w:rsidP="00024255">
            <w:pPr>
              <w:rPr>
                <w:sz w:val="20"/>
                <w:szCs w:val="20"/>
              </w:rPr>
            </w:pPr>
            <w:r w:rsidRPr="002F5D0C">
              <w:rPr>
                <w:sz w:val="20"/>
                <w:szCs w:val="20"/>
              </w:rPr>
              <w:t>SBY-MKS</w:t>
            </w:r>
          </w:p>
        </w:tc>
        <w:tc>
          <w:tcPr>
            <w:tcW w:w="628" w:type="dxa"/>
            <w:noWrap/>
            <w:vAlign w:val="center"/>
            <w:hideMark/>
          </w:tcPr>
          <w:p w14:paraId="337F7EA8" w14:textId="77777777" w:rsidR="002F5D0C" w:rsidRPr="002F5D0C" w:rsidRDefault="002F5D0C" w:rsidP="00024255">
            <w:pPr>
              <w:rPr>
                <w:sz w:val="20"/>
                <w:szCs w:val="20"/>
              </w:rPr>
            </w:pPr>
            <w:r w:rsidRPr="002F5D0C">
              <w:rPr>
                <w:sz w:val="20"/>
                <w:szCs w:val="20"/>
              </w:rPr>
              <w:t>0,90</w:t>
            </w:r>
          </w:p>
        </w:tc>
        <w:tc>
          <w:tcPr>
            <w:tcW w:w="1072" w:type="dxa"/>
            <w:noWrap/>
            <w:vAlign w:val="center"/>
            <w:hideMark/>
          </w:tcPr>
          <w:p w14:paraId="3D2AD124" w14:textId="77777777" w:rsidR="002F5D0C" w:rsidRPr="002F5D0C" w:rsidRDefault="002F5D0C" w:rsidP="00A62177">
            <w:pPr>
              <w:jc w:val="center"/>
              <w:rPr>
                <w:sz w:val="20"/>
                <w:szCs w:val="20"/>
              </w:rPr>
            </w:pPr>
            <w:r w:rsidRPr="002F5D0C">
              <w:rPr>
                <w:sz w:val="20"/>
                <w:szCs w:val="20"/>
              </w:rPr>
              <w:t>0,95</w:t>
            </w:r>
          </w:p>
        </w:tc>
        <w:tc>
          <w:tcPr>
            <w:tcW w:w="866" w:type="dxa"/>
            <w:noWrap/>
            <w:vAlign w:val="center"/>
            <w:hideMark/>
          </w:tcPr>
          <w:p w14:paraId="2EA63150" w14:textId="77777777" w:rsidR="002F5D0C" w:rsidRPr="002F5D0C" w:rsidRDefault="002F5D0C" w:rsidP="00024255">
            <w:pPr>
              <w:rPr>
                <w:sz w:val="20"/>
                <w:szCs w:val="20"/>
              </w:rPr>
            </w:pPr>
            <w:r w:rsidRPr="002F5D0C">
              <w:rPr>
                <w:sz w:val="20"/>
                <w:szCs w:val="20"/>
              </w:rPr>
              <w:t>0,01891</w:t>
            </w:r>
          </w:p>
        </w:tc>
        <w:tc>
          <w:tcPr>
            <w:tcW w:w="1005" w:type="dxa"/>
            <w:noWrap/>
            <w:vAlign w:val="center"/>
            <w:hideMark/>
          </w:tcPr>
          <w:p w14:paraId="38BE9EBB" w14:textId="77777777" w:rsidR="002F5D0C" w:rsidRPr="002F5D0C" w:rsidRDefault="002F5D0C" w:rsidP="00024255">
            <w:pPr>
              <w:rPr>
                <w:sz w:val="20"/>
                <w:szCs w:val="20"/>
              </w:rPr>
            </w:pPr>
            <w:r w:rsidRPr="002F5D0C">
              <w:rPr>
                <w:sz w:val="20"/>
                <w:szCs w:val="20"/>
              </w:rPr>
              <w:t>379607</w:t>
            </w:r>
          </w:p>
        </w:tc>
      </w:tr>
      <w:tr w:rsidR="002F5D0C" w:rsidRPr="002F5D0C" w14:paraId="0D712C9C" w14:textId="77777777" w:rsidTr="000F58F3">
        <w:trPr>
          <w:trHeight w:val="20"/>
          <w:jc w:val="center"/>
        </w:trPr>
        <w:tc>
          <w:tcPr>
            <w:tcW w:w="2141" w:type="dxa"/>
            <w:noWrap/>
            <w:vAlign w:val="center"/>
            <w:hideMark/>
          </w:tcPr>
          <w:p w14:paraId="35E33DCA" w14:textId="77777777" w:rsidR="002F5D0C" w:rsidRPr="002F5D0C" w:rsidRDefault="002F5D0C" w:rsidP="00024255">
            <w:pPr>
              <w:rPr>
                <w:sz w:val="20"/>
                <w:szCs w:val="20"/>
              </w:rPr>
            </w:pPr>
            <w:r w:rsidRPr="002F5D0C">
              <w:rPr>
                <w:sz w:val="20"/>
                <w:szCs w:val="20"/>
              </w:rPr>
              <w:t>SBY-SMRND</w:t>
            </w:r>
          </w:p>
        </w:tc>
        <w:tc>
          <w:tcPr>
            <w:tcW w:w="628" w:type="dxa"/>
            <w:noWrap/>
            <w:vAlign w:val="center"/>
            <w:hideMark/>
          </w:tcPr>
          <w:p w14:paraId="69C6491E" w14:textId="77777777" w:rsidR="002F5D0C" w:rsidRPr="002F5D0C" w:rsidRDefault="002F5D0C" w:rsidP="00024255">
            <w:pPr>
              <w:rPr>
                <w:sz w:val="20"/>
                <w:szCs w:val="20"/>
              </w:rPr>
            </w:pPr>
            <w:r w:rsidRPr="002F5D0C">
              <w:rPr>
                <w:sz w:val="20"/>
                <w:szCs w:val="20"/>
              </w:rPr>
              <w:t>0,93</w:t>
            </w:r>
          </w:p>
        </w:tc>
        <w:tc>
          <w:tcPr>
            <w:tcW w:w="1072" w:type="dxa"/>
            <w:noWrap/>
            <w:vAlign w:val="center"/>
            <w:hideMark/>
          </w:tcPr>
          <w:p w14:paraId="76F002D3" w14:textId="77777777" w:rsidR="002F5D0C" w:rsidRPr="002F5D0C" w:rsidRDefault="002F5D0C" w:rsidP="00A62177">
            <w:pPr>
              <w:jc w:val="center"/>
              <w:rPr>
                <w:sz w:val="20"/>
                <w:szCs w:val="20"/>
              </w:rPr>
            </w:pPr>
            <w:r w:rsidRPr="002F5D0C">
              <w:rPr>
                <w:sz w:val="20"/>
                <w:szCs w:val="20"/>
              </w:rPr>
              <w:t>0,97</w:t>
            </w:r>
          </w:p>
        </w:tc>
        <w:tc>
          <w:tcPr>
            <w:tcW w:w="866" w:type="dxa"/>
            <w:noWrap/>
            <w:vAlign w:val="center"/>
            <w:hideMark/>
          </w:tcPr>
          <w:p w14:paraId="70A94D50" w14:textId="77777777" w:rsidR="002F5D0C" w:rsidRPr="002F5D0C" w:rsidRDefault="002F5D0C" w:rsidP="00024255">
            <w:pPr>
              <w:rPr>
                <w:sz w:val="20"/>
                <w:szCs w:val="20"/>
              </w:rPr>
            </w:pPr>
            <w:r w:rsidRPr="002F5D0C">
              <w:rPr>
                <w:sz w:val="20"/>
                <w:szCs w:val="20"/>
              </w:rPr>
              <w:t>0,06558</w:t>
            </w:r>
          </w:p>
        </w:tc>
        <w:tc>
          <w:tcPr>
            <w:tcW w:w="1005" w:type="dxa"/>
            <w:noWrap/>
            <w:vAlign w:val="center"/>
            <w:hideMark/>
          </w:tcPr>
          <w:p w14:paraId="2A07EF39" w14:textId="77777777" w:rsidR="002F5D0C" w:rsidRPr="002F5D0C" w:rsidRDefault="002F5D0C" w:rsidP="00024255">
            <w:pPr>
              <w:rPr>
                <w:sz w:val="20"/>
                <w:szCs w:val="20"/>
              </w:rPr>
            </w:pPr>
            <w:r w:rsidRPr="002F5D0C">
              <w:rPr>
                <w:sz w:val="20"/>
                <w:szCs w:val="20"/>
              </w:rPr>
              <w:t>-6883</w:t>
            </w:r>
          </w:p>
        </w:tc>
      </w:tr>
      <w:tr w:rsidR="002F5D0C" w:rsidRPr="002F5D0C" w14:paraId="32E99E5E" w14:textId="77777777" w:rsidTr="000F58F3">
        <w:trPr>
          <w:trHeight w:val="20"/>
          <w:jc w:val="center"/>
        </w:trPr>
        <w:tc>
          <w:tcPr>
            <w:tcW w:w="2141" w:type="dxa"/>
            <w:noWrap/>
            <w:vAlign w:val="center"/>
            <w:hideMark/>
          </w:tcPr>
          <w:p w14:paraId="49C91A6A" w14:textId="77777777" w:rsidR="002F5D0C" w:rsidRPr="002F5D0C" w:rsidRDefault="002F5D0C" w:rsidP="00024255">
            <w:pPr>
              <w:rPr>
                <w:sz w:val="20"/>
                <w:szCs w:val="20"/>
              </w:rPr>
            </w:pPr>
            <w:r w:rsidRPr="002F5D0C">
              <w:rPr>
                <w:sz w:val="20"/>
                <w:szCs w:val="20"/>
              </w:rPr>
              <w:t>MKS-JKT</w:t>
            </w:r>
          </w:p>
        </w:tc>
        <w:tc>
          <w:tcPr>
            <w:tcW w:w="628" w:type="dxa"/>
            <w:noWrap/>
            <w:vAlign w:val="center"/>
            <w:hideMark/>
          </w:tcPr>
          <w:p w14:paraId="430721C2" w14:textId="77777777" w:rsidR="002F5D0C" w:rsidRPr="002F5D0C" w:rsidRDefault="002F5D0C" w:rsidP="00024255">
            <w:pPr>
              <w:rPr>
                <w:sz w:val="20"/>
                <w:szCs w:val="20"/>
              </w:rPr>
            </w:pPr>
            <w:r w:rsidRPr="002F5D0C">
              <w:rPr>
                <w:sz w:val="20"/>
                <w:szCs w:val="20"/>
              </w:rPr>
              <w:t>0,97</w:t>
            </w:r>
          </w:p>
        </w:tc>
        <w:tc>
          <w:tcPr>
            <w:tcW w:w="1072" w:type="dxa"/>
            <w:noWrap/>
            <w:vAlign w:val="center"/>
            <w:hideMark/>
          </w:tcPr>
          <w:p w14:paraId="03A6F3BC" w14:textId="77777777" w:rsidR="002F5D0C" w:rsidRPr="002F5D0C" w:rsidRDefault="002F5D0C" w:rsidP="00A62177">
            <w:pPr>
              <w:jc w:val="center"/>
              <w:rPr>
                <w:sz w:val="20"/>
                <w:szCs w:val="20"/>
              </w:rPr>
            </w:pPr>
            <w:r w:rsidRPr="002F5D0C">
              <w:rPr>
                <w:sz w:val="20"/>
                <w:szCs w:val="20"/>
              </w:rPr>
              <w:t>0,99</w:t>
            </w:r>
          </w:p>
        </w:tc>
        <w:tc>
          <w:tcPr>
            <w:tcW w:w="866" w:type="dxa"/>
            <w:noWrap/>
            <w:vAlign w:val="center"/>
            <w:hideMark/>
          </w:tcPr>
          <w:p w14:paraId="36E1281F" w14:textId="77777777" w:rsidR="002F5D0C" w:rsidRPr="002F5D0C" w:rsidRDefault="002F5D0C" w:rsidP="00024255">
            <w:pPr>
              <w:rPr>
                <w:sz w:val="20"/>
                <w:szCs w:val="20"/>
              </w:rPr>
            </w:pPr>
            <w:r w:rsidRPr="002F5D0C">
              <w:rPr>
                <w:sz w:val="20"/>
                <w:szCs w:val="20"/>
              </w:rPr>
              <w:t>0,01886</w:t>
            </w:r>
          </w:p>
        </w:tc>
        <w:tc>
          <w:tcPr>
            <w:tcW w:w="1005" w:type="dxa"/>
            <w:noWrap/>
            <w:vAlign w:val="center"/>
            <w:hideMark/>
          </w:tcPr>
          <w:p w14:paraId="76CD0945" w14:textId="77777777" w:rsidR="002F5D0C" w:rsidRPr="002F5D0C" w:rsidRDefault="002F5D0C" w:rsidP="00024255">
            <w:pPr>
              <w:rPr>
                <w:sz w:val="20"/>
                <w:szCs w:val="20"/>
              </w:rPr>
            </w:pPr>
            <w:r w:rsidRPr="002F5D0C">
              <w:rPr>
                <w:sz w:val="20"/>
                <w:szCs w:val="20"/>
              </w:rPr>
              <w:t>124129</w:t>
            </w:r>
          </w:p>
        </w:tc>
      </w:tr>
      <w:tr w:rsidR="002F5D0C" w:rsidRPr="002F5D0C" w14:paraId="5E1FA237" w14:textId="77777777" w:rsidTr="000F58F3">
        <w:trPr>
          <w:trHeight w:val="20"/>
          <w:jc w:val="center"/>
        </w:trPr>
        <w:tc>
          <w:tcPr>
            <w:tcW w:w="2141" w:type="dxa"/>
            <w:noWrap/>
            <w:vAlign w:val="center"/>
            <w:hideMark/>
          </w:tcPr>
          <w:p w14:paraId="476D5131" w14:textId="77777777" w:rsidR="002F5D0C" w:rsidRPr="002F5D0C" w:rsidRDefault="002F5D0C" w:rsidP="00024255">
            <w:pPr>
              <w:rPr>
                <w:sz w:val="20"/>
                <w:szCs w:val="20"/>
              </w:rPr>
            </w:pPr>
            <w:r w:rsidRPr="002F5D0C">
              <w:rPr>
                <w:sz w:val="20"/>
                <w:szCs w:val="20"/>
              </w:rPr>
              <w:t>MKS-AMB</w:t>
            </w:r>
          </w:p>
        </w:tc>
        <w:tc>
          <w:tcPr>
            <w:tcW w:w="628" w:type="dxa"/>
            <w:noWrap/>
            <w:vAlign w:val="center"/>
            <w:hideMark/>
          </w:tcPr>
          <w:p w14:paraId="47D0A4DC" w14:textId="77777777" w:rsidR="002F5D0C" w:rsidRPr="002F5D0C" w:rsidRDefault="002F5D0C" w:rsidP="00024255">
            <w:pPr>
              <w:rPr>
                <w:sz w:val="20"/>
                <w:szCs w:val="20"/>
              </w:rPr>
            </w:pPr>
            <w:r w:rsidRPr="002F5D0C">
              <w:rPr>
                <w:sz w:val="20"/>
                <w:szCs w:val="20"/>
              </w:rPr>
              <w:t>0,89</w:t>
            </w:r>
          </w:p>
        </w:tc>
        <w:tc>
          <w:tcPr>
            <w:tcW w:w="1072" w:type="dxa"/>
            <w:noWrap/>
            <w:vAlign w:val="center"/>
            <w:hideMark/>
          </w:tcPr>
          <w:p w14:paraId="2A516084" w14:textId="77777777" w:rsidR="002F5D0C" w:rsidRPr="002F5D0C" w:rsidRDefault="002F5D0C" w:rsidP="00A62177">
            <w:pPr>
              <w:jc w:val="center"/>
              <w:rPr>
                <w:sz w:val="20"/>
                <w:szCs w:val="20"/>
              </w:rPr>
            </w:pPr>
            <w:r w:rsidRPr="002F5D0C">
              <w:rPr>
                <w:sz w:val="20"/>
                <w:szCs w:val="20"/>
              </w:rPr>
              <w:t>0,94</w:t>
            </w:r>
          </w:p>
        </w:tc>
        <w:tc>
          <w:tcPr>
            <w:tcW w:w="866" w:type="dxa"/>
            <w:noWrap/>
            <w:vAlign w:val="center"/>
            <w:hideMark/>
          </w:tcPr>
          <w:p w14:paraId="0EF08491" w14:textId="77777777" w:rsidR="002F5D0C" w:rsidRPr="002F5D0C" w:rsidRDefault="002F5D0C" w:rsidP="00024255">
            <w:pPr>
              <w:rPr>
                <w:sz w:val="20"/>
                <w:szCs w:val="20"/>
              </w:rPr>
            </w:pPr>
            <w:r w:rsidRPr="002F5D0C">
              <w:rPr>
                <w:sz w:val="20"/>
                <w:szCs w:val="20"/>
              </w:rPr>
              <w:t>0,05090</w:t>
            </w:r>
          </w:p>
        </w:tc>
        <w:tc>
          <w:tcPr>
            <w:tcW w:w="1005" w:type="dxa"/>
            <w:noWrap/>
            <w:vAlign w:val="center"/>
            <w:hideMark/>
          </w:tcPr>
          <w:p w14:paraId="3C1A75A2" w14:textId="77777777" w:rsidR="002F5D0C" w:rsidRPr="002F5D0C" w:rsidRDefault="002F5D0C" w:rsidP="00024255">
            <w:pPr>
              <w:rPr>
                <w:sz w:val="20"/>
                <w:szCs w:val="20"/>
              </w:rPr>
            </w:pPr>
            <w:r w:rsidRPr="002F5D0C">
              <w:rPr>
                <w:sz w:val="20"/>
                <w:szCs w:val="20"/>
              </w:rPr>
              <w:t>16340</w:t>
            </w:r>
          </w:p>
        </w:tc>
      </w:tr>
      <w:tr w:rsidR="002F5D0C" w:rsidRPr="002F5D0C" w14:paraId="7ACFE39C" w14:textId="77777777" w:rsidTr="000F58F3">
        <w:trPr>
          <w:trHeight w:val="20"/>
          <w:jc w:val="center"/>
        </w:trPr>
        <w:tc>
          <w:tcPr>
            <w:tcW w:w="2141" w:type="dxa"/>
            <w:noWrap/>
            <w:vAlign w:val="center"/>
            <w:hideMark/>
          </w:tcPr>
          <w:p w14:paraId="7E9EF410" w14:textId="77777777" w:rsidR="002F5D0C" w:rsidRPr="002F5D0C" w:rsidRDefault="002F5D0C" w:rsidP="00024255">
            <w:pPr>
              <w:rPr>
                <w:sz w:val="20"/>
                <w:szCs w:val="20"/>
              </w:rPr>
            </w:pPr>
            <w:r w:rsidRPr="002F5D0C">
              <w:rPr>
                <w:sz w:val="20"/>
                <w:szCs w:val="20"/>
              </w:rPr>
              <w:t>MKS-BIT</w:t>
            </w:r>
          </w:p>
        </w:tc>
        <w:tc>
          <w:tcPr>
            <w:tcW w:w="628" w:type="dxa"/>
            <w:noWrap/>
            <w:vAlign w:val="center"/>
            <w:hideMark/>
          </w:tcPr>
          <w:p w14:paraId="33061315" w14:textId="77777777" w:rsidR="002F5D0C" w:rsidRPr="002F5D0C" w:rsidRDefault="002F5D0C" w:rsidP="00024255">
            <w:pPr>
              <w:rPr>
                <w:sz w:val="20"/>
                <w:szCs w:val="20"/>
              </w:rPr>
            </w:pPr>
            <w:r w:rsidRPr="002F5D0C">
              <w:rPr>
                <w:sz w:val="20"/>
                <w:szCs w:val="20"/>
              </w:rPr>
              <w:t>0,92</w:t>
            </w:r>
          </w:p>
        </w:tc>
        <w:tc>
          <w:tcPr>
            <w:tcW w:w="1072" w:type="dxa"/>
            <w:noWrap/>
            <w:vAlign w:val="center"/>
            <w:hideMark/>
          </w:tcPr>
          <w:p w14:paraId="0B16DD7B" w14:textId="77777777" w:rsidR="002F5D0C" w:rsidRPr="002F5D0C" w:rsidRDefault="002F5D0C" w:rsidP="00A62177">
            <w:pPr>
              <w:jc w:val="center"/>
              <w:rPr>
                <w:sz w:val="20"/>
                <w:szCs w:val="20"/>
              </w:rPr>
            </w:pPr>
            <w:r w:rsidRPr="002F5D0C">
              <w:rPr>
                <w:sz w:val="20"/>
                <w:szCs w:val="20"/>
              </w:rPr>
              <w:t>0,96</w:t>
            </w:r>
          </w:p>
        </w:tc>
        <w:tc>
          <w:tcPr>
            <w:tcW w:w="866" w:type="dxa"/>
            <w:noWrap/>
            <w:vAlign w:val="center"/>
            <w:hideMark/>
          </w:tcPr>
          <w:p w14:paraId="073B6ACA" w14:textId="77777777" w:rsidR="002F5D0C" w:rsidRPr="002F5D0C" w:rsidRDefault="002F5D0C" w:rsidP="00024255">
            <w:pPr>
              <w:rPr>
                <w:sz w:val="20"/>
                <w:szCs w:val="20"/>
              </w:rPr>
            </w:pPr>
            <w:r w:rsidRPr="002F5D0C">
              <w:rPr>
                <w:sz w:val="20"/>
                <w:szCs w:val="20"/>
              </w:rPr>
              <w:t>0,03996</w:t>
            </w:r>
          </w:p>
        </w:tc>
        <w:tc>
          <w:tcPr>
            <w:tcW w:w="1005" w:type="dxa"/>
            <w:noWrap/>
            <w:vAlign w:val="center"/>
            <w:hideMark/>
          </w:tcPr>
          <w:p w14:paraId="0D7C7637" w14:textId="77777777" w:rsidR="002F5D0C" w:rsidRPr="002F5D0C" w:rsidRDefault="002F5D0C" w:rsidP="00024255">
            <w:pPr>
              <w:rPr>
                <w:sz w:val="20"/>
                <w:szCs w:val="20"/>
              </w:rPr>
            </w:pPr>
            <w:r w:rsidRPr="002F5D0C">
              <w:rPr>
                <w:sz w:val="20"/>
                <w:szCs w:val="20"/>
              </w:rPr>
              <w:t>10589</w:t>
            </w:r>
          </w:p>
        </w:tc>
      </w:tr>
      <w:bookmarkEnd w:id="3"/>
    </w:tbl>
    <w:p w14:paraId="3690332E" w14:textId="77777777" w:rsidR="0070750E" w:rsidRDefault="0070750E" w:rsidP="002F5D0C">
      <w:pPr>
        <w:ind w:left="720" w:firstLine="851"/>
        <w:jc w:val="both"/>
      </w:pPr>
    </w:p>
    <w:p w14:paraId="2025295C" w14:textId="58A060D7" w:rsidR="002F5D0C" w:rsidRDefault="0070750E" w:rsidP="002F5D0C">
      <w:pPr>
        <w:ind w:left="720" w:firstLine="851"/>
        <w:jc w:val="both"/>
      </w:pPr>
      <w:r w:rsidRPr="0070750E">
        <w:lastRenderedPageBreak/>
        <w:t>The analysis results show that the coefficient of determination (RSQ) is 0.87 to 0.97 on the analysed routes. This value indicates that the PDRB variable influences 87% to 97% on the container load variable</w:t>
      </w:r>
      <w:r w:rsidR="002F5D0C">
        <w:t>.</w:t>
      </w:r>
    </w:p>
    <w:p w14:paraId="7C8D7968" w14:textId="77777777" w:rsidR="00035E26" w:rsidRDefault="00035E26" w:rsidP="002F5D0C">
      <w:pPr>
        <w:ind w:left="720" w:firstLine="851"/>
        <w:jc w:val="both"/>
      </w:pPr>
    </w:p>
    <w:p w14:paraId="4F0A9CC6" w14:textId="5DA8BA29" w:rsidR="00A300D8" w:rsidRDefault="00A300D8" w:rsidP="00A300D8">
      <w:pPr>
        <w:pStyle w:val="Heading4"/>
      </w:pPr>
      <w:r>
        <w:t>Demand Curve</w:t>
      </w:r>
    </w:p>
    <w:p w14:paraId="2CFAAA36" w14:textId="5C28EB64" w:rsidR="002F5D0C" w:rsidRDefault="0070750E" w:rsidP="00A771BD">
      <w:pPr>
        <w:ind w:left="720" w:firstLine="851"/>
        <w:jc w:val="both"/>
      </w:pPr>
      <w:r w:rsidRPr="0070750E">
        <w:t>The demand curve is a curve used to determine how the graph forms between the number of goods needed in the market (quantity) and the expected price (price). To determine this curve in the domestic container shipping industry, the Q value is represented by the volume of container demand on each route, multiplied by each route's distance. The value of price determined by interviewing the shipper association then converted into a demand curve based on reality in the field. Thus, the following results were obtained</w:t>
      </w:r>
    </w:p>
    <w:p w14:paraId="7EBB6B75" w14:textId="77777777" w:rsidR="006C25FD" w:rsidRDefault="006C25FD" w:rsidP="00A771BD">
      <w:pPr>
        <w:ind w:left="720" w:firstLine="851"/>
        <w:jc w:val="both"/>
      </w:pPr>
    </w:p>
    <w:p w14:paraId="56F5F47A" w14:textId="2AD1ABD1" w:rsidR="00A771BD" w:rsidRDefault="00496B04" w:rsidP="00A771BD">
      <w:pPr>
        <w:keepNext/>
        <w:ind w:left="720" w:hanging="436"/>
        <w:jc w:val="center"/>
      </w:pPr>
      <w:r>
        <w:rPr>
          <w:noProof/>
        </w:rPr>
        <w:drawing>
          <wp:inline distT="0" distB="0" distL="0" distR="0" wp14:anchorId="48B942F9" wp14:editId="064B2054">
            <wp:extent cx="4337079" cy="3028476"/>
            <wp:effectExtent l="0" t="0" r="6350" b="635"/>
            <wp:docPr id="1" name="Chart 1">
              <a:extLst xmlns:a="http://schemas.openxmlformats.org/drawingml/2006/main">
                <a:ext uri="{FF2B5EF4-FFF2-40B4-BE49-F238E27FC236}">
                  <a16:creationId xmlns:a16="http://schemas.microsoft.com/office/drawing/2014/main" id="{ED5D40D7-6F27-4C14-BE5E-5FC99D80F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4461C0" w14:textId="769F9780" w:rsidR="00A771BD" w:rsidRPr="00A771BD" w:rsidRDefault="00A771BD" w:rsidP="00A771BD">
      <w:pPr>
        <w:pStyle w:val="Caption"/>
        <w:jc w:val="center"/>
        <w:rPr>
          <w:i w:val="0"/>
          <w:iCs w:val="0"/>
          <w:color w:val="000000" w:themeColor="text1"/>
          <w:sz w:val="22"/>
          <w:szCs w:val="22"/>
        </w:rPr>
      </w:pPr>
      <w:r w:rsidRPr="00A771BD">
        <w:rPr>
          <w:i w:val="0"/>
          <w:iCs w:val="0"/>
          <w:color w:val="000000" w:themeColor="text1"/>
          <w:sz w:val="22"/>
          <w:szCs w:val="22"/>
        </w:rPr>
        <w:t xml:space="preserve">Figure </w:t>
      </w:r>
      <w:r w:rsidR="0077461D">
        <w:rPr>
          <w:i w:val="0"/>
          <w:iCs w:val="0"/>
          <w:color w:val="000000" w:themeColor="text1"/>
          <w:sz w:val="22"/>
          <w:szCs w:val="22"/>
        </w:rPr>
        <w:t>2</w:t>
      </w:r>
      <w:r w:rsidRPr="00A771BD">
        <w:rPr>
          <w:i w:val="0"/>
          <w:iCs w:val="0"/>
          <w:color w:val="000000" w:themeColor="text1"/>
          <w:sz w:val="22"/>
          <w:szCs w:val="22"/>
        </w:rPr>
        <w:t xml:space="preserve"> Demand Curve</w:t>
      </w:r>
      <w:r w:rsidR="001770D6">
        <w:rPr>
          <w:i w:val="0"/>
          <w:iCs w:val="0"/>
          <w:color w:val="000000" w:themeColor="text1"/>
          <w:sz w:val="22"/>
          <w:szCs w:val="22"/>
        </w:rPr>
        <w:t xml:space="preserve"> of Domestic Container Shipping</w:t>
      </w:r>
    </w:p>
    <w:p w14:paraId="5CF5C833" w14:textId="77777777" w:rsidR="0070750E" w:rsidRDefault="0070750E" w:rsidP="0070750E">
      <w:pPr>
        <w:ind w:firstLine="851"/>
        <w:jc w:val="both"/>
      </w:pPr>
      <w:r>
        <w:t>The curve above shows the shipping demand curve and how it moves against the prevailing shipping rates. The demand curve consists only of two routes, the Jakarta-Surabaya route and the Surabaya Makassar route. Furthermore, an analysis of elasticity on the demand curve is carried out to determine the market characteristics of the domestic container shipping industry's demand. This analysis was performed using the midpoint elasticity method. This method was chosen because it can measure the value of elasticity between two points in a certain period. The two points used are the lowest and highest points on the demand curve in Figure 5.</w:t>
      </w:r>
    </w:p>
    <w:p w14:paraId="0E0F7E49" w14:textId="536B036F" w:rsidR="006C25FD" w:rsidRDefault="0070750E" w:rsidP="0070750E">
      <w:pPr>
        <w:ind w:firstLine="851"/>
        <w:jc w:val="both"/>
      </w:pPr>
      <w:r>
        <w:t xml:space="preserve">Based on the calculation, it is known that the elasticity value of the demand side of the domestic container shipping industry is 0.31. This value indicates that the </w:t>
      </w:r>
      <w:r w:rsidRPr="001D4DEF">
        <w:rPr>
          <w:i/>
          <w:iCs/>
        </w:rPr>
        <w:t>demand side is inelastic to price changes</w:t>
      </w:r>
      <w:r>
        <w:t xml:space="preserve"> (Elasticity &lt;1). The goods owner has no other choice when ocean freight is increased by the shipping company other than sending at the rate set by the shipping company. This forces the goods' owner to send his goods at the rates imposed by the shipping company. The demand curve's elasticity is not completely inelastic because there is still a slight change in the quantity when the tariff is increased. If the tariff is too expensive, it could be not feasible for the end-users to purchase the goods</w:t>
      </w:r>
      <w:r w:rsidR="00A771BD">
        <w:t>.</w:t>
      </w:r>
      <w:r w:rsidR="006C25FD">
        <w:t xml:space="preserve"> </w:t>
      </w:r>
    </w:p>
    <w:p w14:paraId="2B757C4B" w14:textId="0C4B52B2" w:rsidR="006C25FD" w:rsidRDefault="00792043" w:rsidP="006C25FD">
      <w:pPr>
        <w:ind w:firstLine="851"/>
        <w:jc w:val="both"/>
      </w:pPr>
      <w:r>
        <w:t>This finding is inline with the results of other studies</w:t>
      </w:r>
      <w:r w:rsidR="006C25FD">
        <w:t xml:space="preserve"> that i</w:t>
      </w:r>
      <w:r w:rsidRPr="00792043">
        <w:t>n shipping markets, transport demand is known to be highly inelastic with respect to freight rates.</w:t>
      </w:r>
      <w:r w:rsidR="006C25FD">
        <w:t xml:space="preserve"> </w:t>
      </w:r>
      <w:r w:rsidRPr="00792043">
        <w:t>Beenstock and Vergottis (1989),</w:t>
      </w:r>
      <w:r w:rsidR="006C25FD">
        <w:t xml:space="preserve"> </w:t>
      </w:r>
      <w:r w:rsidRPr="00792043">
        <w:t>Wada</w:t>
      </w:r>
      <w:r w:rsidR="006C25FD">
        <w:t xml:space="preserve"> </w:t>
      </w:r>
      <w:r w:rsidRPr="00792043">
        <w:t>et</w:t>
      </w:r>
      <w:r w:rsidR="006C25FD">
        <w:t>.</w:t>
      </w:r>
      <w:r w:rsidRPr="00792043">
        <w:t>al.</w:t>
      </w:r>
      <w:r w:rsidR="006C25FD">
        <w:t xml:space="preserve"> </w:t>
      </w:r>
      <w:r w:rsidRPr="00792043">
        <w:t>(2018), Bai et</w:t>
      </w:r>
      <w:r w:rsidR="006C25FD">
        <w:t>.</w:t>
      </w:r>
      <w:r w:rsidRPr="00792043">
        <w:t>al. (2022) considered demand to be perfectly</w:t>
      </w:r>
      <w:r w:rsidR="006C25FD">
        <w:t xml:space="preserve"> </w:t>
      </w:r>
      <w:r w:rsidRPr="00792043">
        <w:t>inelastic to freight rates.</w:t>
      </w:r>
      <w:r w:rsidR="006C25FD">
        <w:t xml:space="preserve"> </w:t>
      </w:r>
    </w:p>
    <w:p w14:paraId="0229E7A1" w14:textId="77777777" w:rsidR="00792043" w:rsidRDefault="00792043" w:rsidP="0070750E">
      <w:pPr>
        <w:ind w:firstLine="851"/>
        <w:jc w:val="both"/>
      </w:pPr>
    </w:p>
    <w:p w14:paraId="3F011E6A" w14:textId="3229436B" w:rsidR="007E1AF6" w:rsidRDefault="007E1AF6" w:rsidP="007E1AF6">
      <w:pPr>
        <w:pStyle w:val="Heading2"/>
        <w:numPr>
          <w:ilvl w:val="1"/>
          <w:numId w:val="18"/>
        </w:numPr>
      </w:pPr>
      <w:r>
        <w:lastRenderedPageBreak/>
        <w:t xml:space="preserve">The </w:t>
      </w:r>
      <w:r w:rsidR="00A300D8">
        <w:t>Supply</w:t>
      </w:r>
      <w:r>
        <w:t xml:space="preserve"> </w:t>
      </w:r>
      <w:r w:rsidR="00A300D8">
        <w:t>Side Analysis</w:t>
      </w:r>
    </w:p>
    <w:p w14:paraId="740C2E78" w14:textId="426882D6" w:rsidR="00A300D8" w:rsidRDefault="00A300D8" w:rsidP="00A300D8">
      <w:pPr>
        <w:pStyle w:val="Heading4"/>
        <w:numPr>
          <w:ilvl w:val="3"/>
          <w:numId w:val="20"/>
        </w:numPr>
      </w:pPr>
      <w:r>
        <w:t>Market Structure Analysis</w:t>
      </w:r>
    </w:p>
    <w:p w14:paraId="3E701925" w14:textId="4A37D485" w:rsidR="00A771BD" w:rsidRDefault="001D4DEF" w:rsidP="00F40CA8">
      <w:pPr>
        <w:ind w:left="720" w:firstLine="851"/>
        <w:jc w:val="both"/>
      </w:pPr>
      <w:r w:rsidRPr="00907ACC">
        <w:rPr>
          <w:noProof/>
        </w:rPr>
        <w:drawing>
          <wp:anchor distT="0" distB="0" distL="114300" distR="114300" simplePos="0" relativeHeight="251658752" behindDoc="0" locked="0" layoutInCell="1" allowOverlap="1" wp14:anchorId="5D4AE5FF" wp14:editId="7A8E3C0B">
            <wp:simplePos x="0" y="0"/>
            <wp:positionH relativeFrom="column">
              <wp:posOffset>2576195</wp:posOffset>
            </wp:positionH>
            <wp:positionV relativeFrom="paragraph">
              <wp:posOffset>726232</wp:posOffset>
            </wp:positionV>
            <wp:extent cx="3391535" cy="2232660"/>
            <wp:effectExtent l="0" t="0" r="18415" b="15240"/>
            <wp:wrapThrough wrapText="bothSides">
              <wp:wrapPolygon edited="0">
                <wp:start x="0" y="0"/>
                <wp:lineTo x="0" y="21563"/>
                <wp:lineTo x="21596" y="21563"/>
                <wp:lineTo x="21596" y="0"/>
                <wp:lineTo x="0" y="0"/>
              </wp:wrapPolygon>
            </wp:wrapThrough>
            <wp:docPr id="2" name="Chart 2">
              <a:extLst xmlns:a="http://schemas.openxmlformats.org/drawingml/2006/main">
                <a:ext uri="{FF2B5EF4-FFF2-40B4-BE49-F238E27FC236}">
                  <a16:creationId xmlns:a16="http://schemas.microsoft.com/office/drawing/2014/main" id="{7CC04F04-AA43-4F26-8F70-D12CC8580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0750E" w:rsidRPr="0070750E">
        <w:t xml:space="preserve">This analysis uses the Herfindahl-Hirschman Index (HHI) calculation method. This index is used to measure market concentration and conduct evaluations. HHI is obtained by squaring each company's market share and then adding up the results of all these squared numbers. In 2019, the conditions for the domestic container shipping market were as </w:t>
      </w:r>
      <w:proofErr w:type="gramStart"/>
      <w:r w:rsidR="0070750E" w:rsidRPr="0070750E">
        <w:t>follows</w:t>
      </w:r>
      <w:r w:rsidR="00A771BD">
        <w:t>;</w:t>
      </w:r>
      <w:proofErr w:type="gramEnd"/>
    </w:p>
    <w:p w14:paraId="59963A19" w14:textId="5AE0BEBE" w:rsidR="00A771BD" w:rsidRPr="00A771BD" w:rsidRDefault="001D4DEF" w:rsidP="001D4DEF">
      <w:pPr>
        <w:keepNext/>
        <w:jc w:val="center"/>
        <w:rPr>
          <w:i/>
          <w:iCs/>
          <w:color w:val="000000" w:themeColor="text1"/>
          <w:szCs w:val="22"/>
        </w:rPr>
      </w:pPr>
      <w:r w:rsidRPr="00907ACC">
        <w:rPr>
          <w:noProof/>
        </w:rPr>
        <w:drawing>
          <wp:anchor distT="0" distB="0" distL="114300" distR="114300" simplePos="0" relativeHeight="251656704" behindDoc="0" locked="0" layoutInCell="1" allowOverlap="1" wp14:anchorId="493DF40A" wp14:editId="19809A0E">
            <wp:simplePos x="0" y="0"/>
            <wp:positionH relativeFrom="column">
              <wp:posOffset>175895</wp:posOffset>
            </wp:positionH>
            <wp:positionV relativeFrom="paragraph">
              <wp:posOffset>84455</wp:posOffset>
            </wp:positionV>
            <wp:extent cx="2253615" cy="2211070"/>
            <wp:effectExtent l="0" t="0" r="13335" b="17780"/>
            <wp:wrapThrough wrapText="bothSides">
              <wp:wrapPolygon edited="0">
                <wp:start x="0" y="0"/>
                <wp:lineTo x="0" y="21588"/>
                <wp:lineTo x="21545" y="21588"/>
                <wp:lineTo x="21545" y="0"/>
                <wp:lineTo x="0" y="0"/>
              </wp:wrapPolygon>
            </wp:wrapThrough>
            <wp:docPr id="5" name="Chart 5">
              <a:extLst xmlns:a="http://schemas.openxmlformats.org/drawingml/2006/main">
                <a:ext uri="{FF2B5EF4-FFF2-40B4-BE49-F238E27FC236}">
                  <a16:creationId xmlns:a16="http://schemas.microsoft.com/office/drawing/2014/main" id="{D314CB3A-3AF3-48C9-8C10-B91ED0902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771BD" w:rsidRPr="00A771BD">
        <w:rPr>
          <w:color w:val="000000" w:themeColor="text1"/>
          <w:szCs w:val="22"/>
        </w:rPr>
        <w:t xml:space="preserve">Figure </w:t>
      </w:r>
      <w:r w:rsidR="00A771BD" w:rsidRPr="00A771BD">
        <w:rPr>
          <w:i/>
          <w:iCs/>
          <w:color w:val="000000" w:themeColor="text1"/>
          <w:szCs w:val="22"/>
        </w:rPr>
        <w:fldChar w:fldCharType="begin"/>
      </w:r>
      <w:r w:rsidR="00A771BD" w:rsidRPr="00A771BD">
        <w:rPr>
          <w:color w:val="000000" w:themeColor="text1"/>
          <w:szCs w:val="22"/>
        </w:rPr>
        <w:instrText xml:space="preserve"> SEQ Figure \* ARABIC </w:instrText>
      </w:r>
      <w:r w:rsidR="00A771BD" w:rsidRPr="00A771BD">
        <w:rPr>
          <w:i/>
          <w:iCs/>
          <w:color w:val="000000" w:themeColor="text1"/>
          <w:szCs w:val="22"/>
        </w:rPr>
        <w:fldChar w:fldCharType="separate"/>
      </w:r>
      <w:r w:rsidR="004B6CE6">
        <w:rPr>
          <w:noProof/>
          <w:color w:val="000000" w:themeColor="text1"/>
          <w:szCs w:val="22"/>
        </w:rPr>
        <w:t>2</w:t>
      </w:r>
      <w:r w:rsidR="00A771BD" w:rsidRPr="00A771BD">
        <w:rPr>
          <w:i/>
          <w:iCs/>
          <w:color w:val="000000" w:themeColor="text1"/>
          <w:szCs w:val="22"/>
        </w:rPr>
        <w:fldChar w:fldCharType="end"/>
      </w:r>
      <w:r w:rsidR="00A771BD" w:rsidRPr="00A771BD">
        <w:rPr>
          <w:color w:val="000000" w:themeColor="text1"/>
          <w:szCs w:val="22"/>
        </w:rPr>
        <w:t xml:space="preserve"> HHI Score</w:t>
      </w:r>
      <w:r w:rsidR="00907ACC">
        <w:rPr>
          <w:color w:val="000000" w:themeColor="text1"/>
          <w:szCs w:val="22"/>
        </w:rPr>
        <w:t xml:space="preserve"> a Whole</w:t>
      </w:r>
      <w:r w:rsidR="001770D6">
        <w:rPr>
          <w:color w:val="000000" w:themeColor="text1"/>
          <w:szCs w:val="22"/>
        </w:rPr>
        <w:t xml:space="preserve"> </w:t>
      </w:r>
      <w:r w:rsidR="00907ACC">
        <w:rPr>
          <w:color w:val="000000" w:themeColor="text1"/>
          <w:szCs w:val="22"/>
        </w:rPr>
        <w:t>Shipping Industri</w:t>
      </w:r>
    </w:p>
    <w:p w14:paraId="25AA55DA" w14:textId="77777777" w:rsidR="001D4DEF" w:rsidRDefault="001D4DEF" w:rsidP="00524F7D">
      <w:pPr>
        <w:ind w:left="720" w:firstLine="851"/>
        <w:jc w:val="both"/>
      </w:pPr>
    </w:p>
    <w:p w14:paraId="03F19C0B" w14:textId="7B026359" w:rsidR="00524F7D" w:rsidRDefault="00524F7D" w:rsidP="00524F7D">
      <w:pPr>
        <w:ind w:left="720" w:firstLine="851"/>
        <w:jc w:val="both"/>
      </w:pPr>
      <w:r>
        <w:t>The authors first review on a national scale and found that the domestic container shipping industry is classified as an industry with moderate concentration (HHI &lt;2,500) in 2019. The four largest companies controlled 86.2% market share, with an index of HHI 2108. Meanwhile, the top 10 and top 20 largest companies controlled 95.4% of the market and 98.5% of the domestic container market with HHI 1957 and 1939.</w:t>
      </w:r>
    </w:p>
    <w:p w14:paraId="519A4F2E" w14:textId="42D190CA" w:rsidR="00623B60" w:rsidRDefault="00524F7D" w:rsidP="00524F7D">
      <w:pPr>
        <w:ind w:left="720" w:firstLine="851"/>
        <w:jc w:val="both"/>
      </w:pPr>
      <w:r>
        <w:t xml:space="preserve">As for the time series analysis from 2017 to 2019, there is an upward trend in the value of HHI. It indicates that the market conditions are increasingly concentrated (from 1,297 to 1,937) within the period given. </w:t>
      </w:r>
      <w:proofErr w:type="gramStart"/>
      <w:r>
        <w:t>It can be seen that the</w:t>
      </w:r>
      <w:proofErr w:type="gramEnd"/>
      <w:r>
        <w:t xml:space="preserve"> 4 largest companies have a positive trend in dominating the market (from 67.7% to 86.24%) </w:t>
      </w:r>
      <w:proofErr w:type="gramStart"/>
      <w:r>
        <w:t>in a given</w:t>
      </w:r>
      <w:proofErr w:type="gramEnd"/>
      <w:r>
        <w:t xml:space="preserve"> period. On the other hand, other than the top 4, they are </w:t>
      </w:r>
      <w:r w:rsidR="00EB3BCE">
        <w:t>experiencing</w:t>
      </w:r>
      <w:r>
        <w:t xml:space="preserve"> a decrease in the value of HHI, which shows that apart from the 4 largest companies, the company is getting weaker in controlling the market and thereby increasing market competition in the non-4 largest market </w:t>
      </w:r>
      <w:r w:rsidR="00EB3BCE">
        <w:t>segments.</w:t>
      </w:r>
    </w:p>
    <w:p w14:paraId="7916D962" w14:textId="77777777" w:rsidR="000A27C0" w:rsidRDefault="000A27C0" w:rsidP="00623B60">
      <w:pPr>
        <w:ind w:left="720" w:firstLine="851"/>
        <w:jc w:val="both"/>
      </w:pPr>
    </w:p>
    <w:p w14:paraId="53C3DC86" w14:textId="77777777" w:rsidR="00D85949" w:rsidRDefault="000A27C0" w:rsidP="00D85949">
      <w:pPr>
        <w:keepNext/>
        <w:ind w:left="720" w:hanging="436"/>
      </w:pPr>
      <w:r w:rsidRPr="000A27C0">
        <w:rPr>
          <w:noProof/>
        </w:rPr>
        <w:lastRenderedPageBreak/>
        <w:drawing>
          <wp:inline distT="0" distB="0" distL="0" distR="0" wp14:anchorId="5459F0FC" wp14:editId="24B880CD">
            <wp:extent cx="5760085" cy="3115945"/>
            <wp:effectExtent l="0" t="0" r="12065" b="8255"/>
            <wp:docPr id="6" name="Chart 6">
              <a:extLst xmlns:a="http://schemas.openxmlformats.org/drawingml/2006/main">
                <a:ext uri="{FF2B5EF4-FFF2-40B4-BE49-F238E27FC236}">
                  <a16:creationId xmlns:a16="http://schemas.microsoft.com/office/drawing/2014/main" id="{D9D1DFEE-178A-4F6B-A176-01CE441A5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3AADC2" w14:textId="1E798CB6" w:rsidR="000A27C0" w:rsidRPr="00D85949" w:rsidRDefault="00D85949" w:rsidP="00D85949">
      <w:pPr>
        <w:pStyle w:val="Caption"/>
        <w:jc w:val="center"/>
        <w:rPr>
          <w:i w:val="0"/>
          <w:iCs w:val="0"/>
          <w:color w:val="000000" w:themeColor="text1"/>
          <w:sz w:val="22"/>
          <w:szCs w:val="22"/>
        </w:rPr>
      </w:pPr>
      <w:r w:rsidRPr="00D85949">
        <w:rPr>
          <w:i w:val="0"/>
          <w:iCs w:val="0"/>
          <w:color w:val="000000" w:themeColor="text1"/>
          <w:sz w:val="22"/>
          <w:szCs w:val="22"/>
        </w:rPr>
        <w:t xml:space="preserve">Figure </w:t>
      </w:r>
      <w:r w:rsidRPr="00D85949">
        <w:rPr>
          <w:i w:val="0"/>
          <w:iCs w:val="0"/>
          <w:color w:val="000000" w:themeColor="text1"/>
          <w:sz w:val="22"/>
          <w:szCs w:val="22"/>
        </w:rPr>
        <w:fldChar w:fldCharType="begin"/>
      </w:r>
      <w:r w:rsidRPr="00D85949">
        <w:rPr>
          <w:i w:val="0"/>
          <w:iCs w:val="0"/>
          <w:color w:val="000000" w:themeColor="text1"/>
          <w:sz w:val="22"/>
          <w:szCs w:val="22"/>
        </w:rPr>
        <w:instrText xml:space="preserve"> SEQ Figure \* ARABIC </w:instrText>
      </w:r>
      <w:r w:rsidRPr="00D85949">
        <w:rPr>
          <w:i w:val="0"/>
          <w:iCs w:val="0"/>
          <w:color w:val="000000" w:themeColor="text1"/>
          <w:sz w:val="22"/>
          <w:szCs w:val="22"/>
        </w:rPr>
        <w:fldChar w:fldCharType="separate"/>
      </w:r>
      <w:r w:rsidR="004B6CE6">
        <w:rPr>
          <w:i w:val="0"/>
          <w:iCs w:val="0"/>
          <w:noProof/>
          <w:color w:val="000000" w:themeColor="text1"/>
          <w:sz w:val="22"/>
          <w:szCs w:val="22"/>
        </w:rPr>
        <w:t>3</w:t>
      </w:r>
      <w:r w:rsidRPr="00D85949">
        <w:rPr>
          <w:i w:val="0"/>
          <w:iCs w:val="0"/>
          <w:color w:val="000000" w:themeColor="text1"/>
          <w:sz w:val="22"/>
          <w:szCs w:val="22"/>
        </w:rPr>
        <w:fldChar w:fldCharType="end"/>
      </w:r>
      <w:r w:rsidRPr="00D85949">
        <w:rPr>
          <w:i w:val="0"/>
          <w:iCs w:val="0"/>
          <w:color w:val="000000" w:themeColor="text1"/>
          <w:sz w:val="22"/>
          <w:szCs w:val="22"/>
          <w:lang w:val="en-US"/>
        </w:rPr>
        <w:t xml:space="preserve"> HHI Score for Every Route</w:t>
      </w:r>
    </w:p>
    <w:p w14:paraId="2DCC4145" w14:textId="77777777" w:rsidR="00524F7D" w:rsidRDefault="00524F7D" w:rsidP="00524F7D">
      <w:pPr>
        <w:ind w:left="720" w:firstLine="851"/>
        <w:jc w:val="both"/>
      </w:pPr>
      <w:r>
        <w:t xml:space="preserve">After reviewing the HHI as a whole nation, the authors compared to HHI score for some liner routes. Based on the above figure, it is known that none is categorized in the competitive zone among the largest routes for domestic containers. Considering that all HHI index values are above 1500, which indicates the higher market concentration.  The high number of players is not an indicator of a competitive market. To prove this, it can be seen on the Jakarta-Surabaya route with an HHI value of 3692. On the Jakarta-Surabaya route, there are 10 companies. In the Jakarta-Surabaya route, even though the number of companies is large, 80% of the market is controlled by one </w:t>
      </w:r>
      <w:proofErr w:type="gramStart"/>
      <w:r>
        <w:t>particular company</w:t>
      </w:r>
      <w:proofErr w:type="gramEnd"/>
      <w:r>
        <w:t xml:space="preserve">. </w:t>
      </w:r>
    </w:p>
    <w:p w14:paraId="0FF0B9AE" w14:textId="77777777" w:rsidR="00524F7D" w:rsidRDefault="00524F7D" w:rsidP="00524F7D">
      <w:pPr>
        <w:ind w:left="720" w:firstLine="851"/>
        <w:jc w:val="both"/>
      </w:pPr>
      <w:r>
        <w:t xml:space="preserve">The different results of HHI as a whole industry and HHI in smaller views per-route indicates that the four large companies dominating the market </w:t>
      </w:r>
      <w:proofErr w:type="gramStart"/>
      <w:r>
        <w:t>actually do</w:t>
      </w:r>
      <w:proofErr w:type="gramEnd"/>
      <w:r>
        <w:t xml:space="preserve"> not compete directly on certain routes. The large companies tend not to have market shares that overlap each other within the same routes they operated. Under these conditions, the analysis of HHI per-route will give high results (concentrated market and weak competition) that HHI as a whole industry. Similarly, if the analysis was conducted on the aggregate level nationally, the value of HHI is much lower (1,558).</w:t>
      </w:r>
    </w:p>
    <w:p w14:paraId="0F95C542" w14:textId="7BBED18C" w:rsidR="00850487" w:rsidRDefault="00524F7D" w:rsidP="00524F7D">
      <w:pPr>
        <w:ind w:left="720" w:firstLine="851"/>
        <w:jc w:val="both"/>
      </w:pPr>
      <w:r>
        <w:t>Moreover, a high HHI value cannot always be interpreted negatively. The routes on the right side of the graph, for example, are basically non-commercial routes. These routes are operated on the principle of transport to promote the trade. Therefore, a high HHI on this route indicates that there is no market competition. The state generally subsidizes ships that operate in these routes</w:t>
      </w:r>
      <w:r w:rsidR="00850487">
        <w:t>.</w:t>
      </w:r>
    </w:p>
    <w:p w14:paraId="35688DC3" w14:textId="35176B09" w:rsidR="00623B60" w:rsidRDefault="00623B60" w:rsidP="00E92931">
      <w:pPr>
        <w:ind w:left="720" w:firstLine="851"/>
        <w:jc w:val="both"/>
      </w:pPr>
    </w:p>
    <w:p w14:paraId="3BFE37C0" w14:textId="5E13FE77" w:rsidR="00A300D8" w:rsidRDefault="00A300D8" w:rsidP="00A300D8">
      <w:pPr>
        <w:pStyle w:val="Heading4"/>
      </w:pPr>
      <w:r>
        <w:lastRenderedPageBreak/>
        <w:t xml:space="preserve">The </w:t>
      </w:r>
      <w:r w:rsidR="001770D6">
        <w:t>Flexibility of Supply Side in the Liner Shipping Industry</w:t>
      </w:r>
    </w:p>
    <w:p w14:paraId="20AF5DCD" w14:textId="13C686DC" w:rsidR="00E92931" w:rsidRDefault="00AD79A0" w:rsidP="00E92931">
      <w:pPr>
        <w:ind w:left="720" w:firstLine="851"/>
        <w:jc w:val="both"/>
      </w:pPr>
      <w:r>
        <w:rPr>
          <w:noProof/>
        </w:rPr>
        <w:drawing>
          <wp:anchor distT="0" distB="0" distL="114300" distR="114300" simplePos="0" relativeHeight="251663872" behindDoc="0" locked="0" layoutInCell="1" allowOverlap="1" wp14:anchorId="189C8E45" wp14:editId="1731C6A6">
            <wp:simplePos x="0" y="0"/>
            <wp:positionH relativeFrom="column">
              <wp:posOffset>3056255</wp:posOffset>
            </wp:positionH>
            <wp:positionV relativeFrom="paragraph">
              <wp:posOffset>563245</wp:posOffset>
            </wp:positionV>
            <wp:extent cx="3194050" cy="2661285"/>
            <wp:effectExtent l="0" t="0" r="6350" b="5715"/>
            <wp:wrapThrough wrapText="bothSides">
              <wp:wrapPolygon edited="0">
                <wp:start x="0" y="0"/>
                <wp:lineTo x="0" y="21492"/>
                <wp:lineTo x="21514" y="21492"/>
                <wp:lineTo x="21514" y="0"/>
                <wp:lineTo x="0" y="0"/>
              </wp:wrapPolygon>
            </wp:wrapThrough>
            <wp:docPr id="9" name="Chart 9">
              <a:extLst xmlns:a="http://schemas.openxmlformats.org/drawingml/2006/main">
                <a:ext uri="{FF2B5EF4-FFF2-40B4-BE49-F238E27FC236}">
                  <a16:creationId xmlns:a16="http://schemas.microsoft.com/office/drawing/2014/main" id="{B825B5C0-5746-42D8-A047-7AB002A3E1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35B986E" wp14:editId="6B9E9E53">
            <wp:simplePos x="0" y="0"/>
            <wp:positionH relativeFrom="column">
              <wp:posOffset>0</wp:posOffset>
            </wp:positionH>
            <wp:positionV relativeFrom="paragraph">
              <wp:posOffset>549910</wp:posOffset>
            </wp:positionV>
            <wp:extent cx="3084195" cy="2674620"/>
            <wp:effectExtent l="0" t="0" r="1905" b="11430"/>
            <wp:wrapThrough wrapText="bothSides">
              <wp:wrapPolygon edited="0">
                <wp:start x="0" y="0"/>
                <wp:lineTo x="0" y="21538"/>
                <wp:lineTo x="21480" y="21538"/>
                <wp:lineTo x="21480" y="0"/>
                <wp:lineTo x="0" y="0"/>
              </wp:wrapPolygon>
            </wp:wrapThrough>
            <wp:docPr id="8" name="Chart 8">
              <a:extLst xmlns:a="http://schemas.openxmlformats.org/drawingml/2006/main">
                <a:ext uri="{FF2B5EF4-FFF2-40B4-BE49-F238E27FC236}">
                  <a16:creationId xmlns:a16="http://schemas.microsoft.com/office/drawing/2014/main" id="{02FBE569-DA7F-49C8-8152-492DC48A1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24F7D" w:rsidRPr="00524F7D">
        <w:t xml:space="preserve">Based on data processing of Ship Arrival and Departure Reports at Ports in Indonesia for the 2017-2019 period, the capacity of ships sailing on domestic routes is obtained, and the following are the </w:t>
      </w:r>
      <w:proofErr w:type="gramStart"/>
      <w:r w:rsidR="00524F7D" w:rsidRPr="00524F7D">
        <w:t>result</w:t>
      </w:r>
      <w:r w:rsidR="00E92931">
        <w:t>;</w:t>
      </w:r>
      <w:proofErr w:type="gramEnd"/>
    </w:p>
    <w:p w14:paraId="20F9FE02" w14:textId="77777777" w:rsidR="00AD79A0" w:rsidRDefault="00AD79A0" w:rsidP="00E92931">
      <w:pPr>
        <w:ind w:left="720" w:firstLine="851"/>
        <w:jc w:val="both"/>
      </w:pPr>
    </w:p>
    <w:p w14:paraId="57F2D22D" w14:textId="385F7F17" w:rsidR="00E92931" w:rsidRDefault="00E92931" w:rsidP="00EE4D91">
      <w:pPr>
        <w:pStyle w:val="Caption"/>
        <w:spacing w:after="0"/>
        <w:jc w:val="center"/>
        <w:rPr>
          <w:i w:val="0"/>
          <w:iCs w:val="0"/>
          <w:color w:val="000000" w:themeColor="text1"/>
          <w:sz w:val="20"/>
          <w:szCs w:val="20"/>
        </w:rPr>
      </w:pPr>
      <w:r w:rsidRPr="00E92931">
        <w:rPr>
          <w:i w:val="0"/>
          <w:iCs w:val="0"/>
          <w:color w:val="000000" w:themeColor="text1"/>
          <w:sz w:val="20"/>
          <w:szCs w:val="20"/>
        </w:rPr>
        <w:t xml:space="preserve">Figure </w:t>
      </w:r>
      <w:r w:rsidRPr="00E92931">
        <w:rPr>
          <w:i w:val="0"/>
          <w:iCs w:val="0"/>
          <w:color w:val="000000" w:themeColor="text1"/>
          <w:sz w:val="20"/>
          <w:szCs w:val="20"/>
        </w:rPr>
        <w:fldChar w:fldCharType="begin"/>
      </w:r>
      <w:r w:rsidRPr="00E92931">
        <w:rPr>
          <w:i w:val="0"/>
          <w:iCs w:val="0"/>
          <w:color w:val="000000" w:themeColor="text1"/>
          <w:sz w:val="20"/>
          <w:szCs w:val="20"/>
        </w:rPr>
        <w:instrText xml:space="preserve"> SEQ Figure \* ARABIC </w:instrText>
      </w:r>
      <w:r w:rsidRPr="00E92931">
        <w:rPr>
          <w:i w:val="0"/>
          <w:iCs w:val="0"/>
          <w:color w:val="000000" w:themeColor="text1"/>
          <w:sz w:val="20"/>
          <w:szCs w:val="20"/>
        </w:rPr>
        <w:fldChar w:fldCharType="separate"/>
      </w:r>
      <w:r w:rsidR="004B6CE6">
        <w:rPr>
          <w:i w:val="0"/>
          <w:iCs w:val="0"/>
          <w:noProof/>
          <w:color w:val="000000" w:themeColor="text1"/>
          <w:sz w:val="20"/>
          <w:szCs w:val="20"/>
        </w:rPr>
        <w:t>4</w:t>
      </w:r>
      <w:r w:rsidRPr="00E92931">
        <w:rPr>
          <w:i w:val="0"/>
          <w:iCs w:val="0"/>
          <w:color w:val="000000" w:themeColor="text1"/>
          <w:sz w:val="20"/>
          <w:szCs w:val="20"/>
        </w:rPr>
        <w:fldChar w:fldCharType="end"/>
      </w:r>
      <w:r w:rsidRPr="00E92931">
        <w:rPr>
          <w:i w:val="0"/>
          <w:iCs w:val="0"/>
          <w:color w:val="000000" w:themeColor="text1"/>
          <w:sz w:val="20"/>
          <w:szCs w:val="20"/>
        </w:rPr>
        <w:t>. Relation between Capacity</w:t>
      </w:r>
      <w:r w:rsidR="00EE4D91">
        <w:rPr>
          <w:i w:val="0"/>
          <w:iCs w:val="0"/>
          <w:color w:val="000000" w:themeColor="text1"/>
          <w:sz w:val="20"/>
          <w:szCs w:val="20"/>
        </w:rPr>
        <w:t>-</w:t>
      </w:r>
      <w:r w:rsidRPr="00E92931">
        <w:rPr>
          <w:i w:val="0"/>
          <w:iCs w:val="0"/>
          <w:color w:val="000000" w:themeColor="text1"/>
          <w:sz w:val="20"/>
          <w:szCs w:val="20"/>
        </w:rPr>
        <w:t xml:space="preserve"> Call</w:t>
      </w:r>
      <w:r w:rsidR="00EE4D91">
        <w:rPr>
          <w:i w:val="0"/>
          <w:iCs w:val="0"/>
          <w:color w:val="000000" w:themeColor="text1"/>
          <w:sz w:val="20"/>
          <w:szCs w:val="20"/>
        </w:rPr>
        <w:t xml:space="preserve"> and </w:t>
      </w:r>
      <w:r w:rsidR="00EE4D91" w:rsidRPr="00E92931">
        <w:rPr>
          <w:i w:val="0"/>
          <w:iCs w:val="0"/>
          <w:color w:val="000000" w:themeColor="text1"/>
          <w:sz w:val="20"/>
          <w:szCs w:val="20"/>
        </w:rPr>
        <w:t>Relation between Ship Number</w:t>
      </w:r>
      <w:r w:rsidR="00EE4D91">
        <w:rPr>
          <w:i w:val="0"/>
          <w:iCs w:val="0"/>
          <w:color w:val="000000" w:themeColor="text1"/>
          <w:sz w:val="20"/>
          <w:szCs w:val="20"/>
        </w:rPr>
        <w:t>-S</w:t>
      </w:r>
      <w:r w:rsidR="00EE4D91" w:rsidRPr="00E92931">
        <w:rPr>
          <w:i w:val="0"/>
          <w:iCs w:val="0"/>
          <w:color w:val="000000" w:themeColor="text1"/>
          <w:sz w:val="20"/>
          <w:szCs w:val="20"/>
        </w:rPr>
        <w:t>hip</w:t>
      </w:r>
      <w:r w:rsidR="00EE4D91">
        <w:rPr>
          <w:i w:val="0"/>
          <w:iCs w:val="0"/>
          <w:color w:val="000000" w:themeColor="text1"/>
          <w:sz w:val="20"/>
          <w:szCs w:val="20"/>
        </w:rPr>
        <w:t xml:space="preserve"> </w:t>
      </w:r>
      <w:r w:rsidR="00EE4D91" w:rsidRPr="00E92931">
        <w:rPr>
          <w:i w:val="0"/>
          <w:iCs w:val="0"/>
          <w:color w:val="000000" w:themeColor="text1"/>
          <w:sz w:val="20"/>
          <w:szCs w:val="20"/>
        </w:rPr>
        <w:t>Call</w:t>
      </w:r>
    </w:p>
    <w:p w14:paraId="19D0275A" w14:textId="77777777" w:rsidR="00AD79A0" w:rsidRDefault="00AD79A0" w:rsidP="00024255">
      <w:pPr>
        <w:ind w:left="720" w:firstLine="851"/>
        <w:jc w:val="both"/>
      </w:pPr>
    </w:p>
    <w:p w14:paraId="47292F13" w14:textId="70CF1FD3" w:rsidR="00E92931" w:rsidRDefault="00524F7D" w:rsidP="00024255">
      <w:pPr>
        <w:ind w:left="720" w:firstLine="851"/>
        <w:jc w:val="both"/>
      </w:pPr>
      <w:r w:rsidRPr="00524F7D">
        <w:t>Based on Figure 4, it is known that domestic container shipping companies serving domestic routes have relatively the same dimensions in each period. However, if further analysis between the call ships and the number of ships serving the route in the same period shows the opposite result. It is also known that there is no relationship between the number of ships and the call ships. Further analysis of the determining factor of both showed a value of 0.03. This means that vessels operated on domestic container shipping routes have a high degree of flexibility and can be changed at any time to another route. In other words, ships that operated in domestic liner routes are not fixed. Shipping companies can substitute, reduce, or add ships to respond to the dynamic market conditions</w:t>
      </w:r>
      <w:r w:rsidR="005B7A89">
        <w:t>.</w:t>
      </w:r>
    </w:p>
    <w:p w14:paraId="5504CAA0" w14:textId="77777777" w:rsidR="00767EEE" w:rsidRPr="00E92931" w:rsidRDefault="00767EEE" w:rsidP="00024255">
      <w:pPr>
        <w:ind w:left="720" w:firstLine="851"/>
        <w:jc w:val="both"/>
      </w:pPr>
    </w:p>
    <w:p w14:paraId="69EB2336" w14:textId="36381183" w:rsidR="00A300D8" w:rsidRDefault="004B3829" w:rsidP="00A300D8">
      <w:pPr>
        <w:pStyle w:val="Heading4"/>
      </w:pPr>
      <w:r>
        <w:t>Supply Curve</w:t>
      </w:r>
    </w:p>
    <w:p w14:paraId="071BE2A8" w14:textId="6A3A6A67" w:rsidR="00F40CA8" w:rsidRDefault="00524F7D" w:rsidP="00F40CA8">
      <w:pPr>
        <w:ind w:left="720" w:firstLine="851"/>
        <w:jc w:val="both"/>
      </w:pPr>
      <w:r w:rsidRPr="00524F7D">
        <w:t>To create a chart of offers consisting of the price (price) and quantity (number of services offered), determined based on freight and the number of container shipments from each port under review. The amount of Q value used is determined from the value of containers sent during the first semester of 2019 and the second semester of 2019. The P-value or freight rate is determined based on interviews with container shipping business actors, forwarder companies, or information from goods owners who are accustomed to using Sea container shipping services</w:t>
      </w:r>
      <w:r w:rsidR="00F40CA8">
        <w:t>.</w:t>
      </w:r>
    </w:p>
    <w:p w14:paraId="5E10ED0C" w14:textId="77777777" w:rsidR="00556B3C" w:rsidRDefault="00556B3C" w:rsidP="00F40CA8">
      <w:pPr>
        <w:ind w:left="720" w:firstLine="851"/>
        <w:jc w:val="both"/>
      </w:pPr>
    </w:p>
    <w:p w14:paraId="3A7699CE" w14:textId="2D12C4EA" w:rsidR="00F40CA8" w:rsidRDefault="00AD79A0" w:rsidP="00F40CA8">
      <w:pPr>
        <w:keepNext/>
        <w:ind w:left="720" w:hanging="11"/>
        <w:jc w:val="center"/>
      </w:pPr>
      <w:r>
        <w:rPr>
          <w:noProof/>
        </w:rPr>
        <w:lastRenderedPageBreak/>
        <w:drawing>
          <wp:inline distT="0" distB="0" distL="0" distR="0" wp14:anchorId="4419122F" wp14:editId="2DC182C5">
            <wp:extent cx="4144489" cy="2588821"/>
            <wp:effectExtent l="0" t="0" r="8890" b="2540"/>
            <wp:docPr id="12" name="Chart 12">
              <a:extLst xmlns:a="http://schemas.openxmlformats.org/drawingml/2006/main">
                <a:ext uri="{FF2B5EF4-FFF2-40B4-BE49-F238E27FC236}">
                  <a16:creationId xmlns:a16="http://schemas.microsoft.com/office/drawing/2014/main" id="{A4732ABB-C65E-4443-AF26-66265D5C7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FA477F" w14:textId="75E8F5F4" w:rsidR="00F40CA8" w:rsidRPr="00F40CA8" w:rsidRDefault="00F40CA8" w:rsidP="00F40CA8">
      <w:pPr>
        <w:pStyle w:val="Caption"/>
        <w:spacing w:after="0"/>
        <w:ind w:firstLine="567"/>
        <w:jc w:val="center"/>
        <w:rPr>
          <w:i w:val="0"/>
          <w:iCs w:val="0"/>
          <w:color w:val="000000" w:themeColor="text1"/>
          <w:sz w:val="20"/>
          <w:szCs w:val="20"/>
        </w:rPr>
      </w:pPr>
      <w:r w:rsidRPr="00F40CA8">
        <w:rPr>
          <w:i w:val="0"/>
          <w:iCs w:val="0"/>
          <w:color w:val="000000" w:themeColor="text1"/>
          <w:sz w:val="20"/>
          <w:szCs w:val="20"/>
        </w:rPr>
        <w:t xml:space="preserve">Figure </w:t>
      </w:r>
      <w:r w:rsidRPr="00F40CA8">
        <w:rPr>
          <w:i w:val="0"/>
          <w:iCs w:val="0"/>
          <w:color w:val="000000" w:themeColor="text1"/>
          <w:sz w:val="20"/>
          <w:szCs w:val="20"/>
        </w:rPr>
        <w:fldChar w:fldCharType="begin"/>
      </w:r>
      <w:r w:rsidRPr="00F40CA8">
        <w:rPr>
          <w:i w:val="0"/>
          <w:iCs w:val="0"/>
          <w:color w:val="000000" w:themeColor="text1"/>
          <w:sz w:val="20"/>
          <w:szCs w:val="20"/>
        </w:rPr>
        <w:instrText xml:space="preserve"> SEQ Figure \* ARABIC </w:instrText>
      </w:r>
      <w:r w:rsidRPr="00F40CA8">
        <w:rPr>
          <w:i w:val="0"/>
          <w:iCs w:val="0"/>
          <w:color w:val="000000" w:themeColor="text1"/>
          <w:sz w:val="20"/>
          <w:szCs w:val="20"/>
        </w:rPr>
        <w:fldChar w:fldCharType="separate"/>
      </w:r>
      <w:r w:rsidR="004B6CE6">
        <w:rPr>
          <w:i w:val="0"/>
          <w:iCs w:val="0"/>
          <w:noProof/>
          <w:color w:val="000000" w:themeColor="text1"/>
          <w:sz w:val="20"/>
          <w:szCs w:val="20"/>
        </w:rPr>
        <w:t>5</w:t>
      </w:r>
      <w:r w:rsidRPr="00F40CA8">
        <w:rPr>
          <w:i w:val="0"/>
          <w:iCs w:val="0"/>
          <w:color w:val="000000" w:themeColor="text1"/>
          <w:sz w:val="20"/>
          <w:szCs w:val="20"/>
        </w:rPr>
        <w:fldChar w:fldCharType="end"/>
      </w:r>
      <w:r w:rsidRPr="00F40CA8">
        <w:rPr>
          <w:i w:val="0"/>
          <w:iCs w:val="0"/>
          <w:color w:val="000000" w:themeColor="text1"/>
          <w:sz w:val="20"/>
          <w:szCs w:val="20"/>
        </w:rPr>
        <w:t xml:space="preserve"> Supply Curve of Domestic Container Shipping</w:t>
      </w:r>
    </w:p>
    <w:p w14:paraId="09D48348" w14:textId="77777777" w:rsidR="00556B3C" w:rsidRDefault="00556B3C" w:rsidP="00A56E87">
      <w:pPr>
        <w:ind w:left="720" w:firstLine="851"/>
        <w:jc w:val="both"/>
      </w:pPr>
    </w:p>
    <w:p w14:paraId="67D9A237" w14:textId="0A2D6050" w:rsidR="00A56E87" w:rsidRDefault="00A56E87" w:rsidP="00A56E87">
      <w:pPr>
        <w:ind w:left="720" w:firstLine="851"/>
        <w:jc w:val="both"/>
      </w:pPr>
      <w:r>
        <w:t>Based on Figure 5, the shape of the domestic container shipping industry's supply curve is flat at first lower left and then climbs steeply upwards. This is also explained by Stopford, 1997 that basically, the supply curve is the aggregate form of the supply curve for each ship with a J-shape. The higher the price as the quantity increases is explained due to the limitations on the ship's dimensions. Therefore, when the quantity increases, at a certain point, it will require business actors to invest in acquiring new vessels so that the price will also rise higher. The authors use a logarithmic scale to avoid numerical error between the two variables.</w:t>
      </w:r>
    </w:p>
    <w:p w14:paraId="23311257" w14:textId="77777777" w:rsidR="00A56E87" w:rsidRDefault="00A56E87" w:rsidP="00A56E87">
      <w:pPr>
        <w:ind w:left="720" w:firstLine="851"/>
        <w:jc w:val="both"/>
      </w:pPr>
      <w:r>
        <w:t xml:space="preserve">Furthermore, an analysis of elasticity on the demand curve is carried out to determine the market characteristics of the domestic container shipping industry's demand. This analysis was performed using the midpoint method. This method was chosen because it can measure the value of elasticity between two points in a certain period. The two points used are the lowest and highest points on the demand curve in Figure 5. </w:t>
      </w:r>
    </w:p>
    <w:p w14:paraId="20049E3E" w14:textId="35B122EA" w:rsidR="00F40CA8" w:rsidRDefault="00A56E87" w:rsidP="00A56E87">
      <w:pPr>
        <w:ind w:left="720" w:firstLine="851"/>
        <w:jc w:val="both"/>
      </w:pPr>
      <w:r>
        <w:t>The elasticity of the supply side of the domestic container shipping industry is 3.16. The elastic condition means that the shipping company can adjust its quantity (increase or decrease) in response to market conditions. This value indicates that the supply side is elastic related to price changes. This elasticity is supported by the previous sub-chapters analysis results, which explains that the vessel capacity's market characteristics are dynamic in nature. Ships from one route can be moved to another route to respond quickly to the market. Therefore, the capacity from the supply side can quickly adjust to the latest market conditions.</w:t>
      </w:r>
    </w:p>
    <w:p w14:paraId="67953363" w14:textId="61E148A3" w:rsidR="00422CB1" w:rsidRDefault="00422CB1" w:rsidP="00A56E87">
      <w:pPr>
        <w:ind w:left="720" w:firstLine="851"/>
        <w:jc w:val="both"/>
      </w:pPr>
    </w:p>
    <w:p w14:paraId="4C90147F" w14:textId="7883EB55" w:rsidR="00A300D8" w:rsidRDefault="00A300D8" w:rsidP="00A300D8">
      <w:pPr>
        <w:pStyle w:val="Heading2"/>
        <w:numPr>
          <w:ilvl w:val="1"/>
          <w:numId w:val="18"/>
        </w:numPr>
      </w:pPr>
      <w:r>
        <w:t xml:space="preserve">Market Equilibrium in Domestic Container Shipping </w:t>
      </w:r>
    </w:p>
    <w:p w14:paraId="36F97371" w14:textId="5ACD8E6D" w:rsidR="00F40CA8" w:rsidRDefault="00524F7D" w:rsidP="00F40CA8">
      <w:pPr>
        <w:ind w:firstLine="792"/>
        <w:jc w:val="both"/>
      </w:pPr>
      <w:r w:rsidRPr="00524F7D">
        <w:t>After obtaining the demand curve and supply curve in the domestic container shipping industry, as shown in Figure 5 and Figure 12, the two curves are combined to see how the two curves interact. The results are as follows</w:t>
      </w:r>
      <w:r w:rsidR="001A5EF6">
        <w:t>:</w:t>
      </w:r>
    </w:p>
    <w:p w14:paraId="076862AC" w14:textId="77777777" w:rsidR="00556B3C" w:rsidRDefault="00556B3C" w:rsidP="00F40CA8">
      <w:pPr>
        <w:ind w:firstLine="792"/>
        <w:jc w:val="both"/>
      </w:pPr>
    </w:p>
    <w:p w14:paraId="57CF8598" w14:textId="264A9C7F" w:rsidR="00F40CA8" w:rsidRDefault="005B7A89" w:rsidP="005B7A89">
      <w:pPr>
        <w:keepNext/>
        <w:ind w:hanging="284"/>
        <w:jc w:val="center"/>
      </w:pPr>
      <w:r>
        <w:rPr>
          <w:noProof/>
        </w:rPr>
        <w:lastRenderedPageBreak/>
        <w:drawing>
          <wp:inline distT="0" distB="0" distL="0" distR="0" wp14:anchorId="17628B95" wp14:editId="797E74D6">
            <wp:extent cx="4337079" cy="3028476"/>
            <wp:effectExtent l="0" t="0" r="6350" b="635"/>
            <wp:docPr id="3" name="Chart 3">
              <a:extLst xmlns:a="http://schemas.openxmlformats.org/drawingml/2006/main">
                <a:ext uri="{FF2B5EF4-FFF2-40B4-BE49-F238E27FC236}">
                  <a16:creationId xmlns:a16="http://schemas.microsoft.com/office/drawing/2014/main" id="{ED5D40D7-6F27-4C14-BE5E-5FC99D80F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3D9A48" w14:textId="78C9BD03" w:rsidR="00F40CA8" w:rsidRPr="00AA4C04" w:rsidRDefault="00F40CA8" w:rsidP="005B7A89">
      <w:pPr>
        <w:pStyle w:val="Caption"/>
        <w:spacing w:after="0"/>
        <w:jc w:val="center"/>
        <w:rPr>
          <w:i w:val="0"/>
          <w:iCs w:val="0"/>
          <w:color w:val="000000" w:themeColor="text1"/>
          <w:sz w:val="20"/>
          <w:szCs w:val="20"/>
        </w:rPr>
      </w:pPr>
      <w:r w:rsidRPr="00F40CA8">
        <w:rPr>
          <w:i w:val="0"/>
          <w:iCs w:val="0"/>
          <w:color w:val="000000" w:themeColor="text1"/>
          <w:sz w:val="20"/>
          <w:szCs w:val="20"/>
        </w:rPr>
        <w:t xml:space="preserve">Figure </w:t>
      </w:r>
      <w:r w:rsidRPr="00F40CA8">
        <w:rPr>
          <w:i w:val="0"/>
          <w:iCs w:val="0"/>
          <w:color w:val="000000" w:themeColor="text1"/>
          <w:sz w:val="20"/>
          <w:szCs w:val="20"/>
        </w:rPr>
        <w:fldChar w:fldCharType="begin"/>
      </w:r>
      <w:r w:rsidRPr="00F40CA8">
        <w:rPr>
          <w:i w:val="0"/>
          <w:iCs w:val="0"/>
          <w:color w:val="000000" w:themeColor="text1"/>
          <w:sz w:val="20"/>
          <w:szCs w:val="20"/>
        </w:rPr>
        <w:instrText xml:space="preserve"> SEQ Figure \* ARABIC </w:instrText>
      </w:r>
      <w:r w:rsidRPr="00F40CA8">
        <w:rPr>
          <w:i w:val="0"/>
          <w:iCs w:val="0"/>
          <w:color w:val="000000" w:themeColor="text1"/>
          <w:sz w:val="20"/>
          <w:szCs w:val="20"/>
        </w:rPr>
        <w:fldChar w:fldCharType="separate"/>
      </w:r>
      <w:r w:rsidR="004B6CE6">
        <w:rPr>
          <w:i w:val="0"/>
          <w:iCs w:val="0"/>
          <w:noProof/>
          <w:color w:val="000000" w:themeColor="text1"/>
          <w:sz w:val="20"/>
          <w:szCs w:val="20"/>
        </w:rPr>
        <w:t>6</w:t>
      </w:r>
      <w:r w:rsidRPr="00F40CA8">
        <w:rPr>
          <w:i w:val="0"/>
          <w:iCs w:val="0"/>
          <w:color w:val="000000" w:themeColor="text1"/>
          <w:sz w:val="20"/>
          <w:szCs w:val="20"/>
        </w:rPr>
        <w:fldChar w:fldCharType="end"/>
      </w:r>
      <w:r w:rsidRPr="00F40CA8">
        <w:rPr>
          <w:i w:val="0"/>
          <w:iCs w:val="0"/>
          <w:color w:val="000000" w:themeColor="text1"/>
          <w:sz w:val="20"/>
          <w:szCs w:val="20"/>
        </w:rPr>
        <w:tab/>
        <w:t>Market Equilibrium</w:t>
      </w:r>
    </w:p>
    <w:p w14:paraId="2E8A495E" w14:textId="77777777" w:rsidR="00556B3C" w:rsidRDefault="00556B3C" w:rsidP="00A56E87">
      <w:pPr>
        <w:ind w:firstLine="792"/>
        <w:jc w:val="both"/>
      </w:pPr>
    </w:p>
    <w:p w14:paraId="3C5A91A2" w14:textId="4A9E1B4E" w:rsidR="00A56E87" w:rsidRDefault="00A56E87" w:rsidP="00A56E87">
      <w:pPr>
        <w:ind w:firstLine="792"/>
        <w:jc w:val="both"/>
      </w:pPr>
      <w:r>
        <w:t xml:space="preserve">Based on the interaction graph in Figure 8, it is known that there is an intersection point between the demand curve and the supply curve on the Surabaya-Makassar route, while on Jakarta-Surabaya route shows the opposite. The equation of the supply curve and the demand curve were then analyzed to find the join equation's roots. The two-equation will intersect at 7.99 and 6.33. As the graph was on a logarithmic scale, they need to convert to the real scale. By using the power formula, </w:t>
      </w:r>
      <w:proofErr w:type="gramStart"/>
      <w:r>
        <w:t>it can be seen that the</w:t>
      </w:r>
      <w:proofErr w:type="gramEnd"/>
      <w:r>
        <w:t xml:space="preserve"> two graphs intersect at a quantity of 99,764,654 TEUs.Nm, and a price of Rp. 2.16 million. A point of intersection between the demand and supply curves indicates that the market has its equilibrium and in good condition. </w:t>
      </w:r>
    </w:p>
    <w:p w14:paraId="755FA98A" w14:textId="68AF7AEE" w:rsidR="0058784D" w:rsidRDefault="00A56E87" w:rsidP="00A56E87">
      <w:pPr>
        <w:ind w:firstLine="792"/>
        <w:jc w:val="both"/>
      </w:pPr>
      <w:r>
        <w:t>On the other hand, the demand curve does not intersect the supply curve at the Jakarta-Surabaya route. The demand curve on the Jakarta-Surabaya route floats above the supply curve. Although the graph was not common in practice and theories, the demand above supply curve condition indicates that the market on the Jakarta-Surabaya route is experiencing a capacity surplus. According to the explanation of the demand side characteristic, it is known that the demand side has control over the quantity, while the supply side has control over the price. The demand side will adjust the freight at any price given by the supply side, while the supply side will adjust the capacity at quantity given by the demand side. Therefore, when the demand and supply side does not intersect caused by the lack of quantity demanded, the market mechanism should be to reduce the ship's capacity so that it will move the supply curve moves horizontally to the left to find its equilibrium</w:t>
      </w:r>
      <w:r w:rsidR="00AA4C04">
        <w:t>.</w:t>
      </w:r>
    </w:p>
    <w:p w14:paraId="23522CBD" w14:textId="77777777" w:rsidR="0058784D" w:rsidRDefault="0058784D" w:rsidP="0058784D">
      <w:pPr>
        <w:keepNext/>
        <w:ind w:firstLine="792"/>
        <w:jc w:val="center"/>
      </w:pPr>
      <w:r>
        <w:rPr>
          <w:noProof/>
        </w:rPr>
        <w:lastRenderedPageBreak/>
        <w:drawing>
          <wp:inline distT="0" distB="0" distL="0" distR="0" wp14:anchorId="344D3FDD" wp14:editId="1297DFB3">
            <wp:extent cx="4143375" cy="2762250"/>
            <wp:effectExtent l="0" t="0" r="9525" b="0"/>
            <wp:docPr id="4" name="Chart 4">
              <a:extLst xmlns:a="http://schemas.openxmlformats.org/drawingml/2006/main">
                <a:ext uri="{FF2B5EF4-FFF2-40B4-BE49-F238E27FC236}">
                  <a16:creationId xmlns:a16="http://schemas.microsoft.com/office/drawing/2014/main" id="{8A5A0C93-E20A-455B-BB59-4DE6B888E0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75349A" w14:textId="432E9110" w:rsidR="00AA4C04" w:rsidRPr="0058784D" w:rsidRDefault="0058784D" w:rsidP="0058784D">
      <w:pPr>
        <w:pStyle w:val="Caption"/>
        <w:jc w:val="center"/>
        <w:rPr>
          <w:i w:val="0"/>
          <w:iCs w:val="0"/>
          <w:color w:val="000000" w:themeColor="text1"/>
          <w:sz w:val="20"/>
          <w:szCs w:val="20"/>
        </w:rPr>
      </w:pPr>
      <w:r w:rsidRPr="0058784D">
        <w:rPr>
          <w:i w:val="0"/>
          <w:iCs w:val="0"/>
          <w:color w:val="000000" w:themeColor="text1"/>
          <w:sz w:val="20"/>
          <w:szCs w:val="20"/>
        </w:rPr>
        <w:t xml:space="preserve">Figure </w:t>
      </w:r>
      <w:r w:rsidRPr="0058784D">
        <w:rPr>
          <w:i w:val="0"/>
          <w:iCs w:val="0"/>
          <w:color w:val="000000" w:themeColor="text1"/>
          <w:sz w:val="20"/>
          <w:szCs w:val="20"/>
        </w:rPr>
        <w:fldChar w:fldCharType="begin"/>
      </w:r>
      <w:r w:rsidRPr="0058784D">
        <w:rPr>
          <w:i w:val="0"/>
          <w:iCs w:val="0"/>
          <w:color w:val="000000" w:themeColor="text1"/>
          <w:sz w:val="20"/>
          <w:szCs w:val="20"/>
        </w:rPr>
        <w:instrText xml:space="preserve"> SEQ Figure \* ARABIC </w:instrText>
      </w:r>
      <w:r w:rsidRPr="0058784D">
        <w:rPr>
          <w:i w:val="0"/>
          <w:iCs w:val="0"/>
          <w:color w:val="000000" w:themeColor="text1"/>
          <w:sz w:val="20"/>
          <w:szCs w:val="20"/>
        </w:rPr>
        <w:fldChar w:fldCharType="separate"/>
      </w:r>
      <w:r w:rsidR="004B6CE6">
        <w:rPr>
          <w:i w:val="0"/>
          <w:iCs w:val="0"/>
          <w:noProof/>
          <w:color w:val="000000" w:themeColor="text1"/>
          <w:sz w:val="20"/>
          <w:szCs w:val="20"/>
        </w:rPr>
        <w:t>7</w:t>
      </w:r>
      <w:r w:rsidRPr="0058784D">
        <w:rPr>
          <w:i w:val="0"/>
          <w:iCs w:val="0"/>
          <w:color w:val="000000" w:themeColor="text1"/>
          <w:sz w:val="20"/>
          <w:szCs w:val="20"/>
        </w:rPr>
        <w:fldChar w:fldCharType="end"/>
      </w:r>
      <w:r w:rsidRPr="0058784D">
        <w:rPr>
          <w:i w:val="0"/>
          <w:iCs w:val="0"/>
          <w:color w:val="000000" w:themeColor="text1"/>
          <w:sz w:val="20"/>
          <w:szCs w:val="20"/>
          <w:lang w:val="en-US"/>
        </w:rPr>
        <w:t xml:space="preserve"> Movement of Supply Curve</w:t>
      </w:r>
    </w:p>
    <w:p w14:paraId="764D3BC2" w14:textId="12E27714" w:rsidR="00204A1F" w:rsidRDefault="00A56E87" w:rsidP="00204A1F">
      <w:pPr>
        <w:ind w:firstLine="792"/>
        <w:jc w:val="both"/>
      </w:pPr>
      <w:r w:rsidRPr="00A56E87">
        <w:t xml:space="preserve">Based on Figure 7, the supply curve shifts horizontally to the left to intercept the demand curve on the Jakarta-Surabaya route at points 7.78 and 6.35. The intersection point is calculated by finding the roots of a joined equation between supply and demand equation. As the number is on a logarithmic scale, it </w:t>
      </w:r>
      <w:proofErr w:type="gramStart"/>
      <w:r w:rsidRPr="00A56E87">
        <w:t>equivalent</w:t>
      </w:r>
      <w:proofErr w:type="gramEnd"/>
      <w:r w:rsidRPr="00A56E87">
        <w:t xml:space="preserve"> to the quantity of (Milion TEUs.Nm) 61,535 and a price of (Rp/TEUs) 2,262,945. The curve shift is a representation of the reduction in the supply quantity of 100 million TEUs.Nm, or the equivalent of 258 thousand TEUs per year due to a surplus. The initial capacity when the surplus was 186 million TEUs.Nm, or 481 thousand TEUs per year. This shift increases the average load factor on the Jakarta-Surabaya route from 0.31 to 0.71. Currently, the route consists of 59 container ships managed by 10 shipping companies. The total capacity of the 59 vessels is 22,183 TEUs. Based on LK3 data for the ports of Tanjung Priok and Tanjung Perak, it is known that the total productivity of the 59 ships reached 788,123 TEUs / year. However, the average load factor was only around 0.2</w:t>
      </w:r>
      <w:r w:rsidR="00AA4C04">
        <w:t xml:space="preserve">. </w:t>
      </w:r>
    </w:p>
    <w:p w14:paraId="35928DB4" w14:textId="77777777" w:rsidR="00AA4C04" w:rsidRPr="00F40CA8" w:rsidRDefault="00AA4C04" w:rsidP="00AA4C04">
      <w:pPr>
        <w:ind w:firstLine="792"/>
        <w:jc w:val="both"/>
      </w:pPr>
    </w:p>
    <w:p w14:paraId="77A7F13F" w14:textId="77777777" w:rsidR="004B3829" w:rsidRDefault="004B3829" w:rsidP="00EB583E">
      <w:pPr>
        <w:pStyle w:val="BodytextIndented"/>
        <w:ind w:firstLine="0"/>
      </w:pPr>
    </w:p>
    <w:p w14:paraId="65BF00F3" w14:textId="76E2D65C" w:rsidR="00F20762" w:rsidRDefault="0079219D" w:rsidP="004B3829">
      <w:pPr>
        <w:pStyle w:val="Heading1"/>
        <w:tabs>
          <w:tab w:val="clear" w:pos="1440"/>
          <w:tab w:val="num" w:pos="426"/>
        </w:tabs>
      </w:pPr>
      <w:r>
        <w:t>Conclusions</w:t>
      </w:r>
    </w:p>
    <w:p w14:paraId="74D07660" w14:textId="77777777" w:rsidR="00B63811" w:rsidRDefault="00B63811" w:rsidP="004B3829">
      <w:pPr>
        <w:jc w:val="both"/>
        <w:rPr>
          <w:lang w:val="en-US" w:eastAsia="zh-CN"/>
        </w:rPr>
      </w:pPr>
    </w:p>
    <w:p w14:paraId="0FE0B05C" w14:textId="77777777" w:rsidR="00B63811" w:rsidRPr="00B63811" w:rsidRDefault="00B63811" w:rsidP="00B63811">
      <w:pPr>
        <w:jc w:val="both"/>
        <w:rPr>
          <w:lang w:val="en-US" w:eastAsia="zh-CN"/>
        </w:rPr>
      </w:pPr>
      <w:r w:rsidRPr="00B63811">
        <w:rPr>
          <w:lang w:val="en-US" w:eastAsia="zh-CN"/>
        </w:rPr>
        <w:t>Our comprehensive analysis of the domestic container shipping industry in Indonesia reveals a fascinating interplay of supply and demand, each with distinct characteristics shaping market dynamics.</w:t>
      </w:r>
    </w:p>
    <w:p w14:paraId="39DA7C8F" w14:textId="77777777" w:rsidR="00B63811" w:rsidRPr="00B63811" w:rsidRDefault="00B63811" w:rsidP="00B63811">
      <w:pPr>
        <w:jc w:val="both"/>
        <w:rPr>
          <w:lang w:val="en-US" w:eastAsia="zh-CN"/>
        </w:rPr>
      </w:pPr>
    </w:p>
    <w:p w14:paraId="0DE94A33" w14:textId="77777777" w:rsidR="00B63811" w:rsidRPr="00B63811" w:rsidRDefault="00B63811" w:rsidP="00B63811">
      <w:pPr>
        <w:jc w:val="both"/>
        <w:rPr>
          <w:lang w:val="en-US" w:eastAsia="zh-CN"/>
        </w:rPr>
      </w:pPr>
      <w:r w:rsidRPr="00B63811">
        <w:rPr>
          <w:lang w:val="en-US" w:eastAsia="zh-CN"/>
        </w:rPr>
        <w:t>On the demand side, the market exhibits a notable inelasticity, with a calculated value of 0.31. This isn't just a number; it paints a clear picture: cargo owners, faced with limited viable alternatives for shipping their goods, largely accept the rates set by shipping companies. In essence, they're in a position where they don't have much leverage to push back on pricing, reflecting a captive audience for these essential services.</w:t>
      </w:r>
    </w:p>
    <w:p w14:paraId="49D04E9C" w14:textId="77777777" w:rsidR="00B63811" w:rsidRPr="00B63811" w:rsidRDefault="00B63811" w:rsidP="00B63811">
      <w:pPr>
        <w:jc w:val="both"/>
        <w:rPr>
          <w:lang w:val="en-US" w:eastAsia="zh-CN"/>
        </w:rPr>
      </w:pPr>
    </w:p>
    <w:p w14:paraId="57648678" w14:textId="319D7177" w:rsidR="00B63811" w:rsidRPr="00B63811" w:rsidRDefault="00B63811" w:rsidP="00B63811">
      <w:pPr>
        <w:jc w:val="both"/>
        <w:rPr>
          <w:lang w:val="en-US" w:eastAsia="zh-CN"/>
        </w:rPr>
      </w:pPr>
      <w:r w:rsidRPr="00B63811">
        <w:rPr>
          <w:lang w:val="en-US" w:eastAsia="zh-CN"/>
        </w:rPr>
        <w:t xml:space="preserve">Turning to the supply side, the market structure is distinctly oligopolistic, as evidenced by Herfindahl-Hirschman Index (HHI) scores ranging from 1833 to 10000, indicating a medium to high concentration. Interestingly, the top four domestic container shipping companies have strategically segmented the market, operating on different routes without significant overlap. This suggests a pre-existing division of territory, preventing direct competition on every single path. Crucially, the supply side demonstrates significant elasticity, with a value of 3.16. This means shipowners have considerable flexibility </w:t>
      </w:r>
      <w:proofErr w:type="gramStart"/>
      <w:r w:rsidRPr="00B63811">
        <w:rPr>
          <w:lang w:val="en-US" w:eastAsia="zh-CN"/>
        </w:rPr>
        <w:t>to adjust</w:t>
      </w:r>
      <w:proofErr w:type="gramEnd"/>
      <w:r w:rsidRPr="00B63811">
        <w:rPr>
          <w:lang w:val="en-US" w:eastAsia="zh-CN"/>
        </w:rPr>
        <w:t xml:space="preserve"> their vessel capacity and operations in response to evolving market conditions, allowing them to scale up or down as demand fluctuates.</w:t>
      </w:r>
    </w:p>
    <w:p w14:paraId="5A5C4D61" w14:textId="77777777" w:rsidR="00B63811" w:rsidRPr="00B63811" w:rsidRDefault="00B63811" w:rsidP="00B63811">
      <w:pPr>
        <w:jc w:val="both"/>
        <w:rPr>
          <w:lang w:val="en-US" w:eastAsia="zh-CN"/>
        </w:rPr>
      </w:pPr>
      <w:r w:rsidRPr="00B63811">
        <w:rPr>
          <w:lang w:val="en-US" w:eastAsia="zh-CN"/>
        </w:rPr>
        <w:lastRenderedPageBreak/>
        <w:t>Analyzing the market equilibrium provides critical insights into the industry's balance points. In the dynamic interplay between supply and demand, it appears that the demand side primarily dictates the quantity of goods shipped, while the supply side holds sway over pricing. A clear equilibrium point was identified on the vital Surabaya-Makassar route, settling at 99.7 million TEUs (Twenty-foot Equivalent Units) and a price of Rp 2.16 million. This indicates a healthy balance where the volume of goods matches the available shipping capacity at a mutually agreeable price.</w:t>
      </w:r>
    </w:p>
    <w:p w14:paraId="22116AFD" w14:textId="77777777" w:rsidR="00B63811" w:rsidRPr="00B63811" w:rsidRDefault="00B63811" w:rsidP="00B63811">
      <w:pPr>
        <w:jc w:val="both"/>
        <w:rPr>
          <w:lang w:val="en-US" w:eastAsia="zh-CN"/>
        </w:rPr>
      </w:pPr>
    </w:p>
    <w:p w14:paraId="169B4DC0" w14:textId="65385050" w:rsidR="00B63811" w:rsidRDefault="00B63811" w:rsidP="00B63811">
      <w:pPr>
        <w:jc w:val="both"/>
        <w:rPr>
          <w:lang w:val="en-US" w:eastAsia="zh-CN"/>
        </w:rPr>
      </w:pPr>
      <w:r w:rsidRPr="00B63811">
        <w:rPr>
          <w:lang w:val="en-US" w:eastAsia="zh-CN"/>
        </w:rPr>
        <w:t xml:space="preserve">However, the picture isn't uniform across all routes. The Jakarta-Surabaya route, another key artery, currently experiences </w:t>
      </w:r>
      <w:r>
        <w:rPr>
          <w:lang w:val="en-US" w:eastAsia="zh-CN"/>
        </w:rPr>
        <w:t>oversupply</w:t>
      </w:r>
      <w:r w:rsidRPr="00B63811">
        <w:rPr>
          <w:lang w:val="en-US" w:eastAsia="zh-CN"/>
        </w:rPr>
        <w:t xml:space="preserve">, meaning there's more shipping capacity than immediate demand. This disequilibrium prevents an </w:t>
      </w:r>
      <w:proofErr w:type="gramStart"/>
      <w:r w:rsidRPr="00B63811">
        <w:rPr>
          <w:lang w:val="en-US" w:eastAsia="zh-CN"/>
        </w:rPr>
        <w:t>intersection point</w:t>
      </w:r>
      <w:proofErr w:type="gramEnd"/>
      <w:r w:rsidRPr="00B63811">
        <w:rPr>
          <w:lang w:val="en-US" w:eastAsia="zh-CN"/>
        </w:rPr>
        <w:t xml:space="preserve"> between the supply and demand curves. To bring this market into balance, a substantial adjustment is required: the supply curve would need to shift horizontally to the left, effectively reducing the available shipping capacity by 258 thousand TEUs per year. This highlights a need for strategic capacity management to align supply with actual demand on this specific route.</w:t>
      </w:r>
    </w:p>
    <w:p w14:paraId="7B66726E" w14:textId="77777777" w:rsidR="00B63811" w:rsidRDefault="00B63811" w:rsidP="004B3829">
      <w:pPr>
        <w:jc w:val="both"/>
        <w:rPr>
          <w:lang w:val="en-US" w:eastAsia="zh-CN"/>
        </w:rPr>
      </w:pPr>
    </w:p>
    <w:p w14:paraId="295893BE" w14:textId="2010CBC2" w:rsidR="008737E5" w:rsidRDefault="008737E5" w:rsidP="008737E5">
      <w:pPr>
        <w:pStyle w:val="NoSpacing"/>
      </w:pPr>
    </w:p>
    <w:p w14:paraId="0B813980" w14:textId="2D728E6C" w:rsidR="008737E5" w:rsidRDefault="008737E5" w:rsidP="008737E5">
      <w:pPr>
        <w:pStyle w:val="Heading1"/>
        <w:tabs>
          <w:tab w:val="clear" w:pos="1440"/>
          <w:tab w:val="num" w:pos="426"/>
        </w:tabs>
      </w:pPr>
      <w:r>
        <w:t>Acknowledgments</w:t>
      </w:r>
    </w:p>
    <w:p w14:paraId="7722038B" w14:textId="6EEEF390" w:rsidR="00767EEE" w:rsidRDefault="00767EEE" w:rsidP="008737E5">
      <w:pPr>
        <w:jc w:val="both"/>
        <w:rPr>
          <w:lang w:val="en-US" w:eastAsia="zh-CN"/>
        </w:rPr>
      </w:pPr>
    </w:p>
    <w:p w14:paraId="6002D61E" w14:textId="6BBD9F93" w:rsidR="00767EEE" w:rsidRDefault="00D413CC" w:rsidP="008737E5">
      <w:pPr>
        <w:jc w:val="both"/>
        <w:rPr>
          <w:lang w:val="en-US" w:eastAsia="zh-CN"/>
        </w:rPr>
      </w:pPr>
      <w:r>
        <w:rPr>
          <w:lang w:val="en-US" w:eastAsia="zh-CN"/>
        </w:rPr>
        <w:t>The authors acknowledge the Department of Marine Transportation Engineering for the facilities and support provided during the entire study of this project. Many challenges were faced by the authors as this is the first attempt to portray the so-called "domestic container market” in Indonesia.</w:t>
      </w:r>
    </w:p>
    <w:p w14:paraId="53917E0F" w14:textId="21055C9F" w:rsidR="009A0487" w:rsidRDefault="009A0487" w:rsidP="00F20762">
      <w:pPr>
        <w:pStyle w:val="Sectionnonumber"/>
      </w:pPr>
      <w:r>
        <w:t>References</w:t>
      </w:r>
    </w:p>
    <w:sdt>
      <w:sdtPr>
        <w:id w:val="935481310"/>
        <w:docPartObj>
          <w:docPartGallery w:val="Bibliographies"/>
          <w:docPartUnique/>
        </w:docPartObj>
      </w:sdtPr>
      <w:sdtContent>
        <w:sdt>
          <w:sdtPr>
            <w:id w:val="111145805"/>
            <w:bibliography/>
          </w:sdtPr>
          <w:sdtContent>
            <w:p w14:paraId="07150ECB" w14:textId="77777777" w:rsidR="00422CB1" w:rsidRDefault="004B3829" w:rsidP="00422CB1">
              <w:pPr>
                <w:pStyle w:val="Bibliography"/>
                <w:rPr>
                  <w:noProof/>
                </w:rPr>
              </w:pPr>
              <w:r>
                <w:rPr>
                  <w:b/>
                </w:rPr>
                <w:fldChar w:fldCharType="begin"/>
              </w:r>
              <w:r>
                <w:instrText xml:space="preserve"> BIBLIOGRAPHY </w:instrText>
              </w:r>
              <w:r>
                <w:rPr>
                  <w:b/>
                </w:rPr>
                <w:fldChar w:fldCharType="separate"/>
              </w:r>
              <w:r w:rsidR="00422CB1">
                <w:rPr>
                  <w:noProof/>
                </w:rPr>
                <w:t xml:space="preserve">Alegria, C. &amp; Schaeck, K., 2008. On measuring concentration in banking system. </w:t>
              </w:r>
              <w:r w:rsidR="00422CB1">
                <w:rPr>
                  <w:i/>
                  <w:iCs/>
                  <w:noProof/>
                </w:rPr>
                <w:t xml:space="preserve">Finance Research Letters, </w:t>
              </w:r>
              <w:r w:rsidR="00422CB1">
                <w:rPr>
                  <w:noProof/>
                </w:rPr>
                <w:t>5(1), pp. 59-67.</w:t>
              </w:r>
            </w:p>
            <w:p w14:paraId="46CCCC39" w14:textId="77777777" w:rsidR="00484190" w:rsidRDefault="00484190" w:rsidP="00484190">
              <w:r>
                <w:t>Bai, X., Jia, H., Xu, M., 2022. Port congestion and the economics of LPG seaborne</w:t>
              </w:r>
            </w:p>
            <w:p w14:paraId="6E206043" w14:textId="1C6C2258" w:rsidR="00484190" w:rsidRDefault="00484190" w:rsidP="00484190">
              <w:r>
                <w:t xml:space="preserve">transportation. </w:t>
              </w:r>
              <w:r w:rsidRPr="00682DC7">
                <w:rPr>
                  <w:i/>
                  <w:iCs/>
                </w:rPr>
                <w:t>Marit. Pol. Manag</w:t>
              </w:r>
              <w:r>
                <w:t xml:space="preserve">. 49 (7), </w:t>
              </w:r>
              <w:r>
                <w:t xml:space="preserve">pp. </w:t>
              </w:r>
              <w:r>
                <w:t>913–929.</w:t>
              </w:r>
            </w:p>
            <w:p w14:paraId="570A14A4" w14:textId="77777777" w:rsidR="00EB3BCE" w:rsidRDefault="00EB3BCE" w:rsidP="00EB3BCE">
              <w:r>
                <w:t>Beenstock, M., Vergottis, A., 1989. An econometric model of the world tanker market.</w:t>
              </w:r>
            </w:p>
            <w:p w14:paraId="703ED9A1" w14:textId="09DA89A2" w:rsidR="00EB3BCE" w:rsidRDefault="00EB3BCE" w:rsidP="00EB3BCE">
              <w:r w:rsidRPr="00682DC7">
                <w:rPr>
                  <w:i/>
                  <w:iCs/>
                </w:rPr>
                <w:t>J. Transport Econ. Pol</w:t>
              </w:r>
              <w:r>
                <w:t xml:space="preserve">. </w:t>
              </w:r>
              <w:r w:rsidR="00484190">
                <w:t xml:space="preserve">pp. </w:t>
              </w:r>
              <w:r>
                <w:t>263–280.</w:t>
              </w:r>
            </w:p>
            <w:p w14:paraId="4DE542A2" w14:textId="77777777" w:rsidR="00422CB1" w:rsidRDefault="00422CB1" w:rsidP="00422CB1">
              <w:pPr>
                <w:pStyle w:val="Bibliography"/>
                <w:rPr>
                  <w:noProof/>
                </w:rPr>
              </w:pPr>
              <w:r>
                <w:rPr>
                  <w:noProof/>
                </w:rPr>
                <w:t xml:space="preserve">Charłampowicz &amp; Jedrzej, 2018. </w:t>
              </w:r>
              <w:r>
                <w:rPr>
                  <w:i/>
                  <w:iCs/>
                  <w:noProof/>
                </w:rPr>
                <w:t xml:space="preserve">Analysis of the market concentration of the container shipping markets – selected issues, </w:t>
              </w:r>
              <w:r>
                <w:rPr>
                  <w:noProof/>
                </w:rPr>
                <w:t>Gdynia: Global Maritime Conference.</w:t>
              </w:r>
            </w:p>
            <w:p w14:paraId="6F3A263A" w14:textId="77777777" w:rsidR="00422CB1" w:rsidRDefault="00422CB1" w:rsidP="00422CB1">
              <w:pPr>
                <w:pStyle w:val="Bibliography"/>
                <w:rPr>
                  <w:noProof/>
                </w:rPr>
              </w:pPr>
              <w:r>
                <w:rPr>
                  <w:noProof/>
                </w:rPr>
                <w:t xml:space="preserve">Chou, C.-C., Chu, C.-W. &amp; Liang, G.-S., 2007. A Modified Regression Model for Forecasting the Volumes of Taiwan's Import Containers. </w:t>
              </w:r>
              <w:r>
                <w:rPr>
                  <w:i/>
                  <w:iCs/>
                  <w:noProof/>
                </w:rPr>
                <w:t xml:space="preserve">Mathematical and Computer Modelling, </w:t>
              </w:r>
              <w:r>
                <w:rPr>
                  <w:noProof/>
                </w:rPr>
                <w:t>47(2008), pp. 797-807.</w:t>
              </w:r>
            </w:p>
            <w:p w14:paraId="24D9760F" w14:textId="77777777" w:rsidR="00422CB1" w:rsidRDefault="00422CB1" w:rsidP="00422CB1">
              <w:pPr>
                <w:pStyle w:val="Bibliography"/>
                <w:rPr>
                  <w:noProof/>
                </w:rPr>
              </w:pPr>
              <w:r>
                <w:rPr>
                  <w:noProof/>
                </w:rPr>
                <w:t xml:space="preserve">Drewy Maritime Research, 2017. </w:t>
              </w:r>
              <w:r>
                <w:rPr>
                  <w:i/>
                  <w:iCs/>
                  <w:noProof/>
                </w:rPr>
                <w:t xml:space="preserve">Ship Operating Cost Annual Review &amp; Forecast Annual Report 2017, </w:t>
              </w:r>
              <w:r>
                <w:rPr>
                  <w:noProof/>
                </w:rPr>
                <w:t>s.l.: Drewy Maritime Reserach.</w:t>
              </w:r>
            </w:p>
            <w:p w14:paraId="4592E202" w14:textId="77777777" w:rsidR="00422CB1" w:rsidRDefault="00422CB1" w:rsidP="00422CB1">
              <w:pPr>
                <w:pStyle w:val="Bibliography"/>
                <w:rPr>
                  <w:noProof/>
                </w:rPr>
              </w:pPr>
              <w:r>
                <w:rPr>
                  <w:noProof/>
                </w:rPr>
                <w:t xml:space="preserve">Efes, K. Ö., Baser, S. O. &amp; Acik, A., 2019. Supply-Demand Interaction in the Formation of Freight Rates: China’s Trade Volume as Demand Side in the Dry Bulk Market. </w:t>
              </w:r>
              <w:r>
                <w:rPr>
                  <w:i/>
                  <w:iCs/>
                  <w:noProof/>
                </w:rPr>
                <w:t xml:space="preserve">Scientific Journal of Maritime Research, </w:t>
              </w:r>
              <w:r>
                <w:rPr>
                  <w:noProof/>
                </w:rPr>
                <w:t>Volume 33, pp. 46-55.</w:t>
              </w:r>
            </w:p>
            <w:p w14:paraId="2EF54849" w14:textId="77777777" w:rsidR="00422CB1" w:rsidRDefault="00422CB1" w:rsidP="00422CB1">
              <w:pPr>
                <w:pStyle w:val="Bibliography"/>
                <w:rPr>
                  <w:noProof/>
                </w:rPr>
              </w:pPr>
              <w:r>
                <w:rPr>
                  <w:noProof/>
                </w:rPr>
                <w:t xml:space="preserve">Esmer, S., 2015. Cargo Demand Analysis of Container Terminals in Turkey. </w:t>
              </w:r>
              <w:r>
                <w:rPr>
                  <w:i/>
                  <w:iCs/>
                  <w:noProof/>
                </w:rPr>
                <w:t xml:space="preserve">MAritime Science, </w:t>
              </w:r>
              <w:r>
                <w:rPr>
                  <w:noProof/>
                </w:rPr>
                <w:t>3(2), pp. 117-122.</w:t>
              </w:r>
            </w:p>
            <w:p w14:paraId="12E2DF08" w14:textId="77777777" w:rsidR="00422CB1" w:rsidRDefault="00422CB1" w:rsidP="00422CB1">
              <w:pPr>
                <w:pStyle w:val="Bibliography"/>
                <w:rPr>
                  <w:noProof/>
                </w:rPr>
              </w:pPr>
              <w:r>
                <w:rPr>
                  <w:noProof/>
                </w:rPr>
                <w:t xml:space="preserve">Goulielmos, A. M., 2017. "Containership Markets": A comparison with bulk shipping and a proposed oligopoly model. </w:t>
              </w:r>
              <w:r>
                <w:rPr>
                  <w:i/>
                  <w:iCs/>
                  <w:noProof/>
                </w:rPr>
                <w:t xml:space="preserve">Journal of Economics and Business, </w:t>
              </w:r>
              <w:r>
                <w:rPr>
                  <w:noProof/>
                </w:rPr>
                <w:t>67(2), pp. 47-68.</w:t>
              </w:r>
            </w:p>
            <w:p w14:paraId="2492E676" w14:textId="77777777" w:rsidR="00422CB1" w:rsidRDefault="00422CB1" w:rsidP="00422CB1">
              <w:pPr>
                <w:pStyle w:val="Bibliography"/>
                <w:rPr>
                  <w:noProof/>
                </w:rPr>
              </w:pPr>
              <w:r>
                <w:rPr>
                  <w:noProof/>
                </w:rPr>
                <w:t xml:space="preserve">Hanesey, L., 2014. </w:t>
              </w:r>
              <w:r>
                <w:rPr>
                  <w:i/>
                  <w:iCs/>
                  <w:noProof/>
                </w:rPr>
                <w:t xml:space="preserve">Using Systems Dynamic Modeling for Forecasting Global Container Demand, </w:t>
              </w:r>
              <w:r>
                <w:rPr>
                  <w:noProof/>
                </w:rPr>
                <w:t>Norwich: International Association of Maritime Economists.</w:t>
              </w:r>
            </w:p>
            <w:p w14:paraId="218223D7" w14:textId="09037D42" w:rsidR="00682DC7" w:rsidRDefault="00682DC7" w:rsidP="00682DC7">
              <w:r w:rsidRPr="00484190">
                <w:t>Han,</w:t>
              </w:r>
              <w:r>
                <w:t xml:space="preserve"> S</w:t>
              </w:r>
              <w:r>
                <w:t>.</w:t>
              </w:r>
              <w:r>
                <w:t>W</w:t>
              </w:r>
              <w:r>
                <w:t>.</w:t>
              </w:r>
              <w:r>
                <w:t>,</w:t>
              </w:r>
              <w:r w:rsidRPr="00484190">
                <w:t xml:space="preserve"> Kwak D</w:t>
              </w:r>
              <w:r>
                <w:t>.</w:t>
              </w:r>
              <w:r w:rsidRPr="00484190">
                <w:t>H</w:t>
              </w:r>
              <w:r>
                <w:t>.</w:t>
              </w:r>
              <w:r w:rsidRPr="00484190">
                <w:t>, Byeon</w:t>
              </w:r>
              <w:r>
                <w:t xml:space="preserve">, </w:t>
              </w:r>
              <w:r w:rsidRPr="00484190">
                <w:t>G</w:t>
              </w:r>
              <w:r>
                <w:t>.</w:t>
              </w:r>
              <w:r>
                <w:t>W</w:t>
              </w:r>
              <w:r>
                <w:t>.</w:t>
              </w:r>
              <w:r w:rsidRPr="00484190">
                <w:t>, Woo</w:t>
              </w:r>
              <w:r>
                <w:t>,</w:t>
              </w:r>
              <w:r w:rsidRPr="00484190">
                <w:t xml:space="preserve"> J</w:t>
              </w:r>
              <w:r>
                <w:t>.</w:t>
              </w:r>
              <w:r w:rsidRPr="00484190">
                <w:t>H</w:t>
              </w:r>
              <w:r>
                <w:t>.,</w:t>
              </w:r>
              <w:r>
                <w:t xml:space="preserve"> 2024, </w:t>
              </w:r>
              <w:r w:rsidRPr="00484190">
                <w:t xml:space="preserve">Forecasting </w:t>
              </w:r>
              <w:r w:rsidRPr="00484190">
                <w:t>Shipbuilding Demand Using Shipping Market Modeling</w:t>
              </w:r>
              <w:r w:rsidRPr="00484190">
                <w:t xml:space="preserve">: A </w:t>
              </w:r>
              <w:r>
                <w:t>C</w:t>
              </w:r>
              <w:r w:rsidRPr="00484190">
                <w:t xml:space="preserve">ase </w:t>
              </w:r>
              <w:r>
                <w:t>S</w:t>
              </w:r>
              <w:r w:rsidRPr="00484190">
                <w:t>tudy of LNG</w:t>
              </w:r>
              <w:r>
                <w:t xml:space="preserve">C, </w:t>
              </w:r>
              <w:r w:rsidRPr="00484190">
                <w:rPr>
                  <w:i/>
                  <w:iCs/>
                </w:rPr>
                <w:t>International Journal of Naval Architecture and Ocean Engineering</w:t>
              </w:r>
              <w:r>
                <w:rPr>
                  <w:i/>
                  <w:iCs/>
                </w:rPr>
                <w:t xml:space="preserve"> 16</w:t>
              </w:r>
              <w:r>
                <w:t xml:space="preserve"> </w:t>
              </w:r>
            </w:p>
            <w:p w14:paraId="493F6E58" w14:textId="77777777" w:rsidR="00682DC7" w:rsidRPr="00682DC7" w:rsidRDefault="00682DC7" w:rsidP="00682DC7"/>
            <w:p w14:paraId="32A00B51" w14:textId="77777777" w:rsidR="00422CB1" w:rsidRDefault="00422CB1" w:rsidP="00422CB1">
              <w:pPr>
                <w:pStyle w:val="Bibliography"/>
                <w:rPr>
                  <w:noProof/>
                </w:rPr>
              </w:pPr>
              <w:r>
                <w:rPr>
                  <w:noProof/>
                </w:rPr>
                <w:t xml:space="preserve">Lijesen, M. G., Nijkamp, P. &amp; Rietveld, P., 2002. Measuring Competition in Civil Aviation. </w:t>
              </w:r>
              <w:r>
                <w:rPr>
                  <w:i/>
                  <w:iCs/>
                  <w:noProof/>
                </w:rPr>
                <w:t xml:space="preserve">Journal of Air Transport Management, </w:t>
              </w:r>
              <w:r>
                <w:rPr>
                  <w:noProof/>
                </w:rPr>
                <w:t>8(3), pp. 189-197.</w:t>
              </w:r>
            </w:p>
            <w:p w14:paraId="40DF0315" w14:textId="77777777" w:rsidR="00422CB1" w:rsidRDefault="00422CB1" w:rsidP="00422CB1">
              <w:pPr>
                <w:pStyle w:val="Bibliography"/>
                <w:rPr>
                  <w:noProof/>
                </w:rPr>
              </w:pPr>
              <w:r>
                <w:rPr>
                  <w:noProof/>
                </w:rPr>
                <w:lastRenderedPageBreak/>
                <w:t xml:space="preserve">LUO, M., FAN, L. &amp; LIU, L., 2009. An econometric analysis for container shipping market. </w:t>
              </w:r>
              <w:r>
                <w:rPr>
                  <w:i/>
                  <w:iCs/>
                  <w:noProof/>
                </w:rPr>
                <w:t xml:space="preserve">Maritime Policy Management, </w:t>
              </w:r>
              <w:r>
                <w:rPr>
                  <w:noProof/>
                </w:rPr>
                <w:t>36(6), pp. 507-523.</w:t>
              </w:r>
            </w:p>
            <w:p w14:paraId="4686229B" w14:textId="77777777" w:rsidR="00422CB1" w:rsidRDefault="00422CB1" w:rsidP="00422CB1">
              <w:pPr>
                <w:pStyle w:val="Bibliography"/>
                <w:rPr>
                  <w:noProof/>
                </w:rPr>
              </w:pPr>
              <w:r>
                <w:rPr>
                  <w:noProof/>
                </w:rPr>
                <w:t xml:space="preserve">Noam, E. M., 2008. Did AT&amp;T Die in Vain?. </w:t>
              </w:r>
              <w:r>
                <w:rPr>
                  <w:i/>
                  <w:iCs/>
                  <w:noProof/>
                </w:rPr>
                <w:t xml:space="preserve">Federal Communication Law , </w:t>
              </w:r>
              <w:r>
                <w:rPr>
                  <w:noProof/>
                </w:rPr>
                <w:t>61(1).</w:t>
              </w:r>
            </w:p>
            <w:p w14:paraId="22EA7651" w14:textId="77777777" w:rsidR="00422CB1" w:rsidRDefault="00422CB1" w:rsidP="00422CB1">
              <w:pPr>
                <w:pStyle w:val="Bibliography"/>
                <w:rPr>
                  <w:noProof/>
                </w:rPr>
              </w:pPr>
              <w:r>
                <w:rPr>
                  <w:noProof/>
                </w:rPr>
                <w:t xml:space="preserve">Piraeus Bank, 2017. </w:t>
              </w:r>
              <w:r>
                <w:rPr>
                  <w:i/>
                  <w:iCs/>
                  <w:noProof/>
                </w:rPr>
                <w:t xml:space="preserve">A Structural Model for Forecasting the Shipping Market, </w:t>
              </w:r>
              <w:r>
                <w:rPr>
                  <w:noProof/>
                </w:rPr>
                <w:t>Athena: Piraeus Bank.</w:t>
              </w:r>
            </w:p>
            <w:p w14:paraId="17C9CB62" w14:textId="77777777" w:rsidR="00422CB1" w:rsidRDefault="00422CB1" w:rsidP="00422CB1">
              <w:pPr>
                <w:pStyle w:val="Bibliography"/>
                <w:rPr>
                  <w:noProof/>
                  <w:lang w:val="id-ID"/>
                </w:rPr>
              </w:pPr>
              <w:r>
                <w:rPr>
                  <w:noProof/>
                  <w:lang w:val="id-ID"/>
                </w:rPr>
                <w:t xml:space="preserve">Stopford, M., 2009. </w:t>
              </w:r>
              <w:r>
                <w:rPr>
                  <w:i/>
                  <w:iCs/>
                  <w:noProof/>
                  <w:lang w:val="id-ID"/>
                </w:rPr>
                <w:t xml:space="preserve">Maritime Economics Third Edition. </w:t>
              </w:r>
              <w:r>
                <w:rPr>
                  <w:noProof/>
                  <w:lang w:val="id-ID"/>
                </w:rPr>
                <w:t>Rputledge, New York: s.n.</w:t>
              </w:r>
            </w:p>
            <w:p w14:paraId="338C2CCB" w14:textId="77777777" w:rsidR="00422CB1" w:rsidRDefault="00422CB1" w:rsidP="00422CB1">
              <w:pPr>
                <w:pStyle w:val="Bibliography"/>
                <w:rPr>
                  <w:noProof/>
                </w:rPr>
              </w:pPr>
              <w:r>
                <w:rPr>
                  <w:noProof/>
                </w:rPr>
                <w:t xml:space="preserve">Sys, C., 2016. </w:t>
              </w:r>
              <w:r>
                <w:rPr>
                  <w:i/>
                  <w:iCs/>
                  <w:noProof/>
                </w:rPr>
                <w:t xml:space="preserve">Measuring the Degree of Concentration in the Container Liner Shipping Industry, </w:t>
              </w:r>
              <w:r>
                <w:rPr>
                  <w:noProof/>
                </w:rPr>
                <w:t>Antwerp: University of Antwerp.</w:t>
              </w:r>
            </w:p>
            <w:p w14:paraId="239F3872" w14:textId="77777777" w:rsidR="00422CB1" w:rsidRDefault="00422CB1" w:rsidP="00422CB1">
              <w:pPr>
                <w:pStyle w:val="Bibliography"/>
                <w:rPr>
                  <w:noProof/>
                </w:rPr>
              </w:pPr>
              <w:r>
                <w:rPr>
                  <w:noProof/>
                </w:rPr>
                <w:t xml:space="preserve">UNCTAD, 2018. </w:t>
              </w:r>
              <w:r>
                <w:rPr>
                  <w:i/>
                  <w:iCs/>
                  <w:noProof/>
                </w:rPr>
                <w:t xml:space="preserve">Review of Maritime Transport, </w:t>
              </w:r>
              <w:r>
                <w:rPr>
                  <w:noProof/>
                </w:rPr>
                <w:t>New York: United Nations.</w:t>
              </w:r>
            </w:p>
            <w:p w14:paraId="2E4538F1" w14:textId="77777777" w:rsidR="00422CB1" w:rsidRDefault="00422CB1" w:rsidP="00422CB1">
              <w:pPr>
                <w:pStyle w:val="Bibliography"/>
                <w:rPr>
                  <w:noProof/>
                </w:rPr>
              </w:pPr>
              <w:r>
                <w:rPr>
                  <w:noProof/>
                </w:rPr>
                <w:t xml:space="preserve">Uzonwanne, C. &amp; Ezenekwe, U. R., 2018. </w:t>
              </w:r>
              <w:r>
                <w:rPr>
                  <w:i/>
                  <w:iCs/>
                  <w:noProof/>
                </w:rPr>
                <w:t xml:space="preserve">Market Structure. </w:t>
              </w:r>
              <w:r>
                <w:rPr>
                  <w:noProof/>
                </w:rPr>
                <w:t>Awka: Nnamdi Azikiwe Unibersity.</w:t>
              </w:r>
            </w:p>
            <w:p w14:paraId="09FD3358" w14:textId="77777777" w:rsidR="00EB3BCE" w:rsidRPr="00EB3BCE" w:rsidRDefault="00EB3BCE" w:rsidP="00EB3BCE">
              <w:pPr>
                <w:rPr>
                  <w:lang w:val="en-ID"/>
                </w:rPr>
              </w:pPr>
              <w:r w:rsidRPr="00EB3BCE">
                <w:rPr>
                  <w:lang w:val="en-ID"/>
                </w:rPr>
                <w:t>Wada, Y., Hamada, K., Hirata, N., Seki, K., Yamada, S., 2018. A system dynamics model</w:t>
              </w:r>
            </w:p>
            <w:p w14:paraId="60E3D85C" w14:textId="51A75B75" w:rsidR="00EB3BCE" w:rsidRDefault="00EB3BCE" w:rsidP="00EB3BCE">
              <w:r w:rsidRPr="00EB3BCE">
                <w:rPr>
                  <w:lang w:val="en-ID"/>
                </w:rPr>
                <w:t xml:space="preserve">for shipbuilding demand forecasting. </w:t>
              </w:r>
              <w:r w:rsidRPr="00484190">
                <w:rPr>
                  <w:i/>
                  <w:iCs/>
                  <w:lang w:val="en-ID"/>
                </w:rPr>
                <w:t>J. Mar. Sci. Technol</w:t>
              </w:r>
              <w:r w:rsidRPr="00EB3BCE">
                <w:rPr>
                  <w:lang w:val="en-ID"/>
                </w:rPr>
                <w:t>. 23, 236–252.</w:t>
              </w:r>
            </w:p>
            <w:p w14:paraId="30A652FD" w14:textId="77777777" w:rsidR="00422CB1" w:rsidRDefault="00422CB1" w:rsidP="00422CB1">
              <w:pPr>
                <w:pStyle w:val="Bibliography"/>
                <w:rPr>
                  <w:noProof/>
                </w:rPr>
              </w:pPr>
              <w:r>
                <w:rPr>
                  <w:noProof/>
                </w:rPr>
                <w:t xml:space="preserve">Yasinta, V., 2015. </w:t>
              </w:r>
              <w:r>
                <w:rPr>
                  <w:i/>
                  <w:iCs/>
                  <w:noProof/>
                </w:rPr>
                <w:t xml:space="preserve">INSA: Pelayaran Niaga Sedang Over Supply. </w:t>
              </w:r>
              <w:r>
                <w:rPr>
                  <w:noProof/>
                </w:rPr>
                <w:t xml:space="preserve">[Online] </w:t>
              </w:r>
              <w:r>
                <w:rPr>
                  <w:noProof/>
                </w:rPr>
                <w:br/>
                <w:t xml:space="preserve">Available at: </w:t>
              </w:r>
              <w:r>
                <w:rPr>
                  <w:noProof/>
                  <w:u w:val="single"/>
                </w:rPr>
                <w:t>https://ekonomi.bisnis.com/read/20150408/98/420357/insa-pelayaran-niaga-sedang-over-supply</w:t>
              </w:r>
              <w:r>
                <w:rPr>
                  <w:noProof/>
                </w:rPr>
                <w:br/>
                <w:t>[Accessed 21 July 2020].</w:t>
              </w:r>
            </w:p>
            <w:p w14:paraId="69AE0F4C" w14:textId="0FED0CF6" w:rsidR="00096B5F" w:rsidRDefault="004B3829" w:rsidP="00422CB1">
              <w:r>
                <w:rPr>
                  <w:b/>
                  <w:bCs/>
                  <w:noProof/>
                </w:rPr>
                <w:fldChar w:fldCharType="end"/>
              </w:r>
            </w:p>
          </w:sdtContent>
        </w:sdt>
      </w:sdtContent>
    </w:sdt>
    <w:sectPr w:rsidR="00096B5F">
      <w:headerReference w:type="default" r:id="rId18"/>
      <w:foot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76DE" w14:textId="77777777" w:rsidR="00CD2805" w:rsidRDefault="00CD2805">
      <w:r>
        <w:separator/>
      </w:r>
    </w:p>
  </w:endnote>
  <w:endnote w:type="continuationSeparator" w:id="0">
    <w:p w14:paraId="39C55620" w14:textId="77777777" w:rsidR="00CD2805" w:rsidRDefault="00C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067595"/>
      <w:docPartObj>
        <w:docPartGallery w:val="Page Numbers (Bottom of Page)"/>
        <w:docPartUnique/>
      </w:docPartObj>
    </w:sdtPr>
    <w:sdtContent>
      <w:sdt>
        <w:sdtPr>
          <w:id w:val="-1769616900"/>
          <w:docPartObj>
            <w:docPartGallery w:val="Page Numbers (Top of Page)"/>
            <w:docPartUnique/>
          </w:docPartObj>
        </w:sdtPr>
        <w:sdtContent>
          <w:p w14:paraId="3455E0A8" w14:textId="3998773B" w:rsidR="00C739EE" w:rsidRDefault="00C739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ED168D" w14:textId="77777777" w:rsidR="00C739EE" w:rsidRDefault="00C7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EF39" w14:textId="77777777" w:rsidR="00CD2805" w:rsidRPr="00043761" w:rsidRDefault="00CD2805">
      <w:pPr>
        <w:pStyle w:val="Bulleted"/>
        <w:numPr>
          <w:ilvl w:val="0"/>
          <w:numId w:val="0"/>
        </w:numPr>
        <w:rPr>
          <w:rFonts w:ascii="Sabon" w:hAnsi="Sabon"/>
          <w:color w:val="auto"/>
          <w:szCs w:val="20"/>
        </w:rPr>
      </w:pPr>
      <w:r>
        <w:separator/>
      </w:r>
    </w:p>
  </w:footnote>
  <w:footnote w:type="continuationSeparator" w:id="0">
    <w:p w14:paraId="16D095A6" w14:textId="77777777" w:rsidR="00CD2805" w:rsidRDefault="00CD2805">
      <w:r>
        <w:continuationSeparator/>
      </w:r>
    </w:p>
  </w:footnote>
  <w:footnote w:id="1">
    <w:p w14:paraId="0C1C315E" w14:textId="6A12873B" w:rsidR="00D47A5F" w:rsidRDefault="00D47A5F" w:rsidP="00D47A5F">
      <w:pPr>
        <w:pStyle w:val="FootnoteText"/>
      </w:pPr>
      <w:r>
        <w:rPr>
          <w:rStyle w:val="FootnoteReference"/>
        </w:rPr>
        <w:footnoteRef/>
      </w:r>
      <w:r>
        <w:t xml:space="preserve"> </w:t>
      </w:r>
      <w:r w:rsidRPr="00626148">
        <w:rPr>
          <w:i/>
          <w:iCs/>
        </w:rPr>
        <w:t>Contact</w:t>
      </w:r>
      <w:r>
        <w:t xml:space="preserve">: Tri Achmadi, email: </w:t>
      </w:r>
      <w:hyperlink r:id="rId1" w:history="1">
        <w:r w:rsidR="00B205C6" w:rsidRPr="008F027F">
          <w:rPr>
            <w:rStyle w:val="Hyperlink"/>
          </w:rPr>
          <w:t>triachmadi@its.ac.id</w:t>
        </w:r>
      </w:hyperlink>
      <w:r>
        <w:t>, Dept. of Marine Transportation Engineering, Institut Teknologi Sepuluh Nopember (ITS), Surabaya, Indonesia</w:t>
      </w:r>
    </w:p>
    <w:p w14:paraId="309EA8D5" w14:textId="77777777" w:rsidR="00D47A5F" w:rsidRDefault="00D47A5F" w:rsidP="00D47A5F">
      <w:pPr>
        <w:pStyle w:val="FootnoteText"/>
      </w:pPr>
    </w:p>
  </w:footnote>
  <w:footnote w:id="2">
    <w:p w14:paraId="51BFCA5F" w14:textId="082363F1" w:rsidR="00D47A5F" w:rsidRDefault="00D47A5F" w:rsidP="00D47A5F">
      <w:pPr>
        <w:pStyle w:val="FootnoteText"/>
      </w:pPr>
      <w:r>
        <w:rPr>
          <w:rStyle w:val="FootnoteReference"/>
        </w:rPr>
        <w:footnoteRef/>
      </w:r>
      <w:r>
        <w:t xml:space="preserve"> </w:t>
      </w:r>
      <w:r w:rsidRPr="00626148">
        <w:rPr>
          <w:i/>
          <w:iCs/>
        </w:rPr>
        <w:t>Contact</w:t>
      </w:r>
      <w:r>
        <w:t xml:space="preserve">: </w:t>
      </w:r>
      <w:r w:rsidRPr="00E76AC2">
        <w:t>Izzuddin Baqi</w:t>
      </w:r>
      <w:r>
        <w:t xml:space="preserve">, email: </w:t>
      </w:r>
      <w:hyperlink r:id="rId2" w:history="1">
        <w:r w:rsidR="003B70B4" w:rsidRPr="008F51AF">
          <w:rPr>
            <w:rStyle w:val="Hyperlink"/>
          </w:rPr>
          <w:t>izzuddinbaqi@gmail.com</w:t>
        </w:r>
      </w:hyperlink>
      <w:r>
        <w:t xml:space="preserve"> , Alumni of the Dept. of Marine Transportation Engineering, Institut Teknologi Sepuluh Nopember (ITS), Surabaya,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E607" w14:textId="77777777" w:rsidR="00D47A5F" w:rsidRDefault="00D47A5F"/>
  <w:p w14:paraId="51078DA2" w14:textId="77777777" w:rsidR="00D47A5F" w:rsidRDefault="00D47A5F"/>
  <w:p w14:paraId="29D159B1" w14:textId="77777777" w:rsidR="00D47A5F" w:rsidRDefault="00D47A5F"/>
  <w:p w14:paraId="5F6AACF9" w14:textId="77777777" w:rsidR="00D47A5F" w:rsidRDefault="00D47A5F"/>
  <w:p w14:paraId="1A7AA5D9" w14:textId="77777777" w:rsidR="00D47A5F" w:rsidRDefault="00D47A5F"/>
  <w:p w14:paraId="6E39440E" w14:textId="77777777" w:rsidR="00D47A5F" w:rsidRDefault="00D47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D6D84"/>
    <w:multiLevelType w:val="multilevel"/>
    <w:tmpl w:val="5A726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F0431"/>
    <w:multiLevelType w:val="multilevel"/>
    <w:tmpl w:val="C0D080F4"/>
    <w:lvl w:ilvl="0">
      <w:start w:val="1"/>
      <w:numFmt w:val="decimal"/>
      <w:lvlText w:val="%1."/>
      <w:lvlJc w:val="left"/>
      <w:pPr>
        <w:ind w:left="2450" w:hanging="990"/>
      </w:pPr>
      <w:rPr>
        <w:rFonts w:ascii="Times New Roman" w:eastAsia="Times New Roman" w:hAnsi="Times New Roman" w:cs="Times New Roman" w:hint="default"/>
        <w:sz w:val="26"/>
      </w:rPr>
    </w:lvl>
    <w:lvl w:ilvl="1">
      <w:start w:val="1"/>
      <w:numFmt w:val="decimal"/>
      <w:isLgl/>
      <w:lvlText w:val="2.%2"/>
      <w:lvlJc w:val="left"/>
      <w:pPr>
        <w:ind w:left="1820" w:hanging="360"/>
      </w:pPr>
      <w:rPr>
        <w:rFonts w:ascii="Times New Roman" w:hAnsi="Times New Roman" w:cs="Times New Roman" w:hint="default"/>
        <w:b w:val="0"/>
        <w:bCs/>
        <w:sz w:val="24"/>
        <w:szCs w:val="24"/>
      </w:rPr>
    </w:lvl>
    <w:lvl w:ilvl="2">
      <w:start w:val="1"/>
      <w:numFmt w:val="decimal"/>
      <w:isLgl/>
      <w:lvlText w:val="2.2.%3"/>
      <w:lvlJc w:val="left"/>
      <w:pPr>
        <w:ind w:left="2180" w:hanging="720"/>
      </w:pPr>
      <w:rPr>
        <w:rFonts w:hint="default"/>
        <w:sz w:val="24"/>
      </w:rPr>
    </w:lvl>
    <w:lvl w:ilvl="3">
      <w:start w:val="1"/>
      <w:numFmt w:val="decimal"/>
      <w:isLgl/>
      <w:lvlText w:val="%1.%2.%3.%4"/>
      <w:lvlJc w:val="left"/>
      <w:pPr>
        <w:ind w:left="2180" w:hanging="720"/>
      </w:pPr>
      <w:rPr>
        <w:rFonts w:hint="default"/>
        <w:sz w:val="26"/>
      </w:rPr>
    </w:lvl>
    <w:lvl w:ilvl="4">
      <w:start w:val="1"/>
      <w:numFmt w:val="decimal"/>
      <w:isLgl/>
      <w:lvlText w:val="%1.%2.%3.%4.%5"/>
      <w:lvlJc w:val="left"/>
      <w:pPr>
        <w:ind w:left="2540" w:hanging="1080"/>
      </w:pPr>
      <w:rPr>
        <w:rFonts w:hint="default"/>
        <w:sz w:val="26"/>
      </w:rPr>
    </w:lvl>
    <w:lvl w:ilvl="5">
      <w:start w:val="1"/>
      <w:numFmt w:val="decimal"/>
      <w:isLgl/>
      <w:lvlText w:val="%1.%2.%3.%4.%5.%6"/>
      <w:lvlJc w:val="left"/>
      <w:pPr>
        <w:ind w:left="2540" w:hanging="1080"/>
      </w:pPr>
      <w:rPr>
        <w:rFonts w:hint="default"/>
        <w:sz w:val="26"/>
      </w:rPr>
    </w:lvl>
    <w:lvl w:ilvl="6">
      <w:start w:val="1"/>
      <w:numFmt w:val="decimal"/>
      <w:isLgl/>
      <w:lvlText w:val="%1.%2.%3.%4.%5.%6.%7"/>
      <w:lvlJc w:val="left"/>
      <w:pPr>
        <w:ind w:left="2900" w:hanging="1440"/>
      </w:pPr>
      <w:rPr>
        <w:rFonts w:hint="default"/>
        <w:sz w:val="26"/>
      </w:rPr>
    </w:lvl>
    <w:lvl w:ilvl="7">
      <w:start w:val="1"/>
      <w:numFmt w:val="decimal"/>
      <w:isLgl/>
      <w:lvlText w:val="%1.%2.%3.%4.%5.%6.%7.%8"/>
      <w:lvlJc w:val="left"/>
      <w:pPr>
        <w:ind w:left="2900" w:hanging="1440"/>
      </w:pPr>
      <w:rPr>
        <w:rFonts w:hint="default"/>
        <w:sz w:val="26"/>
      </w:rPr>
    </w:lvl>
    <w:lvl w:ilvl="8">
      <w:start w:val="1"/>
      <w:numFmt w:val="decimal"/>
      <w:isLgl/>
      <w:lvlText w:val="%1.%2.%3.%4.%5.%6.%7.%8.%9"/>
      <w:lvlJc w:val="left"/>
      <w:pPr>
        <w:ind w:left="3260" w:hanging="1800"/>
      </w:pPr>
      <w:rPr>
        <w:rFonts w:hint="default"/>
        <w:sz w:val="26"/>
      </w:rPr>
    </w:lvl>
  </w:abstractNum>
  <w:abstractNum w:abstractNumId="4" w15:restartNumberingAfterBreak="0">
    <w:nsid w:val="11DF3B2D"/>
    <w:multiLevelType w:val="multilevel"/>
    <w:tmpl w:val="70B2E1FC"/>
    <w:lvl w:ilvl="0">
      <w:start w:val="1"/>
      <w:numFmt w:val="decimal"/>
      <w:lvlText w:val="%1."/>
      <w:lvlJc w:val="left"/>
      <w:pPr>
        <w:ind w:left="360" w:hanging="360"/>
      </w:pPr>
      <w:rPr>
        <w:rFonts w:hint="default"/>
      </w:rPr>
    </w:lvl>
    <w:lvl w:ilvl="1">
      <w:start w:val="2"/>
      <w:numFmt w:val="decimal"/>
      <w:pStyle w:val="Heading2"/>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124B49"/>
    <w:multiLevelType w:val="multilevel"/>
    <w:tmpl w:val="CB6A5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D741B"/>
    <w:multiLevelType w:val="hybridMultilevel"/>
    <w:tmpl w:val="AFDAE974"/>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A22764"/>
    <w:multiLevelType w:val="hybridMultilevel"/>
    <w:tmpl w:val="DD2C9E42"/>
    <w:lvl w:ilvl="0" w:tplc="0409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20187E38"/>
    <w:multiLevelType w:val="hybridMultilevel"/>
    <w:tmpl w:val="0BD685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A445E1"/>
    <w:multiLevelType w:val="multilevel"/>
    <w:tmpl w:val="2EA02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F865B1"/>
    <w:multiLevelType w:val="multilevel"/>
    <w:tmpl w:val="2234A44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AA5DEB"/>
    <w:multiLevelType w:val="multilevel"/>
    <w:tmpl w:val="8124E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E529C"/>
    <w:multiLevelType w:val="hybridMultilevel"/>
    <w:tmpl w:val="CA166D02"/>
    <w:lvl w:ilvl="0" w:tplc="0409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49FC058E"/>
    <w:multiLevelType w:val="hybridMultilevel"/>
    <w:tmpl w:val="9F22485E"/>
    <w:lvl w:ilvl="0" w:tplc="0409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7A205A"/>
    <w:multiLevelType w:val="hybridMultilevel"/>
    <w:tmpl w:val="C8B667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7D55479"/>
    <w:multiLevelType w:val="hybridMultilevel"/>
    <w:tmpl w:val="C8B667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522E96"/>
    <w:multiLevelType w:val="hybridMultilevel"/>
    <w:tmpl w:val="B8B6A56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166305"/>
    <w:multiLevelType w:val="hybridMultilevel"/>
    <w:tmpl w:val="C8B667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88A46FC"/>
    <w:multiLevelType w:val="hybridMultilevel"/>
    <w:tmpl w:val="D38898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A2441C3"/>
    <w:multiLevelType w:val="multilevel"/>
    <w:tmpl w:val="51243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D11D9"/>
    <w:multiLevelType w:val="hybridMultilevel"/>
    <w:tmpl w:val="A8F2E2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AB7B00"/>
    <w:multiLevelType w:val="hybridMultilevel"/>
    <w:tmpl w:val="E42C04C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5580C7E"/>
    <w:multiLevelType w:val="multilevel"/>
    <w:tmpl w:val="B9DCA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A130B"/>
    <w:multiLevelType w:val="hybridMultilevel"/>
    <w:tmpl w:val="9EAEF4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763D18"/>
    <w:multiLevelType w:val="multilevel"/>
    <w:tmpl w:val="2234A44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CE5D00"/>
    <w:multiLevelType w:val="multilevel"/>
    <w:tmpl w:val="6488555A"/>
    <w:lvl w:ilvl="0">
      <w:start w:val="1"/>
      <w:numFmt w:val="decimal"/>
      <w:pStyle w:val="Heading1"/>
      <w:lvlText w:val="%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b w:val="0"/>
        <w:bCs w:val="0"/>
        <w:sz w:val="22"/>
        <w:szCs w:val="22"/>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16cid:durableId="1327591074">
    <w:abstractNumId w:val="26"/>
  </w:num>
  <w:num w:numId="2" w16cid:durableId="1598706159">
    <w:abstractNumId w:val="1"/>
  </w:num>
  <w:num w:numId="3" w16cid:durableId="1479105247">
    <w:abstractNumId w:val="0"/>
  </w:num>
  <w:num w:numId="4" w16cid:durableId="663435147">
    <w:abstractNumId w:val="16"/>
  </w:num>
  <w:num w:numId="5" w16cid:durableId="121266884">
    <w:abstractNumId w:val="14"/>
  </w:num>
  <w:num w:numId="6" w16cid:durableId="1766807933">
    <w:abstractNumId w:val="15"/>
  </w:num>
  <w:num w:numId="7" w16cid:durableId="544097647">
    <w:abstractNumId w:val="18"/>
  </w:num>
  <w:num w:numId="8" w16cid:durableId="134031355">
    <w:abstractNumId w:val="19"/>
  </w:num>
  <w:num w:numId="9" w16cid:durableId="884682615">
    <w:abstractNumId w:val="24"/>
  </w:num>
  <w:num w:numId="10" w16cid:durableId="374162508">
    <w:abstractNumId w:val="21"/>
  </w:num>
  <w:num w:numId="11" w16cid:durableId="1556424916">
    <w:abstractNumId w:val="8"/>
  </w:num>
  <w:num w:numId="12" w16cid:durableId="2032879278">
    <w:abstractNumId w:val="7"/>
  </w:num>
  <w:num w:numId="13" w16cid:durableId="717167712">
    <w:abstractNumId w:val="12"/>
  </w:num>
  <w:num w:numId="14" w16cid:durableId="880485131">
    <w:abstractNumId w:val="0"/>
    <w:lvlOverride w:ilvl="0">
      <w:lvl w:ilvl="0">
        <w:start w:val="1"/>
        <w:numFmt w:val="decimal"/>
        <w:pStyle w:val="Section"/>
        <w:suff w:val="nothing"/>
        <w:lvlText w:val="%1.  "/>
        <w:lvlJc w:val="left"/>
        <w:pPr>
          <w:ind w:left="0" w:firstLine="0"/>
        </w:pPr>
        <w:rPr>
          <w:rFonts w:hint="default"/>
        </w:rPr>
      </w:lvl>
    </w:lvlOverride>
    <w:lvlOverride w:ilvl="1">
      <w:lvl w:ilvl="1">
        <w:start w:val="1"/>
        <w:numFmt w:val="decimal"/>
        <w:pStyle w:val="Subsection"/>
        <w:suff w:val="nothing"/>
        <w:lvlText w:val="2.%2.  "/>
        <w:lvlJc w:val="left"/>
        <w:pPr>
          <w:ind w:left="0" w:firstLine="0"/>
        </w:pPr>
        <w:rPr>
          <w:rFonts w:hint="default"/>
        </w:rPr>
      </w:lvl>
    </w:lvlOverride>
    <w:lvlOverride w:ilvl="2">
      <w:lvl w:ilvl="2">
        <w:start w:val="1"/>
        <w:numFmt w:val="decimal"/>
        <w:pStyle w:val="Subsubsection"/>
        <w:suff w:val="nothing"/>
        <w:lvlText w:val="%1.%2.%3.  "/>
        <w:lvlJc w:val="left"/>
        <w:pPr>
          <w:ind w:left="0" w:firstLine="142"/>
        </w:pPr>
        <w:rPr>
          <w:rFonts w:hint="default"/>
          <w:i/>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5" w16cid:durableId="624433969">
    <w:abstractNumId w:val="25"/>
  </w:num>
  <w:num w:numId="16" w16cid:durableId="1418743425">
    <w:abstractNumId w:val="10"/>
  </w:num>
  <w:num w:numId="17" w16cid:durableId="86655442">
    <w:abstractNumId w:val="4"/>
  </w:num>
  <w:num w:numId="18" w16cid:durableId="176962223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044760">
    <w:abstractNumId w:val="13"/>
  </w:num>
  <w:num w:numId="20" w16cid:durableId="4534443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2161811">
    <w:abstractNumId w:val="6"/>
  </w:num>
  <w:num w:numId="22" w16cid:durableId="1150054469">
    <w:abstractNumId w:val="17"/>
  </w:num>
  <w:num w:numId="23" w16cid:durableId="2048412652">
    <w:abstractNumId w:val="22"/>
  </w:num>
  <w:num w:numId="24" w16cid:durableId="1242376913">
    <w:abstractNumId w:val="3"/>
  </w:num>
  <w:num w:numId="25" w16cid:durableId="330766906">
    <w:abstractNumId w:val="11"/>
  </w:num>
  <w:num w:numId="26" w16cid:durableId="1171942742">
    <w:abstractNumId w:val="23"/>
  </w:num>
  <w:num w:numId="27" w16cid:durableId="550265657">
    <w:abstractNumId w:val="5"/>
  </w:num>
  <w:num w:numId="28" w16cid:durableId="1347245275">
    <w:abstractNumId w:val="2"/>
  </w:num>
  <w:num w:numId="29" w16cid:durableId="1812093926">
    <w:abstractNumId w:val="9"/>
  </w:num>
  <w:num w:numId="30" w16cid:durableId="59987068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ID"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1A4E"/>
    <w:rsid w:val="0000436E"/>
    <w:rsid w:val="00006EA6"/>
    <w:rsid w:val="000116B0"/>
    <w:rsid w:val="00012ECA"/>
    <w:rsid w:val="00024255"/>
    <w:rsid w:val="00030ACB"/>
    <w:rsid w:val="0003338D"/>
    <w:rsid w:val="00035E26"/>
    <w:rsid w:val="00040058"/>
    <w:rsid w:val="00046448"/>
    <w:rsid w:val="00050DAC"/>
    <w:rsid w:val="00052D68"/>
    <w:rsid w:val="000547FB"/>
    <w:rsid w:val="00064F2B"/>
    <w:rsid w:val="00072268"/>
    <w:rsid w:val="00083B3A"/>
    <w:rsid w:val="000861B8"/>
    <w:rsid w:val="000954FA"/>
    <w:rsid w:val="00096B5F"/>
    <w:rsid w:val="000A27C0"/>
    <w:rsid w:val="000A3CBA"/>
    <w:rsid w:val="000A4E80"/>
    <w:rsid w:val="000B3CBC"/>
    <w:rsid w:val="000C3D2A"/>
    <w:rsid w:val="000C3FE2"/>
    <w:rsid w:val="000C7B5F"/>
    <w:rsid w:val="000D1EE2"/>
    <w:rsid w:val="000E2709"/>
    <w:rsid w:val="000E3C06"/>
    <w:rsid w:val="000F58F3"/>
    <w:rsid w:val="001039E2"/>
    <w:rsid w:val="00116C2C"/>
    <w:rsid w:val="00127606"/>
    <w:rsid w:val="00134EF0"/>
    <w:rsid w:val="00135011"/>
    <w:rsid w:val="001409AE"/>
    <w:rsid w:val="001556B6"/>
    <w:rsid w:val="00164414"/>
    <w:rsid w:val="001662FF"/>
    <w:rsid w:val="001770D6"/>
    <w:rsid w:val="001827CD"/>
    <w:rsid w:val="0019755B"/>
    <w:rsid w:val="001A078E"/>
    <w:rsid w:val="001A5E8C"/>
    <w:rsid w:val="001A5EF6"/>
    <w:rsid w:val="001D0292"/>
    <w:rsid w:val="001D0CDC"/>
    <w:rsid w:val="001D4DEF"/>
    <w:rsid w:val="001E785A"/>
    <w:rsid w:val="00204A1F"/>
    <w:rsid w:val="00204F4A"/>
    <w:rsid w:val="002109E7"/>
    <w:rsid w:val="002122A5"/>
    <w:rsid w:val="00214E98"/>
    <w:rsid w:val="00217A99"/>
    <w:rsid w:val="00233079"/>
    <w:rsid w:val="00250001"/>
    <w:rsid w:val="00251548"/>
    <w:rsid w:val="002568DC"/>
    <w:rsid w:val="002633BA"/>
    <w:rsid w:val="00271CAD"/>
    <w:rsid w:val="00285F8C"/>
    <w:rsid w:val="002938F2"/>
    <w:rsid w:val="002A3E68"/>
    <w:rsid w:val="002A507F"/>
    <w:rsid w:val="002B011F"/>
    <w:rsid w:val="002D1D5D"/>
    <w:rsid w:val="002D4CC8"/>
    <w:rsid w:val="002E1DFB"/>
    <w:rsid w:val="002E589F"/>
    <w:rsid w:val="002F5D0C"/>
    <w:rsid w:val="003104A2"/>
    <w:rsid w:val="0031506D"/>
    <w:rsid w:val="00316576"/>
    <w:rsid w:val="00317216"/>
    <w:rsid w:val="00322EA5"/>
    <w:rsid w:val="003272A9"/>
    <w:rsid w:val="00345CB2"/>
    <w:rsid w:val="003509BA"/>
    <w:rsid w:val="00356E1C"/>
    <w:rsid w:val="00362DD6"/>
    <w:rsid w:val="003709F3"/>
    <w:rsid w:val="00371A81"/>
    <w:rsid w:val="003977A5"/>
    <w:rsid w:val="003B2ECF"/>
    <w:rsid w:val="003B70B4"/>
    <w:rsid w:val="003C3AC9"/>
    <w:rsid w:val="003D7174"/>
    <w:rsid w:val="003E4301"/>
    <w:rsid w:val="003E490A"/>
    <w:rsid w:val="003F100D"/>
    <w:rsid w:val="004002EC"/>
    <w:rsid w:val="0040066D"/>
    <w:rsid w:val="004223A6"/>
    <w:rsid w:val="00422CB1"/>
    <w:rsid w:val="00424111"/>
    <w:rsid w:val="00424AE0"/>
    <w:rsid w:val="00467DE0"/>
    <w:rsid w:val="00477D77"/>
    <w:rsid w:val="004814D7"/>
    <w:rsid w:val="00484190"/>
    <w:rsid w:val="00496B04"/>
    <w:rsid w:val="004A4390"/>
    <w:rsid w:val="004B349B"/>
    <w:rsid w:val="004B3829"/>
    <w:rsid w:val="004B6CE6"/>
    <w:rsid w:val="004B7E67"/>
    <w:rsid w:val="004C348A"/>
    <w:rsid w:val="004C4CD5"/>
    <w:rsid w:val="004D7B01"/>
    <w:rsid w:val="004E1526"/>
    <w:rsid w:val="004F63B7"/>
    <w:rsid w:val="005158FA"/>
    <w:rsid w:val="00524F7D"/>
    <w:rsid w:val="00531142"/>
    <w:rsid w:val="005323EF"/>
    <w:rsid w:val="00533242"/>
    <w:rsid w:val="00542350"/>
    <w:rsid w:val="005427D8"/>
    <w:rsid w:val="00547C62"/>
    <w:rsid w:val="00553277"/>
    <w:rsid w:val="00556B3C"/>
    <w:rsid w:val="0055752B"/>
    <w:rsid w:val="00572608"/>
    <w:rsid w:val="00574395"/>
    <w:rsid w:val="0058688E"/>
    <w:rsid w:val="0058784D"/>
    <w:rsid w:val="005923BE"/>
    <w:rsid w:val="00592555"/>
    <w:rsid w:val="005A1736"/>
    <w:rsid w:val="005B5DF3"/>
    <w:rsid w:val="005B7A89"/>
    <w:rsid w:val="005D222B"/>
    <w:rsid w:val="005D6059"/>
    <w:rsid w:val="005F3D8A"/>
    <w:rsid w:val="005F7353"/>
    <w:rsid w:val="00607EF6"/>
    <w:rsid w:val="00615B46"/>
    <w:rsid w:val="00623B60"/>
    <w:rsid w:val="0063330D"/>
    <w:rsid w:val="006337BB"/>
    <w:rsid w:val="00634249"/>
    <w:rsid w:val="0064208A"/>
    <w:rsid w:val="00644867"/>
    <w:rsid w:val="00662EE0"/>
    <w:rsid w:val="00667AFF"/>
    <w:rsid w:val="00682DC7"/>
    <w:rsid w:val="00695C6A"/>
    <w:rsid w:val="006A4B75"/>
    <w:rsid w:val="006B35FF"/>
    <w:rsid w:val="006C25FD"/>
    <w:rsid w:val="006D020E"/>
    <w:rsid w:val="006D11ED"/>
    <w:rsid w:val="006D171D"/>
    <w:rsid w:val="006E31A5"/>
    <w:rsid w:val="006F45A4"/>
    <w:rsid w:val="007051CB"/>
    <w:rsid w:val="007061E5"/>
    <w:rsid w:val="0070750E"/>
    <w:rsid w:val="00727CFB"/>
    <w:rsid w:val="00733CB3"/>
    <w:rsid w:val="00735D37"/>
    <w:rsid w:val="0075463B"/>
    <w:rsid w:val="00767EEE"/>
    <w:rsid w:val="0077461D"/>
    <w:rsid w:val="0077718F"/>
    <w:rsid w:val="00777302"/>
    <w:rsid w:val="00780DB2"/>
    <w:rsid w:val="00781CE1"/>
    <w:rsid w:val="00786306"/>
    <w:rsid w:val="00792043"/>
    <w:rsid w:val="0079219D"/>
    <w:rsid w:val="007C0235"/>
    <w:rsid w:val="007C2673"/>
    <w:rsid w:val="007E1AF6"/>
    <w:rsid w:val="007E5BFE"/>
    <w:rsid w:val="008069B9"/>
    <w:rsid w:val="008164D7"/>
    <w:rsid w:val="00850487"/>
    <w:rsid w:val="0085167E"/>
    <w:rsid w:val="0085654B"/>
    <w:rsid w:val="00857389"/>
    <w:rsid w:val="00862D15"/>
    <w:rsid w:val="008737E5"/>
    <w:rsid w:val="00881507"/>
    <w:rsid w:val="008863DC"/>
    <w:rsid w:val="008B5674"/>
    <w:rsid w:val="008C0A29"/>
    <w:rsid w:val="008D49CC"/>
    <w:rsid w:val="008E0324"/>
    <w:rsid w:val="00907ACC"/>
    <w:rsid w:val="00910E20"/>
    <w:rsid w:val="00914A7E"/>
    <w:rsid w:val="0091550B"/>
    <w:rsid w:val="0091656A"/>
    <w:rsid w:val="009237FF"/>
    <w:rsid w:val="00931AB0"/>
    <w:rsid w:val="0093521A"/>
    <w:rsid w:val="00944468"/>
    <w:rsid w:val="00950E84"/>
    <w:rsid w:val="009533EB"/>
    <w:rsid w:val="0096009B"/>
    <w:rsid w:val="0096086E"/>
    <w:rsid w:val="009617C4"/>
    <w:rsid w:val="00961C46"/>
    <w:rsid w:val="00966AC4"/>
    <w:rsid w:val="00972919"/>
    <w:rsid w:val="00990EB9"/>
    <w:rsid w:val="009A0487"/>
    <w:rsid w:val="009A6409"/>
    <w:rsid w:val="009B326B"/>
    <w:rsid w:val="009B5ED8"/>
    <w:rsid w:val="009D6842"/>
    <w:rsid w:val="009D6869"/>
    <w:rsid w:val="00A05FB0"/>
    <w:rsid w:val="00A07508"/>
    <w:rsid w:val="00A300D8"/>
    <w:rsid w:val="00A30618"/>
    <w:rsid w:val="00A56E87"/>
    <w:rsid w:val="00A62177"/>
    <w:rsid w:val="00A62C2F"/>
    <w:rsid w:val="00A65B99"/>
    <w:rsid w:val="00A74A24"/>
    <w:rsid w:val="00A771BD"/>
    <w:rsid w:val="00A87760"/>
    <w:rsid w:val="00A90304"/>
    <w:rsid w:val="00AA22B5"/>
    <w:rsid w:val="00AA451A"/>
    <w:rsid w:val="00AA4C04"/>
    <w:rsid w:val="00AB421B"/>
    <w:rsid w:val="00AD21F3"/>
    <w:rsid w:val="00AD79A0"/>
    <w:rsid w:val="00AE291B"/>
    <w:rsid w:val="00AE4C9F"/>
    <w:rsid w:val="00AF01CD"/>
    <w:rsid w:val="00B006C1"/>
    <w:rsid w:val="00B016A9"/>
    <w:rsid w:val="00B0325A"/>
    <w:rsid w:val="00B05982"/>
    <w:rsid w:val="00B159EB"/>
    <w:rsid w:val="00B205C6"/>
    <w:rsid w:val="00B538C7"/>
    <w:rsid w:val="00B54DFB"/>
    <w:rsid w:val="00B61E99"/>
    <w:rsid w:val="00B6233B"/>
    <w:rsid w:val="00B63811"/>
    <w:rsid w:val="00B642BC"/>
    <w:rsid w:val="00B67BAB"/>
    <w:rsid w:val="00B83F45"/>
    <w:rsid w:val="00B92DF0"/>
    <w:rsid w:val="00B942A5"/>
    <w:rsid w:val="00BA1AD8"/>
    <w:rsid w:val="00BA269A"/>
    <w:rsid w:val="00BA46E3"/>
    <w:rsid w:val="00BB5F2F"/>
    <w:rsid w:val="00BC7869"/>
    <w:rsid w:val="00BD3EAC"/>
    <w:rsid w:val="00BE101C"/>
    <w:rsid w:val="00BE17C7"/>
    <w:rsid w:val="00BE39CF"/>
    <w:rsid w:val="00BE5851"/>
    <w:rsid w:val="00BE7EC1"/>
    <w:rsid w:val="00BF0AB8"/>
    <w:rsid w:val="00BF2EF2"/>
    <w:rsid w:val="00C10F27"/>
    <w:rsid w:val="00C11DB8"/>
    <w:rsid w:val="00C201AC"/>
    <w:rsid w:val="00C224EC"/>
    <w:rsid w:val="00C32626"/>
    <w:rsid w:val="00C33827"/>
    <w:rsid w:val="00C44806"/>
    <w:rsid w:val="00C4483D"/>
    <w:rsid w:val="00C62F2E"/>
    <w:rsid w:val="00C739EE"/>
    <w:rsid w:val="00C94CB8"/>
    <w:rsid w:val="00C970A8"/>
    <w:rsid w:val="00CB2A68"/>
    <w:rsid w:val="00CB6882"/>
    <w:rsid w:val="00CC66ED"/>
    <w:rsid w:val="00CD2805"/>
    <w:rsid w:val="00CD41F0"/>
    <w:rsid w:val="00CD453B"/>
    <w:rsid w:val="00D03CB8"/>
    <w:rsid w:val="00D06D3A"/>
    <w:rsid w:val="00D20378"/>
    <w:rsid w:val="00D22174"/>
    <w:rsid w:val="00D223FD"/>
    <w:rsid w:val="00D30D15"/>
    <w:rsid w:val="00D34639"/>
    <w:rsid w:val="00D34AFA"/>
    <w:rsid w:val="00D36C8B"/>
    <w:rsid w:val="00D36F75"/>
    <w:rsid w:val="00D413CC"/>
    <w:rsid w:val="00D47A5F"/>
    <w:rsid w:val="00D85949"/>
    <w:rsid w:val="00D96B01"/>
    <w:rsid w:val="00DB2E49"/>
    <w:rsid w:val="00DB2F6B"/>
    <w:rsid w:val="00DE50A9"/>
    <w:rsid w:val="00E00597"/>
    <w:rsid w:val="00E016B6"/>
    <w:rsid w:val="00E07BEC"/>
    <w:rsid w:val="00E33E40"/>
    <w:rsid w:val="00E4063D"/>
    <w:rsid w:val="00E45365"/>
    <w:rsid w:val="00E478C8"/>
    <w:rsid w:val="00E554BD"/>
    <w:rsid w:val="00E72248"/>
    <w:rsid w:val="00E86FE8"/>
    <w:rsid w:val="00E92931"/>
    <w:rsid w:val="00EA0F98"/>
    <w:rsid w:val="00EA5315"/>
    <w:rsid w:val="00EB3BCE"/>
    <w:rsid w:val="00EB583E"/>
    <w:rsid w:val="00ED3FC4"/>
    <w:rsid w:val="00EE4D91"/>
    <w:rsid w:val="00EF6BE4"/>
    <w:rsid w:val="00F04CF0"/>
    <w:rsid w:val="00F12F2C"/>
    <w:rsid w:val="00F20762"/>
    <w:rsid w:val="00F3061B"/>
    <w:rsid w:val="00F36240"/>
    <w:rsid w:val="00F40CA8"/>
    <w:rsid w:val="00F42BB7"/>
    <w:rsid w:val="00F53516"/>
    <w:rsid w:val="00F53921"/>
    <w:rsid w:val="00F540DF"/>
    <w:rsid w:val="00F67FE5"/>
    <w:rsid w:val="00F71BC8"/>
    <w:rsid w:val="00F77429"/>
    <w:rsid w:val="00F811FC"/>
    <w:rsid w:val="00F87CD7"/>
    <w:rsid w:val="00F933E4"/>
    <w:rsid w:val="00F94D00"/>
    <w:rsid w:val="00F955B8"/>
    <w:rsid w:val="00F955C7"/>
    <w:rsid w:val="00FA1B01"/>
    <w:rsid w:val="00FA4F2B"/>
    <w:rsid w:val="00FD64EE"/>
    <w:rsid w:val="00FE2658"/>
  </w:rsids>
  <m:mathPr>
    <m:mathFont m:val="Cambria Math"/>
    <m:brkBin m:val="before"/>
    <m:brkBinSub m:val="--"/>
    <m:smallFrac m:val="0"/>
    <m:dispDef/>
    <m:lMargin m:val="0"/>
    <m:rMargin m:val="0"/>
    <m:defJc m:val="centerGroup"/>
    <m:wrapIndent m:val="1440"/>
    <m:intLim m:val="subSup"/>
    <m:naryLim m:val="undOvr"/>
  </m:mathPr>
  <w:themeFontLang w:val="en-GB"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091D2"/>
  <w15:docId w15:val="{CCE90704-BAEA-4C4D-96AB-DA4B73F2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E1AF6"/>
    <w:pPr>
      <w:numPr>
        <w:numId w:val="17"/>
      </w:numPr>
      <w:spacing w:before="0"/>
      <w:outlineLvl w:val="1"/>
    </w:pPr>
    <w:rPr>
      <w:i/>
    </w:rPr>
  </w:style>
  <w:style w:type="paragraph" w:styleId="Heading3">
    <w:name w:val="heading 3"/>
    <w:basedOn w:val="Normal"/>
    <w:next w:val="Normal"/>
    <w:qFormat/>
    <w:rsid w:val="005B5DF3"/>
    <w:pPr>
      <w:keepNext/>
      <w:numPr>
        <w:ilvl w:val="2"/>
        <w:numId w:val="1"/>
      </w:numPr>
      <w:spacing w:before="240" w:after="60"/>
      <w:outlineLvl w:val="2"/>
    </w:pPr>
    <w:rPr>
      <w:rFonts w:ascii="Times New Roman" w:hAnsi="Times New Roman" w:cs="Arial"/>
      <w:bCs/>
      <w:sz w:val="24"/>
      <w:szCs w:val="26"/>
    </w:rPr>
  </w:style>
  <w:style w:type="paragraph" w:styleId="Heading4">
    <w:name w:val="heading 4"/>
    <w:basedOn w:val="Normal"/>
    <w:next w:val="Normal"/>
    <w:qFormat/>
    <w:rsid w:val="00E45365"/>
    <w:pPr>
      <w:keepNext/>
      <w:numPr>
        <w:ilvl w:val="3"/>
        <w:numId w:val="1"/>
      </w:numPr>
      <w:outlineLvl w:val="3"/>
    </w:pPr>
    <w:rPr>
      <w:rFonts w:ascii="Times New Roman" w:hAnsi="Times New Roman"/>
      <w:bCs/>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tabs>
        <w:tab w:val="num" w:pos="360"/>
      </w:tabs>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Heading1Char">
    <w:name w:val="Heading 1 Char"/>
    <w:basedOn w:val="DefaultParagraphFont"/>
    <w:link w:val="Heading1"/>
    <w:uiPriority w:val="9"/>
    <w:rsid w:val="006337BB"/>
    <w:rPr>
      <w:rFonts w:eastAsia="SimSun"/>
      <w:b/>
      <w:kern w:val="2"/>
      <w:sz w:val="24"/>
      <w:szCs w:val="24"/>
      <w:lang w:val="en-US" w:eastAsia="zh-CN"/>
    </w:rPr>
  </w:style>
  <w:style w:type="paragraph" w:styleId="Bibliography">
    <w:name w:val="Bibliography"/>
    <w:basedOn w:val="Normal"/>
    <w:next w:val="Normal"/>
    <w:uiPriority w:val="37"/>
    <w:unhideWhenUsed/>
    <w:rsid w:val="006337BB"/>
  </w:style>
  <w:style w:type="paragraph" w:styleId="Footer">
    <w:name w:val="footer"/>
    <w:basedOn w:val="Normal"/>
    <w:link w:val="FooterChar"/>
    <w:uiPriority w:val="99"/>
    <w:unhideWhenUsed/>
    <w:rsid w:val="00052D68"/>
    <w:pPr>
      <w:tabs>
        <w:tab w:val="center" w:pos="4513"/>
        <w:tab w:val="right" w:pos="9026"/>
      </w:tabs>
    </w:pPr>
  </w:style>
  <w:style w:type="character" w:customStyle="1" w:styleId="FooterChar">
    <w:name w:val="Footer Char"/>
    <w:basedOn w:val="DefaultParagraphFont"/>
    <w:link w:val="Footer"/>
    <w:uiPriority w:val="99"/>
    <w:rsid w:val="00052D68"/>
    <w:rPr>
      <w:rFonts w:ascii="Times" w:hAnsi="Times"/>
      <w:sz w:val="22"/>
      <w:lang w:eastAsia="en-US"/>
    </w:rPr>
  </w:style>
  <w:style w:type="paragraph" w:styleId="Header">
    <w:name w:val="header"/>
    <w:basedOn w:val="Normal"/>
    <w:link w:val="HeaderChar"/>
    <w:uiPriority w:val="99"/>
    <w:unhideWhenUsed/>
    <w:rsid w:val="00052D68"/>
    <w:pPr>
      <w:tabs>
        <w:tab w:val="center" w:pos="4513"/>
        <w:tab w:val="right" w:pos="9026"/>
      </w:tabs>
    </w:pPr>
  </w:style>
  <w:style w:type="character" w:customStyle="1" w:styleId="HeaderChar">
    <w:name w:val="Header Char"/>
    <w:basedOn w:val="DefaultParagraphFont"/>
    <w:link w:val="Header"/>
    <w:uiPriority w:val="99"/>
    <w:rsid w:val="00052D68"/>
    <w:rPr>
      <w:rFonts w:ascii="Times" w:hAnsi="Times"/>
      <w:sz w:val="22"/>
      <w:lang w:eastAsia="en-US"/>
    </w:rPr>
  </w:style>
  <w:style w:type="character" w:styleId="Hyperlink">
    <w:name w:val="Hyperlink"/>
    <w:basedOn w:val="DefaultParagraphFont"/>
    <w:uiPriority w:val="99"/>
    <w:unhideWhenUsed/>
    <w:rsid w:val="00F20762"/>
    <w:rPr>
      <w:color w:val="0000FF" w:themeColor="hyperlink"/>
      <w:u w:val="single"/>
    </w:rPr>
  </w:style>
  <w:style w:type="character" w:styleId="UnresolvedMention">
    <w:name w:val="Unresolved Mention"/>
    <w:basedOn w:val="DefaultParagraphFont"/>
    <w:uiPriority w:val="99"/>
    <w:semiHidden/>
    <w:unhideWhenUsed/>
    <w:rsid w:val="00F20762"/>
    <w:rPr>
      <w:color w:val="605E5C"/>
      <w:shd w:val="clear" w:color="auto" w:fill="E1DFDD"/>
    </w:rPr>
  </w:style>
  <w:style w:type="paragraph" w:styleId="ListParagraph">
    <w:name w:val="List Paragraph"/>
    <w:aliases w:val="Heading empat"/>
    <w:basedOn w:val="Normal"/>
    <w:link w:val="ListParagraphChar"/>
    <w:uiPriority w:val="34"/>
    <w:qFormat/>
    <w:rsid w:val="0091656A"/>
    <w:pPr>
      <w:ind w:left="720"/>
      <w:contextualSpacing/>
    </w:pPr>
  </w:style>
  <w:style w:type="paragraph" w:styleId="Caption">
    <w:name w:val="caption"/>
    <w:basedOn w:val="Normal"/>
    <w:next w:val="Normal"/>
    <w:uiPriority w:val="35"/>
    <w:unhideWhenUsed/>
    <w:qFormat/>
    <w:rsid w:val="008069B9"/>
    <w:pPr>
      <w:spacing w:after="200"/>
    </w:pPr>
    <w:rPr>
      <w:i/>
      <w:iCs/>
      <w:color w:val="1F497D" w:themeColor="text2"/>
      <w:sz w:val="18"/>
      <w:szCs w:val="18"/>
    </w:rPr>
  </w:style>
  <w:style w:type="table" w:styleId="TableGrid">
    <w:name w:val="Table Grid"/>
    <w:basedOn w:val="TableNormal"/>
    <w:rsid w:val="00533242"/>
    <w:rPr>
      <w:rFonts w:eastAsiaTheme="minorEastAsia"/>
      <w:color w:val="000000"/>
      <w:sz w:val="24"/>
      <w:szCs w:val="22"/>
      <w:lang w:val="id-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empat Char"/>
    <w:link w:val="ListParagraph"/>
    <w:uiPriority w:val="34"/>
    <w:locked/>
    <w:rsid w:val="00533242"/>
    <w:rPr>
      <w:rFonts w:ascii="Times" w:hAnsi="Times"/>
      <w:sz w:val="22"/>
      <w:lang w:eastAsia="en-US"/>
    </w:rPr>
  </w:style>
  <w:style w:type="paragraph" w:styleId="NoSpacing">
    <w:name w:val="No Spacing"/>
    <w:uiPriority w:val="1"/>
    <w:qFormat/>
    <w:rsid w:val="00D47A5F"/>
    <w:rPr>
      <w:rFonts w:asciiTheme="minorHAnsi" w:eastAsiaTheme="minorHAnsi" w:hAnsiTheme="minorHAnsi" w:cstheme="minorBidi"/>
      <w:sz w:val="22"/>
      <w:szCs w:val="22"/>
      <w:lang w:val="en-US" w:eastAsia="en-US"/>
    </w:rPr>
  </w:style>
  <w:style w:type="character" w:customStyle="1" w:styleId="FootnoteTextChar">
    <w:name w:val="Footnote Text Char"/>
    <w:basedOn w:val="DefaultParagraphFont"/>
    <w:link w:val="FootnoteText"/>
    <w:uiPriority w:val="99"/>
    <w:semiHidden/>
    <w:rsid w:val="00D47A5F"/>
    <w:rPr>
      <w:rFonts w:ascii="Times" w:hAnsi="Times"/>
      <w:lang w:eastAsia="en-US"/>
    </w:rPr>
  </w:style>
  <w:style w:type="character" w:styleId="PlaceholderText">
    <w:name w:val="Placeholder Text"/>
    <w:basedOn w:val="DefaultParagraphFont"/>
    <w:uiPriority w:val="99"/>
    <w:semiHidden/>
    <w:rsid w:val="00AE4C9F"/>
    <w:rPr>
      <w:color w:val="808080"/>
    </w:rPr>
  </w:style>
  <w:style w:type="paragraph" w:customStyle="1" w:styleId="ql-indent-1">
    <w:name w:val="ql-indent-1"/>
    <w:basedOn w:val="Normal"/>
    <w:rsid w:val="00A56E87"/>
    <w:pPr>
      <w:spacing w:before="100" w:beforeAutospacing="1" w:after="100" w:afterAutospacing="1"/>
    </w:pPr>
    <w:rPr>
      <w:rFonts w:ascii="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4836">
      <w:bodyDiv w:val="1"/>
      <w:marLeft w:val="0"/>
      <w:marRight w:val="0"/>
      <w:marTop w:val="0"/>
      <w:marBottom w:val="0"/>
      <w:divBdr>
        <w:top w:val="none" w:sz="0" w:space="0" w:color="auto"/>
        <w:left w:val="none" w:sz="0" w:space="0" w:color="auto"/>
        <w:bottom w:val="none" w:sz="0" w:space="0" w:color="auto"/>
        <w:right w:val="none" w:sz="0" w:space="0" w:color="auto"/>
      </w:divBdr>
    </w:div>
    <w:div w:id="108791174">
      <w:bodyDiv w:val="1"/>
      <w:marLeft w:val="0"/>
      <w:marRight w:val="0"/>
      <w:marTop w:val="0"/>
      <w:marBottom w:val="0"/>
      <w:divBdr>
        <w:top w:val="none" w:sz="0" w:space="0" w:color="auto"/>
        <w:left w:val="none" w:sz="0" w:space="0" w:color="auto"/>
        <w:bottom w:val="none" w:sz="0" w:space="0" w:color="auto"/>
        <w:right w:val="none" w:sz="0" w:space="0" w:color="auto"/>
      </w:divBdr>
    </w:div>
    <w:div w:id="169570424">
      <w:bodyDiv w:val="1"/>
      <w:marLeft w:val="0"/>
      <w:marRight w:val="0"/>
      <w:marTop w:val="0"/>
      <w:marBottom w:val="0"/>
      <w:divBdr>
        <w:top w:val="none" w:sz="0" w:space="0" w:color="auto"/>
        <w:left w:val="none" w:sz="0" w:space="0" w:color="auto"/>
        <w:bottom w:val="none" w:sz="0" w:space="0" w:color="auto"/>
        <w:right w:val="none" w:sz="0" w:space="0" w:color="auto"/>
      </w:divBdr>
    </w:div>
    <w:div w:id="191916201">
      <w:bodyDiv w:val="1"/>
      <w:marLeft w:val="0"/>
      <w:marRight w:val="0"/>
      <w:marTop w:val="0"/>
      <w:marBottom w:val="0"/>
      <w:divBdr>
        <w:top w:val="none" w:sz="0" w:space="0" w:color="auto"/>
        <w:left w:val="none" w:sz="0" w:space="0" w:color="auto"/>
        <w:bottom w:val="none" w:sz="0" w:space="0" w:color="auto"/>
        <w:right w:val="none" w:sz="0" w:space="0" w:color="auto"/>
      </w:divBdr>
    </w:div>
    <w:div w:id="199392957">
      <w:bodyDiv w:val="1"/>
      <w:marLeft w:val="0"/>
      <w:marRight w:val="0"/>
      <w:marTop w:val="0"/>
      <w:marBottom w:val="0"/>
      <w:divBdr>
        <w:top w:val="none" w:sz="0" w:space="0" w:color="auto"/>
        <w:left w:val="none" w:sz="0" w:space="0" w:color="auto"/>
        <w:bottom w:val="none" w:sz="0" w:space="0" w:color="auto"/>
        <w:right w:val="none" w:sz="0" w:space="0" w:color="auto"/>
      </w:divBdr>
    </w:div>
    <w:div w:id="209610041">
      <w:bodyDiv w:val="1"/>
      <w:marLeft w:val="0"/>
      <w:marRight w:val="0"/>
      <w:marTop w:val="0"/>
      <w:marBottom w:val="0"/>
      <w:divBdr>
        <w:top w:val="none" w:sz="0" w:space="0" w:color="auto"/>
        <w:left w:val="none" w:sz="0" w:space="0" w:color="auto"/>
        <w:bottom w:val="none" w:sz="0" w:space="0" w:color="auto"/>
        <w:right w:val="none" w:sz="0" w:space="0" w:color="auto"/>
      </w:divBdr>
    </w:div>
    <w:div w:id="220673063">
      <w:bodyDiv w:val="1"/>
      <w:marLeft w:val="0"/>
      <w:marRight w:val="0"/>
      <w:marTop w:val="0"/>
      <w:marBottom w:val="0"/>
      <w:divBdr>
        <w:top w:val="none" w:sz="0" w:space="0" w:color="auto"/>
        <w:left w:val="none" w:sz="0" w:space="0" w:color="auto"/>
        <w:bottom w:val="none" w:sz="0" w:space="0" w:color="auto"/>
        <w:right w:val="none" w:sz="0" w:space="0" w:color="auto"/>
      </w:divBdr>
    </w:div>
    <w:div w:id="228614070">
      <w:bodyDiv w:val="1"/>
      <w:marLeft w:val="0"/>
      <w:marRight w:val="0"/>
      <w:marTop w:val="0"/>
      <w:marBottom w:val="0"/>
      <w:divBdr>
        <w:top w:val="none" w:sz="0" w:space="0" w:color="auto"/>
        <w:left w:val="none" w:sz="0" w:space="0" w:color="auto"/>
        <w:bottom w:val="none" w:sz="0" w:space="0" w:color="auto"/>
        <w:right w:val="none" w:sz="0" w:space="0" w:color="auto"/>
      </w:divBdr>
    </w:div>
    <w:div w:id="243610452">
      <w:bodyDiv w:val="1"/>
      <w:marLeft w:val="0"/>
      <w:marRight w:val="0"/>
      <w:marTop w:val="0"/>
      <w:marBottom w:val="0"/>
      <w:divBdr>
        <w:top w:val="none" w:sz="0" w:space="0" w:color="auto"/>
        <w:left w:val="none" w:sz="0" w:space="0" w:color="auto"/>
        <w:bottom w:val="none" w:sz="0" w:space="0" w:color="auto"/>
        <w:right w:val="none" w:sz="0" w:space="0" w:color="auto"/>
      </w:divBdr>
    </w:div>
    <w:div w:id="255747941">
      <w:bodyDiv w:val="1"/>
      <w:marLeft w:val="0"/>
      <w:marRight w:val="0"/>
      <w:marTop w:val="0"/>
      <w:marBottom w:val="0"/>
      <w:divBdr>
        <w:top w:val="none" w:sz="0" w:space="0" w:color="auto"/>
        <w:left w:val="none" w:sz="0" w:space="0" w:color="auto"/>
        <w:bottom w:val="none" w:sz="0" w:space="0" w:color="auto"/>
        <w:right w:val="none" w:sz="0" w:space="0" w:color="auto"/>
      </w:divBdr>
    </w:div>
    <w:div w:id="336277581">
      <w:bodyDiv w:val="1"/>
      <w:marLeft w:val="0"/>
      <w:marRight w:val="0"/>
      <w:marTop w:val="0"/>
      <w:marBottom w:val="0"/>
      <w:divBdr>
        <w:top w:val="none" w:sz="0" w:space="0" w:color="auto"/>
        <w:left w:val="none" w:sz="0" w:space="0" w:color="auto"/>
        <w:bottom w:val="none" w:sz="0" w:space="0" w:color="auto"/>
        <w:right w:val="none" w:sz="0" w:space="0" w:color="auto"/>
      </w:divBdr>
    </w:div>
    <w:div w:id="403112376">
      <w:bodyDiv w:val="1"/>
      <w:marLeft w:val="0"/>
      <w:marRight w:val="0"/>
      <w:marTop w:val="0"/>
      <w:marBottom w:val="0"/>
      <w:divBdr>
        <w:top w:val="none" w:sz="0" w:space="0" w:color="auto"/>
        <w:left w:val="none" w:sz="0" w:space="0" w:color="auto"/>
        <w:bottom w:val="none" w:sz="0" w:space="0" w:color="auto"/>
        <w:right w:val="none" w:sz="0" w:space="0" w:color="auto"/>
      </w:divBdr>
    </w:div>
    <w:div w:id="405614410">
      <w:bodyDiv w:val="1"/>
      <w:marLeft w:val="0"/>
      <w:marRight w:val="0"/>
      <w:marTop w:val="0"/>
      <w:marBottom w:val="0"/>
      <w:divBdr>
        <w:top w:val="none" w:sz="0" w:space="0" w:color="auto"/>
        <w:left w:val="none" w:sz="0" w:space="0" w:color="auto"/>
        <w:bottom w:val="none" w:sz="0" w:space="0" w:color="auto"/>
        <w:right w:val="none" w:sz="0" w:space="0" w:color="auto"/>
      </w:divBdr>
    </w:div>
    <w:div w:id="430322074">
      <w:bodyDiv w:val="1"/>
      <w:marLeft w:val="0"/>
      <w:marRight w:val="0"/>
      <w:marTop w:val="0"/>
      <w:marBottom w:val="0"/>
      <w:divBdr>
        <w:top w:val="none" w:sz="0" w:space="0" w:color="auto"/>
        <w:left w:val="none" w:sz="0" w:space="0" w:color="auto"/>
        <w:bottom w:val="none" w:sz="0" w:space="0" w:color="auto"/>
        <w:right w:val="none" w:sz="0" w:space="0" w:color="auto"/>
      </w:divBdr>
    </w:div>
    <w:div w:id="455635566">
      <w:bodyDiv w:val="1"/>
      <w:marLeft w:val="0"/>
      <w:marRight w:val="0"/>
      <w:marTop w:val="0"/>
      <w:marBottom w:val="0"/>
      <w:divBdr>
        <w:top w:val="none" w:sz="0" w:space="0" w:color="auto"/>
        <w:left w:val="none" w:sz="0" w:space="0" w:color="auto"/>
        <w:bottom w:val="none" w:sz="0" w:space="0" w:color="auto"/>
        <w:right w:val="none" w:sz="0" w:space="0" w:color="auto"/>
      </w:divBdr>
    </w:div>
    <w:div w:id="556817874">
      <w:bodyDiv w:val="1"/>
      <w:marLeft w:val="0"/>
      <w:marRight w:val="0"/>
      <w:marTop w:val="0"/>
      <w:marBottom w:val="0"/>
      <w:divBdr>
        <w:top w:val="none" w:sz="0" w:space="0" w:color="auto"/>
        <w:left w:val="none" w:sz="0" w:space="0" w:color="auto"/>
        <w:bottom w:val="none" w:sz="0" w:space="0" w:color="auto"/>
        <w:right w:val="none" w:sz="0" w:space="0" w:color="auto"/>
      </w:divBdr>
    </w:div>
    <w:div w:id="587689182">
      <w:bodyDiv w:val="1"/>
      <w:marLeft w:val="0"/>
      <w:marRight w:val="0"/>
      <w:marTop w:val="0"/>
      <w:marBottom w:val="0"/>
      <w:divBdr>
        <w:top w:val="none" w:sz="0" w:space="0" w:color="auto"/>
        <w:left w:val="none" w:sz="0" w:space="0" w:color="auto"/>
        <w:bottom w:val="none" w:sz="0" w:space="0" w:color="auto"/>
        <w:right w:val="none" w:sz="0" w:space="0" w:color="auto"/>
      </w:divBdr>
    </w:div>
    <w:div w:id="634290018">
      <w:bodyDiv w:val="1"/>
      <w:marLeft w:val="0"/>
      <w:marRight w:val="0"/>
      <w:marTop w:val="0"/>
      <w:marBottom w:val="0"/>
      <w:divBdr>
        <w:top w:val="none" w:sz="0" w:space="0" w:color="auto"/>
        <w:left w:val="none" w:sz="0" w:space="0" w:color="auto"/>
        <w:bottom w:val="none" w:sz="0" w:space="0" w:color="auto"/>
        <w:right w:val="none" w:sz="0" w:space="0" w:color="auto"/>
      </w:divBdr>
    </w:div>
    <w:div w:id="640813658">
      <w:bodyDiv w:val="1"/>
      <w:marLeft w:val="0"/>
      <w:marRight w:val="0"/>
      <w:marTop w:val="0"/>
      <w:marBottom w:val="0"/>
      <w:divBdr>
        <w:top w:val="none" w:sz="0" w:space="0" w:color="auto"/>
        <w:left w:val="none" w:sz="0" w:space="0" w:color="auto"/>
        <w:bottom w:val="none" w:sz="0" w:space="0" w:color="auto"/>
        <w:right w:val="none" w:sz="0" w:space="0" w:color="auto"/>
      </w:divBdr>
    </w:div>
    <w:div w:id="651367887">
      <w:bodyDiv w:val="1"/>
      <w:marLeft w:val="0"/>
      <w:marRight w:val="0"/>
      <w:marTop w:val="0"/>
      <w:marBottom w:val="0"/>
      <w:divBdr>
        <w:top w:val="none" w:sz="0" w:space="0" w:color="auto"/>
        <w:left w:val="none" w:sz="0" w:space="0" w:color="auto"/>
        <w:bottom w:val="none" w:sz="0" w:space="0" w:color="auto"/>
        <w:right w:val="none" w:sz="0" w:space="0" w:color="auto"/>
      </w:divBdr>
    </w:div>
    <w:div w:id="672997392">
      <w:bodyDiv w:val="1"/>
      <w:marLeft w:val="0"/>
      <w:marRight w:val="0"/>
      <w:marTop w:val="0"/>
      <w:marBottom w:val="0"/>
      <w:divBdr>
        <w:top w:val="none" w:sz="0" w:space="0" w:color="auto"/>
        <w:left w:val="none" w:sz="0" w:space="0" w:color="auto"/>
        <w:bottom w:val="none" w:sz="0" w:space="0" w:color="auto"/>
        <w:right w:val="none" w:sz="0" w:space="0" w:color="auto"/>
      </w:divBdr>
    </w:div>
    <w:div w:id="686250834">
      <w:bodyDiv w:val="1"/>
      <w:marLeft w:val="0"/>
      <w:marRight w:val="0"/>
      <w:marTop w:val="0"/>
      <w:marBottom w:val="0"/>
      <w:divBdr>
        <w:top w:val="none" w:sz="0" w:space="0" w:color="auto"/>
        <w:left w:val="none" w:sz="0" w:space="0" w:color="auto"/>
        <w:bottom w:val="none" w:sz="0" w:space="0" w:color="auto"/>
        <w:right w:val="none" w:sz="0" w:space="0" w:color="auto"/>
      </w:divBdr>
    </w:div>
    <w:div w:id="703754797">
      <w:bodyDiv w:val="1"/>
      <w:marLeft w:val="0"/>
      <w:marRight w:val="0"/>
      <w:marTop w:val="0"/>
      <w:marBottom w:val="0"/>
      <w:divBdr>
        <w:top w:val="none" w:sz="0" w:space="0" w:color="auto"/>
        <w:left w:val="none" w:sz="0" w:space="0" w:color="auto"/>
        <w:bottom w:val="none" w:sz="0" w:space="0" w:color="auto"/>
        <w:right w:val="none" w:sz="0" w:space="0" w:color="auto"/>
      </w:divBdr>
    </w:div>
    <w:div w:id="975992871">
      <w:bodyDiv w:val="1"/>
      <w:marLeft w:val="0"/>
      <w:marRight w:val="0"/>
      <w:marTop w:val="0"/>
      <w:marBottom w:val="0"/>
      <w:divBdr>
        <w:top w:val="none" w:sz="0" w:space="0" w:color="auto"/>
        <w:left w:val="none" w:sz="0" w:space="0" w:color="auto"/>
        <w:bottom w:val="none" w:sz="0" w:space="0" w:color="auto"/>
        <w:right w:val="none" w:sz="0" w:space="0" w:color="auto"/>
      </w:divBdr>
    </w:div>
    <w:div w:id="977034362">
      <w:bodyDiv w:val="1"/>
      <w:marLeft w:val="0"/>
      <w:marRight w:val="0"/>
      <w:marTop w:val="0"/>
      <w:marBottom w:val="0"/>
      <w:divBdr>
        <w:top w:val="none" w:sz="0" w:space="0" w:color="auto"/>
        <w:left w:val="none" w:sz="0" w:space="0" w:color="auto"/>
        <w:bottom w:val="none" w:sz="0" w:space="0" w:color="auto"/>
        <w:right w:val="none" w:sz="0" w:space="0" w:color="auto"/>
      </w:divBdr>
    </w:div>
    <w:div w:id="986472777">
      <w:bodyDiv w:val="1"/>
      <w:marLeft w:val="0"/>
      <w:marRight w:val="0"/>
      <w:marTop w:val="0"/>
      <w:marBottom w:val="0"/>
      <w:divBdr>
        <w:top w:val="none" w:sz="0" w:space="0" w:color="auto"/>
        <w:left w:val="none" w:sz="0" w:space="0" w:color="auto"/>
        <w:bottom w:val="none" w:sz="0" w:space="0" w:color="auto"/>
        <w:right w:val="none" w:sz="0" w:space="0" w:color="auto"/>
      </w:divBdr>
    </w:div>
    <w:div w:id="1003893384">
      <w:bodyDiv w:val="1"/>
      <w:marLeft w:val="0"/>
      <w:marRight w:val="0"/>
      <w:marTop w:val="0"/>
      <w:marBottom w:val="0"/>
      <w:divBdr>
        <w:top w:val="none" w:sz="0" w:space="0" w:color="auto"/>
        <w:left w:val="none" w:sz="0" w:space="0" w:color="auto"/>
        <w:bottom w:val="none" w:sz="0" w:space="0" w:color="auto"/>
        <w:right w:val="none" w:sz="0" w:space="0" w:color="auto"/>
      </w:divBdr>
    </w:div>
    <w:div w:id="1021737846">
      <w:bodyDiv w:val="1"/>
      <w:marLeft w:val="0"/>
      <w:marRight w:val="0"/>
      <w:marTop w:val="0"/>
      <w:marBottom w:val="0"/>
      <w:divBdr>
        <w:top w:val="none" w:sz="0" w:space="0" w:color="auto"/>
        <w:left w:val="none" w:sz="0" w:space="0" w:color="auto"/>
        <w:bottom w:val="none" w:sz="0" w:space="0" w:color="auto"/>
        <w:right w:val="none" w:sz="0" w:space="0" w:color="auto"/>
      </w:divBdr>
    </w:div>
    <w:div w:id="1024402737">
      <w:bodyDiv w:val="1"/>
      <w:marLeft w:val="0"/>
      <w:marRight w:val="0"/>
      <w:marTop w:val="0"/>
      <w:marBottom w:val="0"/>
      <w:divBdr>
        <w:top w:val="none" w:sz="0" w:space="0" w:color="auto"/>
        <w:left w:val="none" w:sz="0" w:space="0" w:color="auto"/>
        <w:bottom w:val="none" w:sz="0" w:space="0" w:color="auto"/>
        <w:right w:val="none" w:sz="0" w:space="0" w:color="auto"/>
      </w:divBdr>
    </w:div>
    <w:div w:id="1033044937">
      <w:bodyDiv w:val="1"/>
      <w:marLeft w:val="0"/>
      <w:marRight w:val="0"/>
      <w:marTop w:val="0"/>
      <w:marBottom w:val="0"/>
      <w:divBdr>
        <w:top w:val="none" w:sz="0" w:space="0" w:color="auto"/>
        <w:left w:val="none" w:sz="0" w:space="0" w:color="auto"/>
        <w:bottom w:val="none" w:sz="0" w:space="0" w:color="auto"/>
        <w:right w:val="none" w:sz="0" w:space="0" w:color="auto"/>
      </w:divBdr>
    </w:div>
    <w:div w:id="1036197761">
      <w:bodyDiv w:val="1"/>
      <w:marLeft w:val="0"/>
      <w:marRight w:val="0"/>
      <w:marTop w:val="0"/>
      <w:marBottom w:val="0"/>
      <w:divBdr>
        <w:top w:val="none" w:sz="0" w:space="0" w:color="auto"/>
        <w:left w:val="none" w:sz="0" w:space="0" w:color="auto"/>
        <w:bottom w:val="none" w:sz="0" w:space="0" w:color="auto"/>
        <w:right w:val="none" w:sz="0" w:space="0" w:color="auto"/>
      </w:divBdr>
    </w:div>
    <w:div w:id="1040473466">
      <w:bodyDiv w:val="1"/>
      <w:marLeft w:val="0"/>
      <w:marRight w:val="0"/>
      <w:marTop w:val="0"/>
      <w:marBottom w:val="0"/>
      <w:divBdr>
        <w:top w:val="none" w:sz="0" w:space="0" w:color="auto"/>
        <w:left w:val="none" w:sz="0" w:space="0" w:color="auto"/>
        <w:bottom w:val="none" w:sz="0" w:space="0" w:color="auto"/>
        <w:right w:val="none" w:sz="0" w:space="0" w:color="auto"/>
      </w:divBdr>
    </w:div>
    <w:div w:id="1082870322">
      <w:bodyDiv w:val="1"/>
      <w:marLeft w:val="0"/>
      <w:marRight w:val="0"/>
      <w:marTop w:val="0"/>
      <w:marBottom w:val="0"/>
      <w:divBdr>
        <w:top w:val="none" w:sz="0" w:space="0" w:color="auto"/>
        <w:left w:val="none" w:sz="0" w:space="0" w:color="auto"/>
        <w:bottom w:val="none" w:sz="0" w:space="0" w:color="auto"/>
        <w:right w:val="none" w:sz="0" w:space="0" w:color="auto"/>
      </w:divBdr>
    </w:div>
    <w:div w:id="1142692880">
      <w:bodyDiv w:val="1"/>
      <w:marLeft w:val="0"/>
      <w:marRight w:val="0"/>
      <w:marTop w:val="0"/>
      <w:marBottom w:val="0"/>
      <w:divBdr>
        <w:top w:val="none" w:sz="0" w:space="0" w:color="auto"/>
        <w:left w:val="none" w:sz="0" w:space="0" w:color="auto"/>
        <w:bottom w:val="none" w:sz="0" w:space="0" w:color="auto"/>
        <w:right w:val="none" w:sz="0" w:space="0" w:color="auto"/>
      </w:divBdr>
    </w:div>
    <w:div w:id="1172522808">
      <w:bodyDiv w:val="1"/>
      <w:marLeft w:val="0"/>
      <w:marRight w:val="0"/>
      <w:marTop w:val="0"/>
      <w:marBottom w:val="0"/>
      <w:divBdr>
        <w:top w:val="none" w:sz="0" w:space="0" w:color="auto"/>
        <w:left w:val="none" w:sz="0" w:space="0" w:color="auto"/>
        <w:bottom w:val="none" w:sz="0" w:space="0" w:color="auto"/>
        <w:right w:val="none" w:sz="0" w:space="0" w:color="auto"/>
      </w:divBdr>
    </w:div>
    <w:div w:id="1360081707">
      <w:bodyDiv w:val="1"/>
      <w:marLeft w:val="0"/>
      <w:marRight w:val="0"/>
      <w:marTop w:val="0"/>
      <w:marBottom w:val="0"/>
      <w:divBdr>
        <w:top w:val="none" w:sz="0" w:space="0" w:color="auto"/>
        <w:left w:val="none" w:sz="0" w:space="0" w:color="auto"/>
        <w:bottom w:val="none" w:sz="0" w:space="0" w:color="auto"/>
        <w:right w:val="none" w:sz="0" w:space="0" w:color="auto"/>
      </w:divBdr>
    </w:div>
    <w:div w:id="1387146321">
      <w:bodyDiv w:val="1"/>
      <w:marLeft w:val="0"/>
      <w:marRight w:val="0"/>
      <w:marTop w:val="0"/>
      <w:marBottom w:val="0"/>
      <w:divBdr>
        <w:top w:val="none" w:sz="0" w:space="0" w:color="auto"/>
        <w:left w:val="none" w:sz="0" w:space="0" w:color="auto"/>
        <w:bottom w:val="none" w:sz="0" w:space="0" w:color="auto"/>
        <w:right w:val="none" w:sz="0" w:space="0" w:color="auto"/>
      </w:divBdr>
    </w:div>
    <w:div w:id="1429959697">
      <w:bodyDiv w:val="1"/>
      <w:marLeft w:val="0"/>
      <w:marRight w:val="0"/>
      <w:marTop w:val="0"/>
      <w:marBottom w:val="0"/>
      <w:divBdr>
        <w:top w:val="none" w:sz="0" w:space="0" w:color="auto"/>
        <w:left w:val="none" w:sz="0" w:space="0" w:color="auto"/>
        <w:bottom w:val="none" w:sz="0" w:space="0" w:color="auto"/>
        <w:right w:val="none" w:sz="0" w:space="0" w:color="auto"/>
      </w:divBdr>
    </w:div>
    <w:div w:id="1582711504">
      <w:bodyDiv w:val="1"/>
      <w:marLeft w:val="0"/>
      <w:marRight w:val="0"/>
      <w:marTop w:val="0"/>
      <w:marBottom w:val="0"/>
      <w:divBdr>
        <w:top w:val="none" w:sz="0" w:space="0" w:color="auto"/>
        <w:left w:val="none" w:sz="0" w:space="0" w:color="auto"/>
        <w:bottom w:val="none" w:sz="0" w:space="0" w:color="auto"/>
        <w:right w:val="none" w:sz="0" w:space="0" w:color="auto"/>
      </w:divBdr>
    </w:div>
    <w:div w:id="1600334320">
      <w:bodyDiv w:val="1"/>
      <w:marLeft w:val="0"/>
      <w:marRight w:val="0"/>
      <w:marTop w:val="0"/>
      <w:marBottom w:val="0"/>
      <w:divBdr>
        <w:top w:val="none" w:sz="0" w:space="0" w:color="auto"/>
        <w:left w:val="none" w:sz="0" w:space="0" w:color="auto"/>
        <w:bottom w:val="none" w:sz="0" w:space="0" w:color="auto"/>
        <w:right w:val="none" w:sz="0" w:space="0" w:color="auto"/>
      </w:divBdr>
    </w:div>
    <w:div w:id="1797676685">
      <w:bodyDiv w:val="1"/>
      <w:marLeft w:val="0"/>
      <w:marRight w:val="0"/>
      <w:marTop w:val="0"/>
      <w:marBottom w:val="0"/>
      <w:divBdr>
        <w:top w:val="none" w:sz="0" w:space="0" w:color="auto"/>
        <w:left w:val="none" w:sz="0" w:space="0" w:color="auto"/>
        <w:bottom w:val="none" w:sz="0" w:space="0" w:color="auto"/>
        <w:right w:val="none" w:sz="0" w:space="0" w:color="auto"/>
      </w:divBdr>
    </w:div>
    <w:div w:id="1812745950">
      <w:bodyDiv w:val="1"/>
      <w:marLeft w:val="0"/>
      <w:marRight w:val="0"/>
      <w:marTop w:val="0"/>
      <w:marBottom w:val="0"/>
      <w:divBdr>
        <w:top w:val="none" w:sz="0" w:space="0" w:color="auto"/>
        <w:left w:val="none" w:sz="0" w:space="0" w:color="auto"/>
        <w:bottom w:val="none" w:sz="0" w:space="0" w:color="auto"/>
        <w:right w:val="none" w:sz="0" w:space="0" w:color="auto"/>
      </w:divBdr>
    </w:div>
    <w:div w:id="1851719876">
      <w:bodyDiv w:val="1"/>
      <w:marLeft w:val="0"/>
      <w:marRight w:val="0"/>
      <w:marTop w:val="0"/>
      <w:marBottom w:val="0"/>
      <w:divBdr>
        <w:top w:val="none" w:sz="0" w:space="0" w:color="auto"/>
        <w:left w:val="none" w:sz="0" w:space="0" w:color="auto"/>
        <w:bottom w:val="none" w:sz="0" w:space="0" w:color="auto"/>
        <w:right w:val="none" w:sz="0" w:space="0" w:color="auto"/>
      </w:divBdr>
    </w:div>
    <w:div w:id="1856113106">
      <w:bodyDiv w:val="1"/>
      <w:marLeft w:val="0"/>
      <w:marRight w:val="0"/>
      <w:marTop w:val="0"/>
      <w:marBottom w:val="0"/>
      <w:divBdr>
        <w:top w:val="none" w:sz="0" w:space="0" w:color="auto"/>
        <w:left w:val="none" w:sz="0" w:space="0" w:color="auto"/>
        <w:bottom w:val="none" w:sz="0" w:space="0" w:color="auto"/>
        <w:right w:val="none" w:sz="0" w:space="0" w:color="auto"/>
      </w:divBdr>
    </w:div>
    <w:div w:id="1888253329">
      <w:bodyDiv w:val="1"/>
      <w:marLeft w:val="0"/>
      <w:marRight w:val="0"/>
      <w:marTop w:val="0"/>
      <w:marBottom w:val="0"/>
      <w:divBdr>
        <w:top w:val="none" w:sz="0" w:space="0" w:color="auto"/>
        <w:left w:val="none" w:sz="0" w:space="0" w:color="auto"/>
        <w:bottom w:val="none" w:sz="0" w:space="0" w:color="auto"/>
        <w:right w:val="none" w:sz="0" w:space="0" w:color="auto"/>
      </w:divBdr>
    </w:div>
    <w:div w:id="1894852887">
      <w:bodyDiv w:val="1"/>
      <w:marLeft w:val="0"/>
      <w:marRight w:val="0"/>
      <w:marTop w:val="0"/>
      <w:marBottom w:val="0"/>
      <w:divBdr>
        <w:top w:val="none" w:sz="0" w:space="0" w:color="auto"/>
        <w:left w:val="none" w:sz="0" w:space="0" w:color="auto"/>
        <w:bottom w:val="none" w:sz="0" w:space="0" w:color="auto"/>
        <w:right w:val="none" w:sz="0" w:space="0" w:color="auto"/>
      </w:divBdr>
    </w:div>
    <w:div w:id="1994018298">
      <w:bodyDiv w:val="1"/>
      <w:marLeft w:val="0"/>
      <w:marRight w:val="0"/>
      <w:marTop w:val="0"/>
      <w:marBottom w:val="0"/>
      <w:divBdr>
        <w:top w:val="none" w:sz="0" w:space="0" w:color="auto"/>
        <w:left w:val="none" w:sz="0" w:space="0" w:color="auto"/>
        <w:bottom w:val="none" w:sz="0" w:space="0" w:color="auto"/>
        <w:right w:val="none" w:sz="0" w:space="0" w:color="auto"/>
      </w:divBdr>
    </w:div>
    <w:div w:id="2012639672">
      <w:bodyDiv w:val="1"/>
      <w:marLeft w:val="0"/>
      <w:marRight w:val="0"/>
      <w:marTop w:val="0"/>
      <w:marBottom w:val="0"/>
      <w:divBdr>
        <w:top w:val="none" w:sz="0" w:space="0" w:color="auto"/>
        <w:left w:val="none" w:sz="0" w:space="0" w:color="auto"/>
        <w:bottom w:val="none" w:sz="0" w:space="0" w:color="auto"/>
        <w:right w:val="none" w:sz="0" w:space="0" w:color="auto"/>
      </w:divBdr>
    </w:div>
    <w:div w:id="2061785682">
      <w:bodyDiv w:val="1"/>
      <w:marLeft w:val="0"/>
      <w:marRight w:val="0"/>
      <w:marTop w:val="0"/>
      <w:marBottom w:val="0"/>
      <w:divBdr>
        <w:top w:val="none" w:sz="0" w:space="0" w:color="auto"/>
        <w:left w:val="none" w:sz="0" w:space="0" w:color="auto"/>
        <w:bottom w:val="none" w:sz="0" w:space="0" w:color="auto"/>
        <w:right w:val="none" w:sz="0" w:space="0" w:color="auto"/>
      </w:divBdr>
    </w:div>
    <w:div w:id="2063365155">
      <w:bodyDiv w:val="1"/>
      <w:marLeft w:val="0"/>
      <w:marRight w:val="0"/>
      <w:marTop w:val="0"/>
      <w:marBottom w:val="0"/>
      <w:divBdr>
        <w:top w:val="none" w:sz="0" w:space="0" w:color="auto"/>
        <w:left w:val="none" w:sz="0" w:space="0" w:color="auto"/>
        <w:bottom w:val="none" w:sz="0" w:space="0" w:color="auto"/>
        <w:right w:val="none" w:sz="0" w:space="0" w:color="auto"/>
      </w:divBdr>
    </w:div>
    <w:div w:id="2105147945">
      <w:bodyDiv w:val="1"/>
      <w:marLeft w:val="0"/>
      <w:marRight w:val="0"/>
      <w:marTop w:val="0"/>
      <w:marBottom w:val="0"/>
      <w:divBdr>
        <w:top w:val="none" w:sz="0" w:space="0" w:color="auto"/>
        <w:left w:val="none" w:sz="0" w:space="0" w:color="auto"/>
        <w:bottom w:val="none" w:sz="0" w:space="0" w:color="auto"/>
        <w:right w:val="none" w:sz="0" w:space="0" w:color="auto"/>
      </w:divBdr>
    </w:div>
    <w:div w:id="21454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2" Type="http://schemas.openxmlformats.org/officeDocument/2006/relationships/hyperlink" Target="mailto:izzuddinbaqi@gmail.com" TargetMode="External"/><Relationship Id="rId1" Type="http://schemas.openxmlformats.org/officeDocument/2006/relationships/hyperlink" Target="mailto:triachmadi@it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23%20Data%20Personal\Data-Data\LK%203%20Kemenhub%20Nasional\Per-Pelabuhan\%23_Hasil_Ola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23%20Data%20Personal\Data-Data\LK%203%20Kemenhub%20Nasional\Per-Pelabuhan\%23_Hasil_Ola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23%20Data%20Personal\Data-Data\LK%203%20Kemenhub%20Nasional\Per-Pelabuhan\%23_Hasil_Ola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23%20Data%20Personal\Data-Data\Tugas%20Akhir%20Seatrans%20Genap%202019-2020\Izzudin%20Baqi\Perhitungan%20Tugas%20Akhir%2019-8-20%20-%20Cop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4464769952311"/>
          <c:y val="5.5578406755292763E-2"/>
          <c:w val="0.79521078587685401"/>
          <c:h val="0.81468677394233935"/>
        </c:manualLayout>
      </c:layout>
      <c:scatterChart>
        <c:scatterStyle val="lineMarker"/>
        <c:varyColors val="0"/>
        <c:ser>
          <c:idx val="1"/>
          <c:order val="1"/>
          <c:tx>
            <c:strRef>
              <c:f>Demand!$AV$2</c:f>
              <c:strCache>
                <c:ptCount val="1"/>
                <c:pt idx="0">
                  <c:v>CURVE D JKT-SBY</c:v>
                </c:pt>
              </c:strCache>
              <c:extLst xmlns:c15="http://schemas.microsoft.com/office/drawing/2012/chart"/>
            </c:strRef>
          </c:tx>
          <c:spPr>
            <a:ln w="25400" cap="rnd">
              <a:noFill/>
              <a:round/>
            </a:ln>
            <a:effectLst/>
          </c:spPr>
          <c:marker>
            <c:symbol val="circle"/>
            <c:size val="5"/>
            <c:spPr>
              <a:noFill/>
              <a:ln w="9525">
                <a:noFill/>
              </a:ln>
              <a:effectLst/>
            </c:spPr>
          </c:marker>
          <c:trendline>
            <c:name>Kurva D JKT-SBY</c:name>
            <c:spPr>
              <a:ln w="19050" cap="rnd">
                <a:solidFill>
                  <a:schemeClr val="tx1"/>
                </a:solidFill>
                <a:prstDash val="solid"/>
              </a:ln>
              <a:effectLst/>
            </c:spPr>
            <c:trendlineType val="poly"/>
            <c:order val="2"/>
            <c:dispRSqr val="0"/>
            <c:dispEq val="0"/>
          </c:trendline>
          <c:xVal>
            <c:numRef>
              <c:f>Demand!$AZ$6:$AZ$12</c:f>
              <c:numCache>
                <c:formatCode>General</c:formatCode>
                <c:ptCount val="7"/>
                <c:pt idx="0">
                  <c:v>7.7879604739912818</c:v>
                </c:pt>
                <c:pt idx="1">
                  <c:v>7.7452047538953392</c:v>
                </c:pt>
                <c:pt idx="2">
                  <c:v>7.7268498300388879</c:v>
                </c:pt>
                <c:pt idx="3">
                  <c:v>7.6977755012460811</c:v>
                </c:pt>
                <c:pt idx="4">
                  <c:v>7.6445241857923483</c:v>
                </c:pt>
                <c:pt idx="5">
                  <c:v>7.6091279401536038</c:v>
                </c:pt>
                <c:pt idx="6">
                  <c:v>7.5838188007721348</c:v>
                </c:pt>
              </c:numCache>
            </c:numRef>
          </c:xVal>
          <c:yVal>
            <c:numRef>
              <c:f>Demand!$BA$6:$BA$12</c:f>
              <c:numCache>
                <c:formatCode>General</c:formatCode>
                <c:ptCount val="7"/>
                <c:pt idx="0">
                  <c:v>6.3617278360175931</c:v>
                </c:pt>
                <c:pt idx="1">
                  <c:v>6.4031205211758175</c:v>
                </c:pt>
                <c:pt idx="2">
                  <c:v>6.4409090820652173</c:v>
                </c:pt>
                <c:pt idx="3">
                  <c:v>6.5078558716958312</c:v>
                </c:pt>
                <c:pt idx="4">
                  <c:v>6.5658478186735181</c:v>
                </c:pt>
                <c:pt idx="5">
                  <c:v>6.6170003411208986</c:v>
                </c:pt>
                <c:pt idx="6">
                  <c:v>6.6627578316815743</c:v>
                </c:pt>
              </c:numCache>
            </c:numRef>
          </c:yVal>
          <c:smooth val="0"/>
          <c:extLst xmlns:c15="http://schemas.microsoft.com/office/drawing/2012/chart">
            <c:ext xmlns:c16="http://schemas.microsoft.com/office/drawing/2014/chart" uri="{C3380CC4-5D6E-409C-BE32-E72D297353CC}">
              <c16:uniqueId val="{00000001-B18C-450A-8363-B8ECEB7A0D09}"/>
            </c:ext>
          </c:extLst>
        </c:ser>
        <c:ser>
          <c:idx val="5"/>
          <c:order val="5"/>
          <c:tx>
            <c:strRef>
              <c:f>Demand!$AO$14</c:f>
              <c:strCache>
                <c:ptCount val="1"/>
                <c:pt idx="0">
                  <c:v>CURVE D SBY-MKS</c:v>
                </c:pt>
              </c:strCache>
              <c:extLst xmlns:c15="http://schemas.microsoft.com/office/drawing/2012/chart"/>
            </c:strRef>
          </c:tx>
          <c:spPr>
            <a:ln w="25400" cap="rnd">
              <a:noFill/>
              <a:round/>
            </a:ln>
            <a:effectLst/>
          </c:spPr>
          <c:marker>
            <c:symbol val="circle"/>
            <c:size val="5"/>
            <c:spPr>
              <a:noFill/>
              <a:ln w="9525">
                <a:noFill/>
              </a:ln>
              <a:effectLst/>
            </c:spPr>
          </c:marker>
          <c:trendline>
            <c:name>Kurva D SBY-MKS</c:name>
            <c:spPr>
              <a:ln w="28575" cap="rnd">
                <a:solidFill>
                  <a:schemeClr val="tx1"/>
                </a:solidFill>
                <a:prstDash val="dash"/>
              </a:ln>
              <a:effectLst/>
            </c:spPr>
            <c:trendlineType val="poly"/>
            <c:order val="2"/>
            <c:dispRSqr val="0"/>
            <c:dispEq val="0"/>
          </c:trendline>
          <c:xVal>
            <c:numRef>
              <c:f>Demand!$AS$16:$AS$22</c:f>
              <c:numCache>
                <c:formatCode>General</c:formatCode>
                <c:ptCount val="7"/>
                <c:pt idx="0">
                  <c:v>8.037717551411065</c:v>
                </c:pt>
                <c:pt idx="1">
                  <c:v>7.9747754536621027</c:v>
                </c:pt>
                <c:pt idx="2">
                  <c:v>7.9468008128786929</c:v>
                </c:pt>
                <c:pt idx="3">
                  <c:v>7.9011394529215853</c:v>
                </c:pt>
                <c:pt idx="4">
                  <c:v>7.8124167691270845</c:v>
                </c:pt>
                <c:pt idx="5">
                  <c:v>7.748933816899565</c:v>
                </c:pt>
                <c:pt idx="6">
                  <c:v>7.700789653962743</c:v>
                </c:pt>
              </c:numCache>
            </c:numRef>
          </c:xVal>
          <c:yVal>
            <c:numRef>
              <c:f>Demand!$AT$16:$AT$22</c:f>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3-B18C-450A-8363-B8ECEB7A0D09}"/>
            </c:ext>
          </c:extLst>
        </c:ser>
        <c:dLbls>
          <c:showLegendKey val="0"/>
          <c:showVal val="0"/>
          <c:showCatName val="0"/>
          <c:showSerName val="0"/>
          <c:showPercent val="0"/>
          <c:showBubbleSize val="0"/>
        </c:dLbls>
        <c:axId val="2091740080"/>
        <c:axId val="4789632"/>
        <c:extLst>
          <c:ext xmlns:c15="http://schemas.microsoft.com/office/drawing/2012/chart" uri="{02D57815-91ED-43cb-92C2-25804820EDAC}">
            <c15:filteredScatterSeries>
              <c15:ser>
                <c:idx val="0"/>
                <c:order val="0"/>
                <c:tx>
                  <c:strRef>
                    <c:extLst>
                      <c:ext uri="{02D57815-91ED-43cb-92C2-25804820EDAC}">
                        <c15:formulaRef>
                          <c15:sqref>Demand!$AJ$17</c15:sqref>
                        </c15:formulaRef>
                      </c:ext>
                    </c:extLst>
                    <c:strCache>
                      <c:ptCount val="1"/>
                      <c:pt idx="0">
                        <c:v>Supply</c:v>
                      </c:pt>
                    </c:strCache>
                  </c:strRef>
                </c:tx>
                <c:spPr>
                  <a:ln w="19050" cap="rnd">
                    <a:noFill/>
                    <a:round/>
                  </a:ln>
                  <a:effectLst/>
                </c:spPr>
                <c:marker>
                  <c:symbol val="circle"/>
                  <c:size val="5"/>
                  <c:spPr>
                    <a:noFill/>
                    <a:ln w="9525">
                      <a:noFill/>
                    </a:ln>
                    <a:effectLst/>
                  </c:spPr>
                </c:marker>
                <c:trendline>
                  <c:name>Kurva Supply</c:name>
                  <c:spPr>
                    <a:ln w="19050" cap="rnd" cmpd="sng">
                      <a:solidFill>
                        <a:schemeClr val="bg2">
                          <a:lumMod val="10000"/>
                        </a:schemeClr>
                      </a:solidFill>
                      <a:prstDash val="dashDot"/>
                      <a:headEnd type="diamond"/>
                    </a:ln>
                    <a:effectLst/>
                  </c:spPr>
                  <c:trendlineType val="poly"/>
                  <c:order val="2"/>
                  <c:dispRSqr val="0"/>
                  <c:dispEq val="0"/>
                </c:trendline>
                <c:xVal>
                  <c:numRef>
                    <c:extLst>
                      <c:ext uri="{02D57815-91ED-43cb-92C2-25804820EDAC}">
                        <c15:formulaRef>
                          <c15:sqref>Demand!$AJ$19:$AJ$31</c15:sqref>
                        </c15:formulaRef>
                      </c:ext>
                    </c:extLst>
                    <c:numCache>
                      <c:formatCode>_(* #,##0_);_(* \(#,##0\);_(* "-"??_);_(@_)</c:formatCode>
                      <c:ptCount val="12"/>
                      <c:pt idx="0">
                        <c:v>5000000</c:v>
                      </c:pt>
                      <c:pt idx="1">
                        <c:v>10000000</c:v>
                      </c:pt>
                      <c:pt idx="2">
                        <c:v>20000000</c:v>
                      </c:pt>
                      <c:pt idx="3">
                        <c:v>30000000</c:v>
                      </c:pt>
                      <c:pt idx="4">
                        <c:v>42000000</c:v>
                      </c:pt>
                      <c:pt idx="5">
                        <c:v>58799999.999999993</c:v>
                      </c:pt>
                      <c:pt idx="6">
                        <c:v>82319999.999999985</c:v>
                      </c:pt>
                      <c:pt idx="7">
                        <c:v>115247999.99999997</c:v>
                      </c:pt>
                      <c:pt idx="8">
                        <c:v>161347199.99999994</c:v>
                      </c:pt>
                      <c:pt idx="9">
                        <c:v>225886079.99999991</c:v>
                      </c:pt>
                      <c:pt idx="10">
                        <c:v>316240511.99999988</c:v>
                      </c:pt>
                      <c:pt idx="11">
                        <c:v>619831403.51999974</c:v>
                      </c:pt>
                    </c:numCache>
                  </c:numRef>
                </c:xVal>
                <c:yVal>
                  <c:numRef>
                    <c:extLst>
                      <c:ext uri="{02D57815-91ED-43cb-92C2-25804820EDAC}">
                        <c15:formulaRef>
                          <c15:sqref>Demand!$AK$19:$AK$31</c15:sqref>
                        </c15:formulaRef>
                      </c:ext>
                    </c:extLst>
                    <c:numCache>
                      <c:formatCode>_(* #,##0_);_(* \(#,##0\);_(* "-"??_);_(@_)</c:formatCode>
                      <c:ptCount val="12"/>
                      <c:pt idx="0">
                        <c:v>1981420.018999655</c:v>
                      </c:pt>
                      <c:pt idx="1">
                        <c:v>1987382.29443932</c:v>
                      </c:pt>
                      <c:pt idx="2">
                        <c:v>2000374.5453186501</c:v>
                      </c:pt>
                      <c:pt idx="3">
                        <c:v>2014790.39619798</c:v>
                      </c:pt>
                      <c:pt idx="4">
                        <c:v>2033968.569253176</c:v>
                      </c:pt>
                      <c:pt idx="5">
                        <c:v>2064261.9846504503</c:v>
                      </c:pt>
                      <c:pt idx="6">
                        <c:v>2113422.9535218347</c:v>
                      </c:pt>
                      <c:pt idx="7">
                        <c:v>2195478.6770795644</c:v>
                      </c:pt>
                      <c:pt idx="8">
                        <c:v>2336288.2096504583</c:v>
                      </c:pt>
                      <c:pt idx="9">
                        <c:v>2584247.3336462518</c:v>
                      </c:pt>
                      <c:pt idx="10">
                        <c:v>3031008.6328975838</c:v>
                      </c:pt>
                      <c:pt idx="11">
                        <c:v>5383426.6712384149</c:v>
                      </c:pt>
                    </c:numCache>
                  </c:numRef>
                </c:yVal>
                <c:smooth val="0"/>
                <c:extLst>
                  <c:ext xmlns:c16="http://schemas.microsoft.com/office/drawing/2014/chart" uri="{C3380CC4-5D6E-409C-BE32-E72D297353CC}">
                    <c16:uniqueId val="{00000005-B18C-450A-8363-B8ECEB7A0D09}"/>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Demand!$BC$2</c15:sqref>
                        </c15:formulaRef>
                      </c:ext>
                    </c:extLst>
                    <c:strCache>
                      <c:ptCount val="1"/>
                      <c:pt idx="0">
                        <c:v>CURVE D JKT-PNK</c:v>
                      </c:pt>
                    </c:strCache>
                  </c:strRef>
                </c:tx>
                <c:spPr>
                  <a:ln w="25400" cap="rnd">
                    <a:noFill/>
                    <a:round/>
                  </a:ln>
                  <a:effectLst/>
                </c:spPr>
                <c:marker>
                  <c:symbol val="circle"/>
                  <c:size val="5"/>
                  <c:spPr>
                    <a:solidFill>
                      <a:schemeClr val="bg1"/>
                    </a:solidFill>
                    <a:ln w="9525">
                      <a:noFill/>
                    </a:ln>
                    <a:effectLst/>
                  </c:spPr>
                </c:marker>
                <c:trendline>
                  <c:spPr>
                    <a:ln w="19050" cap="rnd">
                      <a:solidFill>
                        <a:schemeClr val="accent2">
                          <a:lumMod val="75000"/>
                        </a:schemeClr>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Demand!$BG$6:$BG$12</c15:sqref>
                        </c15:formulaRef>
                      </c:ext>
                    </c:extLst>
                    <c:numCache>
                      <c:formatCode>General</c:formatCode>
                      <c:ptCount val="7"/>
                      <c:pt idx="0">
                        <c:v>7.7750862233454221</c:v>
                      </c:pt>
                      <c:pt idx="1">
                        <c:v>7.7345235604377054</c:v>
                      </c:pt>
                      <c:pt idx="2">
                        <c:v>7.7171746908329579</c:v>
                      </c:pt>
                      <c:pt idx="3">
                        <c:v>7.6897783919491038</c:v>
                      </c:pt>
                      <c:pt idx="4">
                        <c:v>7.6398879627890786</c:v>
                      </c:pt>
                      <c:pt idx="5">
                        <c:v>7.6069483732469116</c:v>
                      </c:pt>
                      <c:pt idx="6">
                        <c:v>7.5835133364224836</c:v>
                      </c:pt>
                    </c:numCache>
                  </c:numRef>
                </c:xVal>
                <c:yVal>
                  <c:numRef>
                    <c:extLst xmlns:c15="http://schemas.microsoft.com/office/drawing/2012/chart">
                      <c:ext xmlns:c15="http://schemas.microsoft.com/office/drawing/2012/chart" uri="{02D57815-91ED-43cb-92C2-25804820EDAC}">
                        <c15:formulaRef>
                          <c15:sqref>Demand!$BH$6:$BH$12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7-B18C-450A-8363-B8ECEB7A0D09}"/>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Demand!$AV$14</c15:sqref>
                        </c15:formulaRef>
                      </c:ext>
                    </c:extLst>
                    <c:strCache>
                      <c:ptCount val="1"/>
                      <c:pt idx="0">
                        <c:v>CURVE D SBY-BNJRMSIN</c:v>
                      </c:pt>
                    </c:strCache>
                  </c:strRef>
                </c:tx>
                <c:spPr>
                  <a:ln w="25400" cap="rnd">
                    <a:noFill/>
                    <a:round/>
                  </a:ln>
                  <a:effectLst/>
                </c:spPr>
                <c:marker>
                  <c:symbol val="circle"/>
                  <c:size val="5"/>
                  <c:spPr>
                    <a:solidFill>
                      <a:schemeClr val="bg1"/>
                    </a:solidFill>
                    <a:ln w="9525">
                      <a:noFill/>
                    </a:ln>
                    <a:effectLst/>
                  </c:spPr>
                </c:marker>
                <c:trendline>
                  <c:spPr>
                    <a:ln w="19050" cap="rnd">
                      <a:solidFill>
                        <a:srgbClr val="00B050"/>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Demand!$AZ$16:$AZ$22</c15:sqref>
                        </c15:formulaRef>
                      </c:ext>
                    </c:extLst>
                    <c:numCache>
                      <c:formatCode>General</c:formatCode>
                      <c:ptCount val="7"/>
                      <c:pt idx="0">
                        <c:v>7.5370831534098404</c:v>
                      </c:pt>
                      <c:pt idx="1">
                        <c:v>7.4780049484875981</c:v>
                      </c:pt>
                      <c:pt idx="2">
                        <c:v>7.4519231938856967</c:v>
                      </c:pt>
                      <c:pt idx="3">
                        <c:v>7.4096055756009056</c:v>
                      </c:pt>
                      <c:pt idx="4">
                        <c:v>7.3283825160565179</c:v>
                      </c:pt>
                      <c:pt idx="5">
                        <c:v>7.2711874437853599</c:v>
                      </c:pt>
                      <c:pt idx="6">
                        <c:v>7.2283916701597031</c:v>
                      </c:pt>
                    </c:numCache>
                  </c:numRef>
                </c:xVal>
                <c:yVal>
                  <c:numRef>
                    <c:extLst xmlns:c15="http://schemas.microsoft.com/office/drawing/2012/chart">
                      <c:ext xmlns:c15="http://schemas.microsoft.com/office/drawing/2012/chart" uri="{02D57815-91ED-43cb-92C2-25804820EDAC}">
                        <c15:formulaRef>
                          <c15:sqref>Demand!$BA$16:$BA$22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9-B18C-450A-8363-B8ECEB7A0D09}"/>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Demand!$BC$14</c15:sqref>
                        </c15:formulaRef>
                      </c:ext>
                    </c:extLst>
                    <c:strCache>
                      <c:ptCount val="1"/>
                      <c:pt idx="0">
                        <c:v>CURVE D SBY-SMRND</c:v>
                      </c:pt>
                    </c:strCache>
                  </c:strRef>
                </c:tx>
                <c:spPr>
                  <a:ln w="25400" cap="rnd">
                    <a:noFill/>
                    <a:round/>
                  </a:ln>
                  <a:effectLst/>
                </c:spPr>
                <c:marker>
                  <c:symbol val="circle"/>
                  <c:size val="5"/>
                  <c:spPr>
                    <a:noFill/>
                    <a:ln w="19050">
                      <a:noFill/>
                    </a:ln>
                    <a:effectLst/>
                  </c:spPr>
                </c:marker>
                <c:trendline>
                  <c:spPr>
                    <a:ln w="19050" cap="rnd">
                      <a:solidFill>
                        <a:srgbClr val="C00000"/>
                      </a:solidFill>
                      <a:prstDash val="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Demand!$BG$16:$BG$22</c15:sqref>
                        </c15:formulaRef>
                      </c:ext>
                    </c:extLst>
                    <c:numCache>
                      <c:formatCode>General</c:formatCode>
                      <c:ptCount val="7"/>
                      <c:pt idx="0">
                        <c:v>7.4877851875748043</c:v>
                      </c:pt>
                      <c:pt idx="1">
                        <c:v>7.4342577499303237</c:v>
                      </c:pt>
                      <c:pt idx="2">
                        <c:v>7.4108518463490904</c:v>
                      </c:pt>
                      <c:pt idx="3">
                        <c:v>7.3731931323584012</c:v>
                      </c:pt>
                      <c:pt idx="4">
                        <c:v>7.3021153365185096</c:v>
                      </c:pt>
                      <c:pt idx="5">
                        <c:v>7.2531174527895148</c:v>
                      </c:pt>
                      <c:pt idx="6">
                        <c:v>7.2170838616286659</c:v>
                      </c:pt>
                    </c:numCache>
                  </c:numRef>
                </c:xVal>
                <c:yVal>
                  <c:numRef>
                    <c:extLst xmlns:c15="http://schemas.microsoft.com/office/drawing/2012/chart">
                      <c:ext xmlns:c15="http://schemas.microsoft.com/office/drawing/2012/chart" uri="{02D57815-91ED-43cb-92C2-25804820EDAC}">
                        <c15:formulaRef>
                          <c15:sqref>Demand!$BH$16:$BH$22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B-B18C-450A-8363-B8ECEB7A0D09}"/>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Demand!$AO$24</c15:sqref>
                        </c15:formulaRef>
                      </c:ext>
                    </c:extLst>
                    <c:strCache>
                      <c:ptCount val="1"/>
                      <c:pt idx="0">
                        <c:v>CURVE D JKT-BLW</c:v>
                      </c:pt>
                    </c:strCache>
                  </c:strRef>
                </c:tx>
                <c:spPr>
                  <a:ln w="25400" cap="rnd">
                    <a:noFill/>
                    <a:round/>
                  </a:ln>
                  <a:effectLst/>
                </c:spPr>
                <c:marker>
                  <c:symbol val="circle"/>
                  <c:size val="5"/>
                  <c:spPr>
                    <a:noFill/>
                    <a:ln w="9525">
                      <a:noFill/>
                    </a:ln>
                    <a:effectLst/>
                  </c:spPr>
                </c:marker>
                <c:trendline>
                  <c:spPr>
                    <a:ln w="19050" cap="rnd">
                      <a:solidFill>
                        <a:schemeClr val="accent1">
                          <a:lumMod val="60000"/>
                        </a:schemeClr>
                      </a:solidFill>
                      <a:prstDash val="sys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Demand!$AS$26:$AS$32</c15:sqref>
                        </c15:formulaRef>
                      </c:ext>
                    </c:extLst>
                    <c:numCache>
                      <c:formatCode>General</c:formatCode>
                      <c:ptCount val="6"/>
                      <c:pt idx="0">
                        <c:v>8.2834020601761669</c:v>
                      </c:pt>
                      <c:pt idx="1">
                        <c:v>8.2455935721035623</c:v>
                      </c:pt>
                      <c:pt idx="2">
                        <c:v>8.2294977282792043</c:v>
                      </c:pt>
                      <c:pt idx="3">
                        <c:v>8.2041769731185017</c:v>
                      </c:pt>
                      <c:pt idx="4">
                        <c:v>8.12840614974915</c:v>
                      </c:pt>
                      <c:pt idx="5">
                        <c:v>8.1072011902961787</c:v>
                      </c:pt>
                    </c:numCache>
                  </c:numRef>
                </c:xVal>
                <c:yVal>
                  <c:numRef>
                    <c:extLst xmlns:c15="http://schemas.microsoft.com/office/drawing/2012/chart">
                      <c:ext xmlns:c15="http://schemas.microsoft.com/office/drawing/2012/chart" uri="{02D57815-91ED-43cb-92C2-25804820EDAC}">
                        <c15:formulaRef>
                          <c15:sqref>Demand!$AT$26:$AT$32</c15:sqref>
                        </c15:formulaRef>
                      </c:ext>
                    </c:extLst>
                    <c:numCache>
                      <c:formatCode>General</c:formatCode>
                      <c:ptCount val="6"/>
                      <c:pt idx="0">
                        <c:v>6.5185139398778871</c:v>
                      </c:pt>
                      <c:pt idx="1">
                        <c:v>6.5599066250361124</c:v>
                      </c:pt>
                      <c:pt idx="2">
                        <c:v>6.5976951859255122</c:v>
                      </c:pt>
                      <c:pt idx="3">
                        <c:v>6.6646419755561253</c:v>
                      </c:pt>
                      <c:pt idx="4">
                        <c:v>6.7737864449811935</c:v>
                      </c:pt>
                      <c:pt idx="5">
                        <c:v>6.8195439355418683</c:v>
                      </c:pt>
                    </c:numCache>
                  </c:numRef>
                </c:yVal>
                <c:smooth val="0"/>
                <c:extLst xmlns:c15="http://schemas.microsoft.com/office/drawing/2012/chart">
                  <c:ext xmlns:c16="http://schemas.microsoft.com/office/drawing/2014/chart" uri="{C3380CC4-5D6E-409C-BE32-E72D297353CC}">
                    <c16:uniqueId val="{0000000D-B18C-450A-8363-B8ECEB7A0D09}"/>
                  </c:ext>
                </c:extLst>
              </c15:ser>
            </c15:filteredScatterSeries>
            <c15:filteredScatterSeries>
              <c15:ser>
                <c:idx val="7"/>
                <c:order val="7"/>
                <c:tx>
                  <c:v>Supply''</c:v>
                </c:tx>
                <c:spPr>
                  <a:ln w="25400" cap="rnd">
                    <a:noFill/>
                    <a:round/>
                  </a:ln>
                  <a:effectLst/>
                </c:spPr>
                <c:marker>
                  <c:symbol val="circle"/>
                  <c:size val="5"/>
                  <c:spPr>
                    <a:noFill/>
                    <a:ln w="9525">
                      <a:noFill/>
                    </a:ln>
                    <a:effectLst/>
                  </c:spPr>
                </c:marker>
                <c:trendline>
                  <c:name>Kurva Supply"</c:name>
                  <c:spPr>
                    <a:ln w="19050" cap="rnd">
                      <a:solidFill>
                        <a:schemeClr val="tx1">
                          <a:lumMod val="95000"/>
                          <a:lumOff val="5000"/>
                        </a:schemeClr>
                      </a:solidFill>
                      <a:prstDash val="lgDashDotDot"/>
                      <a:headEnd type="none"/>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Demand!$AL$19:$AL$31</c15:sqref>
                        </c15:formulaRef>
                      </c:ext>
                    </c:extLst>
                    <c:numCache>
                      <c:formatCode>_(* #,##0_);_(* \(#,##0\);_(* "-"??_);_(@_)</c:formatCode>
                      <c:ptCount val="12"/>
                      <c:pt idx="0">
                        <c:v>-95000000</c:v>
                      </c:pt>
                      <c:pt idx="1">
                        <c:v>-90000000</c:v>
                      </c:pt>
                      <c:pt idx="2">
                        <c:v>-80000000</c:v>
                      </c:pt>
                      <c:pt idx="3">
                        <c:v>-70000000</c:v>
                      </c:pt>
                      <c:pt idx="4">
                        <c:v>-58000000</c:v>
                      </c:pt>
                      <c:pt idx="5">
                        <c:v>-41200000.000000007</c:v>
                      </c:pt>
                      <c:pt idx="6">
                        <c:v>-17680000.000000015</c:v>
                      </c:pt>
                      <c:pt idx="7">
                        <c:v>15247999.99999997</c:v>
                      </c:pt>
                      <c:pt idx="8">
                        <c:v>61347199.99999994</c:v>
                      </c:pt>
                      <c:pt idx="9">
                        <c:v>125886079.99999991</c:v>
                      </c:pt>
                      <c:pt idx="10">
                        <c:v>216240511.99999988</c:v>
                      </c:pt>
                      <c:pt idx="11">
                        <c:v>519831403.51999974</c:v>
                      </c:pt>
                    </c:numCache>
                  </c:numRef>
                </c:xVal>
                <c:yVal>
                  <c:numRef>
                    <c:extLst xmlns:c15="http://schemas.microsoft.com/office/drawing/2012/chart">
                      <c:ext xmlns:c15="http://schemas.microsoft.com/office/drawing/2012/chart" uri="{02D57815-91ED-43cb-92C2-25804820EDAC}">
                        <c15:formulaRef>
                          <c15:sqref>Demand!$AM$19:$AM$31</c15:sqref>
                        </c15:formulaRef>
                      </c:ext>
                    </c:extLst>
                    <c:numCache>
                      <c:formatCode>General</c:formatCode>
                      <c:ptCount val="12"/>
                      <c:pt idx="0">
                        <c:v>1981420.018999655</c:v>
                      </c:pt>
                      <c:pt idx="1">
                        <c:v>1987382.29443932</c:v>
                      </c:pt>
                      <c:pt idx="2" formatCode="_(* #,##0_);_(* \(#,##0\);_(* &quot;-&quot;_);_(@_)">
                        <c:v>2000374.5453186501</c:v>
                      </c:pt>
                      <c:pt idx="3" formatCode="_(* #,##0_);_(* \(#,##0\);_(* &quot;-&quot;_);_(@_)">
                        <c:v>2014790.39619798</c:v>
                      </c:pt>
                      <c:pt idx="4" formatCode="_(* #,##0_);_(* \(#,##0\);_(* &quot;-&quot;_);_(@_)">
                        <c:v>2033968.569253176</c:v>
                      </c:pt>
                      <c:pt idx="5" formatCode="_(* #,##0_);_(* \(#,##0\);_(* &quot;-&quot;_);_(@_)">
                        <c:v>2064261.9846504503</c:v>
                      </c:pt>
                      <c:pt idx="6" formatCode="_(* #,##0_);_(* \(#,##0\);_(* &quot;-&quot;_);_(@_)">
                        <c:v>2113422.9535218347</c:v>
                      </c:pt>
                      <c:pt idx="7" formatCode="_(* #,##0_);_(* \(#,##0\);_(* &quot;-&quot;_);_(@_)">
                        <c:v>2195478.6770795644</c:v>
                      </c:pt>
                      <c:pt idx="8">
                        <c:v>2336288.2096504583</c:v>
                      </c:pt>
                      <c:pt idx="9">
                        <c:v>2584247.3336462518</c:v>
                      </c:pt>
                      <c:pt idx="10">
                        <c:v>3031008.6328975838</c:v>
                      </c:pt>
                      <c:pt idx="11">
                        <c:v>5383426.6712384149</c:v>
                      </c:pt>
                    </c:numCache>
                  </c:numRef>
                </c:yVal>
                <c:smooth val="0"/>
                <c:extLst xmlns:c15="http://schemas.microsoft.com/office/drawing/2012/chart">
                  <c:ext xmlns:c16="http://schemas.microsoft.com/office/drawing/2014/chart" uri="{C3380CC4-5D6E-409C-BE32-E72D297353CC}">
                    <c16:uniqueId val="{0000000F-B18C-450A-8363-B8ECEB7A0D09}"/>
                  </c:ext>
                </c:extLst>
              </c15:ser>
            </c15:filteredScatterSeries>
          </c:ext>
        </c:extLst>
      </c:scatterChart>
      <c:valAx>
        <c:axId val="209174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Q (Thousand TEUs.NM)</a:t>
                </a:r>
                <a:r>
                  <a:rPr lang="en-ID" baseline="0"/>
                  <a:t> in Log</a:t>
                </a:r>
                <a:endParaRPr lang="en-ID"/>
              </a:p>
            </c:rich>
          </c:tx>
          <c:layout>
            <c:manualLayout>
              <c:xMode val="edge"/>
              <c:yMode val="edge"/>
              <c:x val="0.78059680259455733"/>
              <c:y val="0.939193838749258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89632"/>
        <c:crosses val="autoZero"/>
        <c:crossBetween val="midCat"/>
      </c:valAx>
      <c:valAx>
        <c:axId val="47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 (Rp/TEUs)</a:t>
                </a:r>
                <a:r>
                  <a:rPr lang="en-US"/>
                  <a:t> in</a:t>
                </a:r>
                <a:r>
                  <a:rPr lang="en-US" baseline="0"/>
                  <a:t> Log</a:t>
                </a:r>
                <a:endParaRPr lang="en-US"/>
              </a:p>
            </c:rich>
          </c:tx>
          <c:layout>
            <c:manualLayout>
              <c:xMode val="edge"/>
              <c:yMode val="edge"/>
              <c:x val="8.3333333333333332E-3"/>
              <c:y val="2.88925342665500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1740080"/>
        <c:crosses val="autoZero"/>
        <c:crossBetween val="midCat"/>
        <c:majorUnit val="0.1"/>
      </c:valAx>
      <c:spPr>
        <a:noFill/>
        <a:ln>
          <a:noFill/>
        </a:ln>
        <a:effectLst/>
      </c:spPr>
    </c:plotArea>
    <c:legend>
      <c:legendPos val="r"/>
      <c:legendEntry>
        <c:idx val="0"/>
        <c:delete val="1"/>
      </c:legendEntry>
      <c:legendEntry>
        <c:idx val="1"/>
        <c:delete val="1"/>
      </c:legendEntry>
      <c:layout>
        <c:manualLayout>
          <c:xMode val="edge"/>
          <c:yMode val="edge"/>
          <c:x val="0.61065533297452623"/>
          <c:y val="5.1032986726335709E-2"/>
          <c:w val="0.32663574013815716"/>
          <c:h val="0.15053104781961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7503107000222"/>
          <c:y val="3.6293031630431863E-2"/>
          <c:w val="0.77355255450575444"/>
          <c:h val="0.7619598346943296"/>
        </c:manualLayout>
      </c:layout>
      <c:barChart>
        <c:barDir val="col"/>
        <c:grouping val="clustered"/>
        <c:varyColors val="0"/>
        <c:ser>
          <c:idx val="0"/>
          <c:order val="0"/>
          <c:tx>
            <c:strRef>
              <c:f>HHI!$D$17</c:f>
              <c:strCache>
                <c:ptCount val="1"/>
                <c:pt idx="0">
                  <c:v>TOP 4</c:v>
                </c:pt>
              </c:strCache>
            </c:strRef>
          </c:tx>
          <c:spPr>
            <a:solidFill>
              <a:schemeClr val="bg1">
                <a:lumMod val="65000"/>
              </a:schemeClr>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0-BB47-42C9-B5B2-EF4E62E9A04E}"/>
              </c:ext>
            </c:extLst>
          </c:dPt>
          <c:dLbls>
            <c:spPr>
              <a:noFill/>
              <a:ln>
                <a:noFill/>
              </a:ln>
              <a:effectLst/>
            </c:spPr>
            <c:txPr>
              <a:bodyPr rot="-5400000" spcFirstLastPara="1" vertOverflow="ellipsis" wrap="square" anchor="ctr" anchorCtr="1"/>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HHI!$E$16:$G$16</c:f>
              <c:strCache>
                <c:ptCount val="3"/>
                <c:pt idx="0">
                  <c:v>2017</c:v>
                </c:pt>
                <c:pt idx="1">
                  <c:v>2018</c:v>
                </c:pt>
                <c:pt idx="2">
                  <c:v>2019</c:v>
                </c:pt>
              </c:strCache>
            </c:strRef>
          </c:cat>
          <c:val>
            <c:numRef>
              <c:f>HHI!$E$17:$G$17</c:f>
              <c:numCache>
                <c:formatCode>0.00%</c:formatCode>
                <c:ptCount val="3"/>
                <c:pt idx="0">
                  <c:v>0.67773193185400071</c:v>
                </c:pt>
                <c:pt idx="1">
                  <c:v>0.72127012430066939</c:v>
                </c:pt>
                <c:pt idx="2">
                  <c:v>0.86239376176692129</c:v>
                </c:pt>
              </c:numCache>
            </c:numRef>
          </c:val>
          <c:extLst>
            <c:ext xmlns:c16="http://schemas.microsoft.com/office/drawing/2014/chart" uri="{C3380CC4-5D6E-409C-BE32-E72D297353CC}">
              <c16:uniqueId val="{00000000-F504-4BB4-8DA1-6F94439D80A2}"/>
            </c:ext>
          </c:extLst>
        </c:ser>
        <c:ser>
          <c:idx val="1"/>
          <c:order val="1"/>
          <c:tx>
            <c:strRef>
              <c:f>HHI!$D$18</c:f>
              <c:strCache>
                <c:ptCount val="1"/>
                <c:pt idx="0">
                  <c:v>TOP 10</c:v>
                </c:pt>
              </c:strCache>
            </c:strRef>
          </c:tx>
          <c:spPr>
            <a:solidFill>
              <a:schemeClr val="tx1">
                <a:lumMod val="85000"/>
                <a:lumOff val="15000"/>
              </a:schemeClr>
            </a:solidFill>
            <a:ln>
              <a:noFill/>
            </a:ln>
            <a:effectLst/>
          </c:spPr>
          <c:invertIfNegative val="0"/>
          <c:dLbls>
            <c:spPr>
              <a:noFill/>
              <a:ln>
                <a:noFill/>
              </a:ln>
              <a:effectLst/>
            </c:spPr>
            <c:txPr>
              <a:bodyPr rot="-5400000" spcFirstLastPara="1" vertOverflow="ellipsis" wrap="square" anchor="ctr" anchorCtr="1"/>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HHI!$E$16:$G$16</c:f>
              <c:strCache>
                <c:ptCount val="3"/>
                <c:pt idx="0">
                  <c:v>2017</c:v>
                </c:pt>
                <c:pt idx="1">
                  <c:v>2018</c:v>
                </c:pt>
                <c:pt idx="2">
                  <c:v>2019</c:v>
                </c:pt>
              </c:strCache>
            </c:strRef>
          </c:cat>
          <c:val>
            <c:numRef>
              <c:f>HHI!$E$18:$G$18</c:f>
              <c:numCache>
                <c:formatCode>0.00%</c:formatCode>
                <c:ptCount val="3"/>
                <c:pt idx="0">
                  <c:v>0.93394596874489144</c:v>
                </c:pt>
                <c:pt idx="1">
                  <c:v>0.92443882847713166</c:v>
                </c:pt>
                <c:pt idx="2">
                  <c:v>0.95363537397219722</c:v>
                </c:pt>
              </c:numCache>
            </c:numRef>
          </c:val>
          <c:extLst>
            <c:ext xmlns:c16="http://schemas.microsoft.com/office/drawing/2014/chart" uri="{C3380CC4-5D6E-409C-BE32-E72D297353CC}">
              <c16:uniqueId val="{00000001-F504-4BB4-8DA1-6F94439D80A2}"/>
            </c:ext>
          </c:extLst>
        </c:ser>
        <c:ser>
          <c:idx val="2"/>
          <c:order val="2"/>
          <c:tx>
            <c:strRef>
              <c:f>HHI!$D$19</c:f>
              <c:strCache>
                <c:ptCount val="1"/>
                <c:pt idx="0">
                  <c:v>TOP 20</c:v>
                </c:pt>
              </c:strCache>
            </c:strRef>
          </c:tx>
          <c:spPr>
            <a:solidFill>
              <a:schemeClr val="tx1">
                <a:lumMod val="50000"/>
                <a:lumOff val="50000"/>
              </a:schemeClr>
            </a:solidFill>
            <a:ln>
              <a:noFill/>
            </a:ln>
            <a:effectLst/>
          </c:spPr>
          <c:invertIfNegative val="0"/>
          <c:dLbls>
            <c:spPr>
              <a:solidFill>
                <a:schemeClr val="bg1"/>
              </a:solidFill>
              <a:ln>
                <a:noFill/>
              </a:ln>
              <a:effectLst/>
            </c:spPr>
            <c:txPr>
              <a:bodyPr rot="-5400000" spcFirstLastPara="1" vertOverflow="ellipsis" wrap="square" anchor="ctr" anchorCtr="1"/>
              <a:lstStyle/>
              <a:p>
                <a:pPr>
                  <a:defRPr sz="9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HHI!$E$16:$G$16</c:f>
              <c:strCache>
                <c:ptCount val="3"/>
                <c:pt idx="0">
                  <c:v>2017</c:v>
                </c:pt>
                <c:pt idx="1">
                  <c:v>2018</c:v>
                </c:pt>
                <c:pt idx="2">
                  <c:v>2019</c:v>
                </c:pt>
              </c:strCache>
            </c:strRef>
          </c:cat>
          <c:val>
            <c:numRef>
              <c:f>HHI!$E$19:$G$19</c:f>
              <c:numCache>
                <c:formatCode>0.00%</c:formatCode>
                <c:ptCount val="3"/>
                <c:pt idx="0">
                  <c:v>0.99028617851520617</c:v>
                </c:pt>
                <c:pt idx="1">
                  <c:v>0.98013123587057061</c:v>
                </c:pt>
                <c:pt idx="2">
                  <c:v>0.98506752161315125</c:v>
                </c:pt>
              </c:numCache>
            </c:numRef>
          </c:val>
          <c:extLst>
            <c:ext xmlns:c16="http://schemas.microsoft.com/office/drawing/2014/chart" uri="{C3380CC4-5D6E-409C-BE32-E72D297353CC}">
              <c16:uniqueId val="{00000002-F504-4BB4-8DA1-6F94439D80A2}"/>
            </c:ext>
          </c:extLst>
        </c:ser>
        <c:dLbls>
          <c:showLegendKey val="0"/>
          <c:showVal val="0"/>
          <c:showCatName val="0"/>
          <c:showSerName val="0"/>
          <c:showPercent val="0"/>
          <c:showBubbleSize val="0"/>
        </c:dLbls>
        <c:gapWidth val="48"/>
        <c:axId val="1091343424"/>
        <c:axId val="1091357568"/>
      </c:barChart>
      <c:lineChart>
        <c:grouping val="standard"/>
        <c:varyColors val="0"/>
        <c:ser>
          <c:idx val="3"/>
          <c:order val="3"/>
          <c:tx>
            <c:strRef>
              <c:f>HHI!$D$20</c:f>
              <c:strCache>
                <c:ptCount val="1"/>
                <c:pt idx="0">
                  <c:v>HHI ALL</c:v>
                </c:pt>
              </c:strCache>
            </c:strRef>
          </c:tx>
          <c:spPr>
            <a:ln w="28575" cap="rnd">
              <a:solidFill>
                <a:schemeClr val="bg1"/>
              </a:solidFill>
              <a:round/>
            </a:ln>
            <a:effectLst/>
          </c:spPr>
          <c:marker>
            <c:symbol val="triangle"/>
            <c:size val="10"/>
            <c:spPr>
              <a:solidFill>
                <a:schemeClr val="bg1">
                  <a:lumMod val="85000"/>
                </a:schemeClr>
              </a:solidFill>
              <a:ln w="9525">
                <a:solidFill>
                  <a:schemeClr val="tx1">
                    <a:lumMod val="75000"/>
                    <a:lumOff val="25000"/>
                  </a:schemeClr>
                </a:solidFill>
              </a:ln>
              <a:effectLst/>
            </c:spPr>
          </c:marker>
          <c:val>
            <c:numRef>
              <c:f>HHI!$E$20:$G$20</c:f>
              <c:numCache>
                <c:formatCode>0</c:formatCode>
                <c:ptCount val="3"/>
                <c:pt idx="0">
                  <c:v>1297.1203388563113</c:v>
                </c:pt>
                <c:pt idx="1">
                  <c:v>1438.5184346894087</c:v>
                </c:pt>
                <c:pt idx="2">
                  <c:v>1937.1334204151053</c:v>
                </c:pt>
              </c:numCache>
            </c:numRef>
          </c:val>
          <c:smooth val="0"/>
          <c:extLst>
            <c:ext xmlns:c16="http://schemas.microsoft.com/office/drawing/2014/chart" uri="{C3380CC4-5D6E-409C-BE32-E72D297353CC}">
              <c16:uniqueId val="{00000003-F504-4BB4-8DA1-6F94439D80A2}"/>
            </c:ext>
          </c:extLst>
        </c:ser>
        <c:dLbls>
          <c:showLegendKey val="0"/>
          <c:showVal val="0"/>
          <c:showCatName val="0"/>
          <c:showSerName val="0"/>
          <c:showPercent val="0"/>
          <c:showBubbleSize val="0"/>
        </c:dLbls>
        <c:marker val="1"/>
        <c:smooth val="0"/>
        <c:axId val="1091374208"/>
        <c:axId val="1091385440"/>
      </c:lineChart>
      <c:catAx>
        <c:axId val="109134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357568"/>
        <c:crosses val="autoZero"/>
        <c:auto val="1"/>
        <c:lblAlgn val="ctr"/>
        <c:lblOffset val="100"/>
        <c:noMultiLvlLbl val="0"/>
      </c:catAx>
      <c:valAx>
        <c:axId val="109135756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343424"/>
        <c:crosses val="autoZero"/>
        <c:crossBetween val="between"/>
        <c:majorUnit val="0.2"/>
      </c:valAx>
      <c:valAx>
        <c:axId val="109138544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374208"/>
        <c:crosses val="max"/>
        <c:crossBetween val="between"/>
      </c:valAx>
      <c:catAx>
        <c:axId val="1091374208"/>
        <c:scaling>
          <c:orientation val="minMax"/>
        </c:scaling>
        <c:delete val="1"/>
        <c:axPos val="b"/>
        <c:majorTickMark val="out"/>
        <c:minorTickMark val="none"/>
        <c:tickLblPos val="nextTo"/>
        <c:crossAx val="1091385440"/>
        <c:crosses val="autoZero"/>
        <c:auto val="1"/>
        <c:lblAlgn val="ctr"/>
        <c:lblOffset val="100"/>
        <c:noMultiLvlLbl val="0"/>
      </c:catAx>
      <c:spPr>
        <a:noFill/>
        <a:ln>
          <a:noFill/>
        </a:ln>
        <a:effectLst/>
      </c:spPr>
    </c:plotArea>
    <c:legend>
      <c:legendPos val="b"/>
      <c:layout>
        <c:manualLayout>
          <c:xMode val="edge"/>
          <c:yMode val="edge"/>
          <c:x val="5.846733116420736E-2"/>
          <c:y val="0.89263300278591451"/>
          <c:w val="0.89055427704564449"/>
          <c:h val="9.59904329364972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81277340332459"/>
          <c:y val="4.35564823216536E-2"/>
          <c:w val="0.73056204181373885"/>
          <c:h val="0.7319821188146366"/>
        </c:manualLayout>
      </c:layout>
      <c:barChart>
        <c:barDir val="col"/>
        <c:grouping val="clustered"/>
        <c:varyColors val="0"/>
        <c:ser>
          <c:idx val="0"/>
          <c:order val="1"/>
          <c:tx>
            <c:strRef>
              <c:f>HHI!$F$10</c:f>
              <c:strCache>
                <c:ptCount val="1"/>
                <c:pt idx="0">
                  <c:v>MARKETSHARE 2019</c:v>
                </c:pt>
              </c:strCache>
            </c:strRef>
          </c:tx>
          <c:spPr>
            <a:solidFill>
              <a:schemeClr val="tx1">
                <a:lumMod val="65000"/>
                <a:lumOff val="35000"/>
              </a:schemeClr>
            </a:solidFill>
            <a:ln w="0">
              <a:noFill/>
            </a:ln>
            <a:effectLst/>
          </c:spPr>
          <c:invertIfNegative val="0"/>
          <c:dLbls>
            <c:numFmt formatCode="0.0%" sourceLinked="0"/>
            <c:spPr>
              <a:noFill/>
              <a:ln>
                <a:noFill/>
              </a:ln>
              <a:effectLst/>
            </c:spPr>
            <c:txPr>
              <a:bodyPr rot="-5400000" spcFirstLastPara="1" vertOverflow="ellipsis" wrap="square" anchor="ctr" anchorCtr="1"/>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HHI!$E$11:$E$14</c:f>
              <c:strCache>
                <c:ptCount val="4"/>
                <c:pt idx="0">
                  <c:v>TOP 4</c:v>
                </c:pt>
                <c:pt idx="1">
                  <c:v>TOP 10</c:v>
                </c:pt>
                <c:pt idx="2">
                  <c:v>TOP 20</c:v>
                </c:pt>
                <c:pt idx="3">
                  <c:v>ALL</c:v>
                </c:pt>
              </c:strCache>
            </c:strRef>
          </c:cat>
          <c:val>
            <c:numRef>
              <c:f>HHI!$F$11:$F$14</c:f>
              <c:numCache>
                <c:formatCode>0.00%</c:formatCode>
                <c:ptCount val="4"/>
                <c:pt idx="0">
                  <c:v>0.86239376176692129</c:v>
                </c:pt>
                <c:pt idx="1">
                  <c:v>0.95363537397219722</c:v>
                </c:pt>
                <c:pt idx="2">
                  <c:v>0.98506752161315125</c:v>
                </c:pt>
                <c:pt idx="3">
                  <c:v>1</c:v>
                </c:pt>
              </c:numCache>
            </c:numRef>
          </c:val>
          <c:extLst>
            <c:ext xmlns:c16="http://schemas.microsoft.com/office/drawing/2014/chart" uri="{C3380CC4-5D6E-409C-BE32-E72D297353CC}">
              <c16:uniqueId val="{00000000-BB7B-45C9-A6E7-CBAF1DB00F8E}"/>
            </c:ext>
          </c:extLst>
        </c:ser>
        <c:dLbls>
          <c:showLegendKey val="0"/>
          <c:showVal val="1"/>
          <c:showCatName val="0"/>
          <c:showSerName val="0"/>
          <c:showPercent val="0"/>
          <c:showBubbleSize val="0"/>
        </c:dLbls>
        <c:gapWidth val="18"/>
        <c:overlap val="6"/>
        <c:axId val="1091451168"/>
        <c:axId val="1091453248"/>
      </c:barChart>
      <c:lineChart>
        <c:grouping val="stacked"/>
        <c:varyColors val="0"/>
        <c:ser>
          <c:idx val="1"/>
          <c:order val="0"/>
          <c:tx>
            <c:strRef>
              <c:f>HHI!$G$10</c:f>
              <c:strCache>
                <c:ptCount val="1"/>
                <c:pt idx="0">
                  <c:v>HHI</c:v>
                </c:pt>
              </c:strCache>
            </c:strRef>
          </c:tx>
          <c:spPr>
            <a:ln w="28575" cap="rnd">
              <a:solidFill>
                <a:schemeClr val="bg1">
                  <a:lumMod val="85000"/>
                </a:schemeClr>
              </a:solidFill>
              <a:round/>
            </a:ln>
            <a:effectLst/>
          </c:spPr>
          <c:marker>
            <c:symbol val="triangle"/>
            <c:size val="12"/>
            <c:spPr>
              <a:solidFill>
                <a:schemeClr val="bg1"/>
              </a:solidFill>
              <a:ln w="9525">
                <a:solidFill>
                  <a:schemeClr val="bg1"/>
                </a:solidFill>
              </a:ln>
              <a:effectLst/>
            </c:spPr>
          </c:marker>
          <c:dLbls>
            <c:delete val="1"/>
          </c:dLbls>
          <c:cat>
            <c:strRef>
              <c:f>HHI!$E$11:$E$14</c:f>
              <c:strCache>
                <c:ptCount val="4"/>
                <c:pt idx="0">
                  <c:v>TOP 4</c:v>
                </c:pt>
                <c:pt idx="1">
                  <c:v>TOP 10</c:v>
                </c:pt>
                <c:pt idx="2">
                  <c:v>TOP 20</c:v>
                </c:pt>
                <c:pt idx="3">
                  <c:v>ALL</c:v>
                </c:pt>
              </c:strCache>
            </c:strRef>
          </c:cat>
          <c:val>
            <c:numRef>
              <c:f>HHI!$G$11:$G$14</c:f>
              <c:numCache>
                <c:formatCode>0</c:formatCode>
                <c:ptCount val="4"/>
                <c:pt idx="0">
                  <c:v>2107.5191030339479</c:v>
                </c:pt>
                <c:pt idx="1">
                  <c:v>1957.4724169107906</c:v>
                </c:pt>
                <c:pt idx="2">
                  <c:v>1939.1994674095699</c:v>
                </c:pt>
                <c:pt idx="3">
                  <c:v>1937.1334204151053</c:v>
                </c:pt>
              </c:numCache>
            </c:numRef>
          </c:val>
          <c:smooth val="0"/>
          <c:extLst>
            <c:ext xmlns:c16="http://schemas.microsoft.com/office/drawing/2014/chart" uri="{C3380CC4-5D6E-409C-BE32-E72D297353CC}">
              <c16:uniqueId val="{00000001-BB7B-45C9-A6E7-CBAF1DB00F8E}"/>
            </c:ext>
          </c:extLst>
        </c:ser>
        <c:dLbls>
          <c:showLegendKey val="0"/>
          <c:showVal val="1"/>
          <c:showCatName val="0"/>
          <c:showSerName val="0"/>
          <c:showPercent val="0"/>
          <c:showBubbleSize val="0"/>
        </c:dLbls>
        <c:marker val="1"/>
        <c:smooth val="0"/>
        <c:axId val="1093007840"/>
        <c:axId val="1092884704"/>
      </c:lineChart>
      <c:catAx>
        <c:axId val="109300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2884704"/>
        <c:crosses val="autoZero"/>
        <c:auto val="1"/>
        <c:lblAlgn val="ctr"/>
        <c:lblOffset val="100"/>
        <c:noMultiLvlLbl val="0"/>
      </c:catAx>
      <c:valAx>
        <c:axId val="1092884704"/>
        <c:scaling>
          <c:orientation val="minMax"/>
          <c:max val="2500"/>
          <c:min val="15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3007840"/>
        <c:crosses val="autoZero"/>
        <c:crossBetween val="between"/>
        <c:majorUnit val="500"/>
      </c:valAx>
      <c:valAx>
        <c:axId val="1091453248"/>
        <c:scaling>
          <c:orientation val="minMax"/>
          <c:max val="1"/>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91451168"/>
        <c:crosses val="max"/>
        <c:crossBetween val="between"/>
        <c:majorUnit val="0.25"/>
      </c:valAx>
      <c:catAx>
        <c:axId val="1091451168"/>
        <c:scaling>
          <c:orientation val="minMax"/>
        </c:scaling>
        <c:delete val="1"/>
        <c:axPos val="b"/>
        <c:numFmt formatCode="General" sourceLinked="1"/>
        <c:majorTickMark val="out"/>
        <c:minorTickMark val="none"/>
        <c:tickLblPos val="nextTo"/>
        <c:crossAx val="1091453248"/>
        <c:crosses val="autoZero"/>
        <c:auto val="1"/>
        <c:lblAlgn val="ctr"/>
        <c:lblOffset val="100"/>
        <c:noMultiLvlLbl val="0"/>
      </c:catAx>
      <c:spPr>
        <a:noFill/>
        <a:ln>
          <a:noFill/>
        </a:ln>
        <a:effectLst/>
      </c:spPr>
    </c:plotArea>
    <c:legend>
      <c:legendPos val="b"/>
      <c:layout>
        <c:manualLayout>
          <c:xMode val="edge"/>
          <c:yMode val="edge"/>
          <c:x val="6.8356840010383321E-2"/>
          <c:y val="0.88309317920523223"/>
          <c:w val="0.80724081087497201"/>
          <c:h val="0.1050029690920457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444415090862577E-2"/>
          <c:y val="2.2959501050762849E-2"/>
          <c:w val="0.90731381005125356"/>
          <c:h val="0.83238709620162421"/>
        </c:manualLayout>
      </c:layout>
      <c:barChart>
        <c:barDir val="col"/>
        <c:grouping val="clustered"/>
        <c:varyColors val="0"/>
        <c:ser>
          <c:idx val="0"/>
          <c:order val="0"/>
          <c:tx>
            <c:strRef>
              <c:f>HHI!$B$10</c:f>
              <c:strCache>
                <c:ptCount val="1"/>
                <c:pt idx="0">
                  <c:v>HHI</c:v>
                </c:pt>
              </c:strCache>
            </c:strRef>
          </c:tx>
          <c:spPr>
            <a:solidFill>
              <a:schemeClr val="tx1">
                <a:lumMod val="85000"/>
                <a:lumOff val="15000"/>
              </a:schemeClr>
            </a:solidFill>
            <a:ln>
              <a:noFill/>
            </a:ln>
            <a:effectLst/>
          </c:spPr>
          <c:invertIfNegative val="0"/>
          <c:dPt>
            <c:idx val="14"/>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1-03DA-442B-BAB4-A87DB7FEE533}"/>
              </c:ext>
            </c:extLst>
          </c:dPt>
          <c:dPt>
            <c:idx val="15"/>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3-03DA-442B-BAB4-A87DB7FEE533}"/>
              </c:ext>
            </c:extLst>
          </c:dPt>
          <c:dPt>
            <c:idx val="16"/>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5-03DA-442B-BAB4-A87DB7FEE533}"/>
              </c:ext>
            </c:extLst>
          </c:dPt>
          <c:dPt>
            <c:idx val="17"/>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7-03DA-442B-BAB4-A87DB7FEE533}"/>
              </c:ext>
            </c:extLst>
          </c:dPt>
          <c:dPt>
            <c:idx val="18"/>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9-03DA-442B-BAB4-A87DB7FEE533}"/>
              </c:ext>
            </c:extLst>
          </c:dPt>
          <c:dPt>
            <c:idx val="19"/>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B-03DA-442B-BAB4-A87DB7FEE533}"/>
              </c:ext>
            </c:extLst>
          </c:dPt>
          <c:dLbls>
            <c:numFmt formatCode="#,##0" sourceLinked="0"/>
            <c:spPr>
              <a:noFill/>
              <a:ln>
                <a:noFill/>
              </a:ln>
              <a:effectLst/>
            </c:spPr>
            <c:txPr>
              <a:bodyPr rot="-5400000" spcFirstLastPara="1" vertOverflow="ellipsis" wrap="square" anchor="ctr" anchorCtr="1"/>
              <a:lstStyle/>
              <a:p>
                <a:pPr>
                  <a:defRPr sz="900" b="1"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HHI!$A$11:$A$30</c:f>
              <c:strCache>
                <c:ptCount val="20"/>
                <c:pt idx="0">
                  <c:v>JKT-BLW</c:v>
                </c:pt>
                <c:pt idx="1">
                  <c:v>JKT-SBY</c:v>
                </c:pt>
                <c:pt idx="2">
                  <c:v>JKT-PNK</c:v>
                </c:pt>
                <c:pt idx="3">
                  <c:v>BLW-BTM</c:v>
                </c:pt>
                <c:pt idx="4">
                  <c:v>JKT-BTM</c:v>
                </c:pt>
                <c:pt idx="5">
                  <c:v>SBY-BNJRMSN</c:v>
                </c:pt>
                <c:pt idx="6">
                  <c:v>SBY-MKS</c:v>
                </c:pt>
                <c:pt idx="7">
                  <c:v>SBY-SMRD</c:v>
                </c:pt>
                <c:pt idx="8">
                  <c:v>MKS-JKT</c:v>
                </c:pt>
                <c:pt idx="9">
                  <c:v>MKS-BIT</c:v>
                </c:pt>
                <c:pt idx="10">
                  <c:v>MKS-AMBN</c:v>
                </c:pt>
                <c:pt idx="11">
                  <c:v>SBY-AMBN</c:v>
                </c:pt>
                <c:pt idx="12">
                  <c:v>SBY-JYPR</c:v>
                </c:pt>
                <c:pt idx="13">
                  <c:v>SBY-SORONG</c:v>
                </c:pt>
                <c:pt idx="14">
                  <c:v>SBY-DOBO</c:v>
                </c:pt>
                <c:pt idx="15">
                  <c:v>SBY-KALABAHI</c:v>
                </c:pt>
                <c:pt idx="16">
                  <c:v>MKS-BAUBAU</c:v>
                </c:pt>
                <c:pt idx="17">
                  <c:v>MKS-TRNATE</c:v>
                </c:pt>
                <c:pt idx="18">
                  <c:v>MKS-NABIRE</c:v>
                </c:pt>
                <c:pt idx="19">
                  <c:v>AMBN-SORONG</c:v>
                </c:pt>
              </c:strCache>
            </c:strRef>
          </c:cat>
          <c:val>
            <c:numRef>
              <c:f>HHI!$B$11:$B$30</c:f>
              <c:numCache>
                <c:formatCode>0</c:formatCode>
                <c:ptCount val="20"/>
                <c:pt idx="0">
                  <c:v>2626.2640563892569</c:v>
                </c:pt>
                <c:pt idx="1">
                  <c:v>3692.1896551228783</c:v>
                </c:pt>
                <c:pt idx="2">
                  <c:v>2691.2679147996969</c:v>
                </c:pt>
                <c:pt idx="3">
                  <c:v>4659.1108902940068</c:v>
                </c:pt>
                <c:pt idx="4">
                  <c:v>3197.590516679727</c:v>
                </c:pt>
                <c:pt idx="5">
                  <c:v>2302.1805213388839</c:v>
                </c:pt>
                <c:pt idx="6">
                  <c:v>1833.308875587227</c:v>
                </c:pt>
                <c:pt idx="7">
                  <c:v>3147.5637630057295</c:v>
                </c:pt>
                <c:pt idx="8">
                  <c:v>3187.7376386585852</c:v>
                </c:pt>
                <c:pt idx="9">
                  <c:v>7471.084707362792</c:v>
                </c:pt>
                <c:pt idx="10">
                  <c:v>2549.7234488619702</c:v>
                </c:pt>
                <c:pt idx="11">
                  <c:v>2883.7696686352865</c:v>
                </c:pt>
                <c:pt idx="12">
                  <c:v>3395.4462607039354</c:v>
                </c:pt>
                <c:pt idx="13">
                  <c:v>2988.0903424730786</c:v>
                </c:pt>
                <c:pt idx="14">
                  <c:v>6315.366214356909</c:v>
                </c:pt>
                <c:pt idx="15">
                  <c:v>8897.610163192554</c:v>
                </c:pt>
                <c:pt idx="16">
                  <c:v>5067.6041103299085</c:v>
                </c:pt>
                <c:pt idx="17">
                  <c:v>10000</c:v>
                </c:pt>
                <c:pt idx="18">
                  <c:v>9944.9292863149785</c:v>
                </c:pt>
                <c:pt idx="19">
                  <c:v>5015.4841902010239</c:v>
                </c:pt>
              </c:numCache>
            </c:numRef>
          </c:val>
          <c:extLst>
            <c:ext xmlns:c16="http://schemas.microsoft.com/office/drawing/2014/chart" uri="{C3380CC4-5D6E-409C-BE32-E72D297353CC}">
              <c16:uniqueId val="{0000000C-03DA-442B-BAB4-A87DB7FEE533}"/>
            </c:ext>
          </c:extLst>
        </c:ser>
        <c:dLbls>
          <c:showLegendKey val="0"/>
          <c:showVal val="0"/>
          <c:showCatName val="0"/>
          <c:showSerName val="0"/>
          <c:showPercent val="0"/>
          <c:showBubbleSize val="0"/>
        </c:dLbls>
        <c:gapWidth val="30"/>
        <c:axId val="1092960000"/>
        <c:axId val="1092960416"/>
      </c:barChart>
      <c:scatterChart>
        <c:scatterStyle val="lineMarker"/>
        <c:varyColors val="0"/>
        <c:ser>
          <c:idx val="1"/>
          <c:order val="1"/>
          <c:tx>
            <c:strRef>
              <c:f>HHI!$C$10</c:f>
              <c:strCache>
                <c:ptCount val="1"/>
                <c:pt idx="0">
                  <c:v>Number of Company</c:v>
                </c:pt>
              </c:strCache>
            </c:strRef>
          </c:tx>
          <c:spPr>
            <a:ln w="25400" cap="rnd">
              <a:noFill/>
              <a:round/>
            </a:ln>
            <a:effectLst/>
          </c:spPr>
          <c:marker>
            <c:symbol val="square"/>
            <c:size val="9"/>
            <c:spPr>
              <a:solidFill>
                <a:schemeClr val="tx1">
                  <a:lumMod val="50000"/>
                  <a:lumOff val="50000"/>
                </a:schemeClr>
              </a:solidFill>
              <a:ln w="9525">
                <a:noFill/>
              </a:ln>
              <a:effectLst/>
            </c:spPr>
          </c:marker>
          <c:xVal>
            <c:strRef>
              <c:f>HHI!$A$11:$A$30</c:f>
              <c:strCache>
                <c:ptCount val="20"/>
                <c:pt idx="0">
                  <c:v>JKT-BLW</c:v>
                </c:pt>
                <c:pt idx="1">
                  <c:v>JKT-SBY</c:v>
                </c:pt>
                <c:pt idx="2">
                  <c:v>JKT-PNK</c:v>
                </c:pt>
                <c:pt idx="3">
                  <c:v>BLW-BTM</c:v>
                </c:pt>
                <c:pt idx="4">
                  <c:v>JKT-BTM</c:v>
                </c:pt>
                <c:pt idx="5">
                  <c:v>SBY-BNJRMSN</c:v>
                </c:pt>
                <c:pt idx="6">
                  <c:v>SBY-MKS</c:v>
                </c:pt>
                <c:pt idx="7">
                  <c:v>SBY-SMRD</c:v>
                </c:pt>
                <c:pt idx="8">
                  <c:v>MKS-JKT</c:v>
                </c:pt>
                <c:pt idx="9">
                  <c:v>MKS-BIT</c:v>
                </c:pt>
                <c:pt idx="10">
                  <c:v>MKS-AMBN</c:v>
                </c:pt>
                <c:pt idx="11">
                  <c:v>SBY-AMBN</c:v>
                </c:pt>
                <c:pt idx="12">
                  <c:v>SBY-JYPR</c:v>
                </c:pt>
                <c:pt idx="13">
                  <c:v>SBY-SORONG</c:v>
                </c:pt>
                <c:pt idx="14">
                  <c:v>SBY-DOBO</c:v>
                </c:pt>
                <c:pt idx="15">
                  <c:v>SBY-KALABAHI</c:v>
                </c:pt>
                <c:pt idx="16">
                  <c:v>MKS-BAUBAU</c:v>
                </c:pt>
                <c:pt idx="17">
                  <c:v>MKS-TRNATE</c:v>
                </c:pt>
                <c:pt idx="18">
                  <c:v>MKS-NABIRE</c:v>
                </c:pt>
                <c:pt idx="19">
                  <c:v>AMBN-SORONG</c:v>
                </c:pt>
              </c:strCache>
            </c:strRef>
          </c:xVal>
          <c:yVal>
            <c:numRef>
              <c:f>HHI!$C$11:$C$30</c:f>
              <c:numCache>
                <c:formatCode>_(* #,##0_);_(* \(#,##0\);_(* "-"_);_(@_)</c:formatCode>
                <c:ptCount val="20"/>
                <c:pt idx="0">
                  <c:v>6</c:v>
                </c:pt>
                <c:pt idx="1">
                  <c:v>10</c:v>
                </c:pt>
                <c:pt idx="2">
                  <c:v>6</c:v>
                </c:pt>
                <c:pt idx="3">
                  <c:v>5</c:v>
                </c:pt>
                <c:pt idx="4">
                  <c:v>7</c:v>
                </c:pt>
                <c:pt idx="5">
                  <c:v>5</c:v>
                </c:pt>
                <c:pt idx="6">
                  <c:v>9</c:v>
                </c:pt>
                <c:pt idx="7">
                  <c:v>4</c:v>
                </c:pt>
                <c:pt idx="8">
                  <c:v>5</c:v>
                </c:pt>
                <c:pt idx="9">
                  <c:v>4</c:v>
                </c:pt>
                <c:pt idx="10">
                  <c:v>4</c:v>
                </c:pt>
                <c:pt idx="11">
                  <c:v>4</c:v>
                </c:pt>
                <c:pt idx="12">
                  <c:v>3</c:v>
                </c:pt>
                <c:pt idx="13">
                  <c:v>5</c:v>
                </c:pt>
                <c:pt idx="14">
                  <c:v>4</c:v>
                </c:pt>
                <c:pt idx="15">
                  <c:v>3</c:v>
                </c:pt>
                <c:pt idx="16">
                  <c:v>2</c:v>
                </c:pt>
                <c:pt idx="17">
                  <c:v>1</c:v>
                </c:pt>
                <c:pt idx="18">
                  <c:v>2</c:v>
                </c:pt>
                <c:pt idx="19">
                  <c:v>2</c:v>
                </c:pt>
              </c:numCache>
            </c:numRef>
          </c:yVal>
          <c:smooth val="0"/>
          <c:extLst>
            <c:ext xmlns:c16="http://schemas.microsoft.com/office/drawing/2014/chart" uri="{C3380CC4-5D6E-409C-BE32-E72D297353CC}">
              <c16:uniqueId val="{0000000D-03DA-442B-BAB4-A87DB7FEE533}"/>
            </c:ext>
          </c:extLst>
        </c:ser>
        <c:dLbls>
          <c:showLegendKey val="0"/>
          <c:showVal val="0"/>
          <c:showCatName val="0"/>
          <c:showSerName val="0"/>
          <c:showPercent val="0"/>
          <c:showBubbleSize val="0"/>
        </c:dLbls>
        <c:axId val="1092900096"/>
        <c:axId val="1092900512"/>
      </c:scatterChart>
      <c:catAx>
        <c:axId val="109296000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1092960416"/>
        <c:crosses val="autoZero"/>
        <c:auto val="1"/>
        <c:lblAlgn val="ctr"/>
        <c:lblOffset val="100"/>
        <c:noMultiLvlLbl val="0"/>
      </c:catAx>
      <c:valAx>
        <c:axId val="1092960416"/>
        <c:scaling>
          <c:orientation val="minMax"/>
          <c:max val="10000"/>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1092960000"/>
        <c:crosses val="autoZero"/>
        <c:crossBetween val="between"/>
      </c:valAx>
      <c:valAx>
        <c:axId val="1092900512"/>
        <c:scaling>
          <c:orientation val="minMax"/>
          <c:max val="10"/>
        </c:scaling>
        <c:delete val="0"/>
        <c:axPos val="r"/>
        <c:numFmt formatCode="_(* #,##0_);_(* \(#,##0\);_(* &quot;-&quot;_);_(@_)"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1092900096"/>
        <c:crosses val="max"/>
        <c:crossBetween val="midCat"/>
      </c:valAx>
      <c:valAx>
        <c:axId val="1092900096"/>
        <c:scaling>
          <c:orientation val="minMax"/>
        </c:scaling>
        <c:delete val="1"/>
        <c:axPos val="b"/>
        <c:numFmt formatCode="General" sourceLinked="1"/>
        <c:majorTickMark val="out"/>
        <c:minorTickMark val="none"/>
        <c:tickLblPos val="nextTo"/>
        <c:crossAx val="1092900512"/>
        <c:crosses val="autoZero"/>
        <c:crossBetween val="midCat"/>
      </c:valAx>
      <c:spPr>
        <a:noFill/>
        <a:ln>
          <a:noFill/>
        </a:ln>
        <a:effectLst/>
      </c:spPr>
    </c:plotArea>
    <c:legend>
      <c:legendPos val="b"/>
      <c:layout>
        <c:manualLayout>
          <c:xMode val="edge"/>
          <c:yMode val="edge"/>
          <c:x val="0.36863366450617147"/>
          <c:y val="8.8276569788090595E-3"/>
          <c:w val="0.33365378853436206"/>
          <c:h val="7.69667557271793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a:solidFill>
            <a:schemeClr val="tx1"/>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78330019880713"/>
          <c:y val="4.9509354149234734E-2"/>
          <c:w val="0.6480117718883549"/>
          <c:h val="0.76587766129703827"/>
        </c:manualLayout>
      </c:layout>
      <c:barChart>
        <c:barDir val="col"/>
        <c:grouping val="clustered"/>
        <c:varyColors val="0"/>
        <c:ser>
          <c:idx val="0"/>
          <c:order val="0"/>
          <c:tx>
            <c:strRef>
              <c:f>Supply!$BD$33</c:f>
              <c:strCache>
                <c:ptCount val="1"/>
                <c:pt idx="0">
                  <c:v>Call</c:v>
                </c:pt>
              </c:strCache>
            </c:strRef>
          </c:tx>
          <c:spPr>
            <a:solidFill>
              <a:schemeClr val="tx1">
                <a:lumMod val="50000"/>
                <a:lumOff val="50000"/>
              </a:schemeClr>
            </a:solidFill>
            <a:ln>
              <a:solidFill>
                <a:schemeClr val="tx1">
                  <a:lumMod val="95000"/>
                  <a:lumOff val="5000"/>
                </a:schemeClr>
              </a:solidFill>
            </a:ln>
            <a:effectLst/>
          </c:spPr>
          <c:invertIfNegative val="0"/>
          <c:cat>
            <c:strRef>
              <c:f>Supply!$BC$34:$BC$39</c:f>
              <c:strCache>
                <c:ptCount val="6"/>
                <c:pt idx="0">
                  <c:v>2017-1</c:v>
                </c:pt>
                <c:pt idx="1">
                  <c:v>2017-2</c:v>
                </c:pt>
                <c:pt idx="2">
                  <c:v>2018-1</c:v>
                </c:pt>
                <c:pt idx="3">
                  <c:v>2018-2</c:v>
                </c:pt>
                <c:pt idx="4">
                  <c:v>2019-1</c:v>
                </c:pt>
                <c:pt idx="5">
                  <c:v>2019-2</c:v>
                </c:pt>
              </c:strCache>
            </c:strRef>
          </c:cat>
          <c:val>
            <c:numRef>
              <c:f>Supply!$BD$34:$BD$39</c:f>
              <c:numCache>
                <c:formatCode>_(* #,##0_);_(* \(#,##0\);_(* "-"_);_(@_)</c:formatCode>
                <c:ptCount val="6"/>
                <c:pt idx="0">
                  <c:v>297</c:v>
                </c:pt>
                <c:pt idx="1">
                  <c:v>297</c:v>
                </c:pt>
                <c:pt idx="2">
                  <c:v>291</c:v>
                </c:pt>
                <c:pt idx="3">
                  <c:v>296</c:v>
                </c:pt>
                <c:pt idx="4">
                  <c:v>270</c:v>
                </c:pt>
                <c:pt idx="5">
                  <c:v>234</c:v>
                </c:pt>
              </c:numCache>
            </c:numRef>
          </c:val>
          <c:extLst>
            <c:ext xmlns:c16="http://schemas.microsoft.com/office/drawing/2014/chart" uri="{C3380CC4-5D6E-409C-BE32-E72D297353CC}">
              <c16:uniqueId val="{00000000-093B-4287-86A1-81E867792080}"/>
            </c:ext>
          </c:extLst>
        </c:ser>
        <c:dLbls>
          <c:showLegendKey val="0"/>
          <c:showVal val="0"/>
          <c:showCatName val="0"/>
          <c:showSerName val="0"/>
          <c:showPercent val="0"/>
          <c:showBubbleSize val="0"/>
        </c:dLbls>
        <c:gapWidth val="50"/>
        <c:axId val="1606116207"/>
        <c:axId val="1340360895"/>
      </c:barChart>
      <c:lineChart>
        <c:grouping val="standard"/>
        <c:varyColors val="0"/>
        <c:ser>
          <c:idx val="1"/>
          <c:order val="1"/>
          <c:tx>
            <c:strRef>
              <c:f>Supply!$BF$33</c:f>
              <c:strCache>
                <c:ptCount val="1"/>
                <c:pt idx="0">
                  <c:v>Number of Ship</c:v>
                </c:pt>
              </c:strCache>
            </c:strRef>
          </c:tx>
          <c:spPr>
            <a:ln w="28575" cap="rnd">
              <a:solidFill>
                <a:schemeClr val="tx1">
                  <a:lumMod val="95000"/>
                  <a:lumOff val="5000"/>
                </a:schemeClr>
              </a:solidFill>
              <a:round/>
            </a:ln>
            <a:effectLst/>
          </c:spPr>
          <c:marker>
            <c:symbol val="none"/>
          </c:marker>
          <c:cat>
            <c:strRef>
              <c:f>Supply!$BC$34:$BC$39</c:f>
              <c:strCache>
                <c:ptCount val="6"/>
                <c:pt idx="0">
                  <c:v>2017-1</c:v>
                </c:pt>
                <c:pt idx="1">
                  <c:v>2017-2</c:v>
                </c:pt>
                <c:pt idx="2">
                  <c:v>2018-1</c:v>
                </c:pt>
                <c:pt idx="3">
                  <c:v>2018-2</c:v>
                </c:pt>
                <c:pt idx="4">
                  <c:v>2019-1</c:v>
                </c:pt>
                <c:pt idx="5">
                  <c:v>2019-2</c:v>
                </c:pt>
              </c:strCache>
            </c:strRef>
          </c:cat>
          <c:val>
            <c:numRef>
              <c:f>Supply!$BF$34:$BF$39</c:f>
              <c:numCache>
                <c:formatCode>General</c:formatCode>
                <c:ptCount val="6"/>
                <c:pt idx="0">
                  <c:v>25</c:v>
                </c:pt>
                <c:pt idx="1">
                  <c:v>30</c:v>
                </c:pt>
                <c:pt idx="2">
                  <c:v>32</c:v>
                </c:pt>
                <c:pt idx="3">
                  <c:v>35</c:v>
                </c:pt>
                <c:pt idx="4">
                  <c:v>34</c:v>
                </c:pt>
                <c:pt idx="5">
                  <c:v>28</c:v>
                </c:pt>
              </c:numCache>
            </c:numRef>
          </c:val>
          <c:smooth val="0"/>
          <c:extLst>
            <c:ext xmlns:c16="http://schemas.microsoft.com/office/drawing/2014/chart" uri="{C3380CC4-5D6E-409C-BE32-E72D297353CC}">
              <c16:uniqueId val="{00000001-093B-4287-86A1-81E867792080}"/>
            </c:ext>
          </c:extLst>
        </c:ser>
        <c:dLbls>
          <c:showLegendKey val="0"/>
          <c:showVal val="0"/>
          <c:showCatName val="0"/>
          <c:showSerName val="0"/>
          <c:showPercent val="0"/>
          <c:showBubbleSize val="0"/>
        </c:dLbls>
        <c:marker val="1"/>
        <c:smooth val="0"/>
        <c:axId val="1612848031"/>
        <c:axId val="1340370047"/>
      </c:lineChart>
      <c:catAx>
        <c:axId val="160611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1340360895"/>
        <c:crosses val="autoZero"/>
        <c:auto val="1"/>
        <c:lblAlgn val="ctr"/>
        <c:lblOffset val="100"/>
        <c:noMultiLvlLbl val="0"/>
      </c:catAx>
      <c:valAx>
        <c:axId val="1340360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id-ID"/>
                  <a:t>Call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1606116207"/>
        <c:crosses val="autoZero"/>
        <c:crossBetween val="between"/>
      </c:valAx>
      <c:valAx>
        <c:axId val="134037004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en-US"/>
                  <a:t>Number of Ship</a:t>
                </a:r>
                <a:endParaRPr lang="id-ID"/>
              </a:p>
            </c:rich>
          </c:tx>
          <c:layout>
            <c:manualLayout>
              <c:xMode val="edge"/>
              <c:yMode val="edge"/>
              <c:x val="0.86475164759474643"/>
              <c:y val="0.277425754851509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id-ID"/>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1612848031"/>
        <c:crosses val="max"/>
        <c:crossBetween val="between"/>
      </c:valAx>
      <c:catAx>
        <c:axId val="1612848031"/>
        <c:scaling>
          <c:orientation val="minMax"/>
        </c:scaling>
        <c:delete val="1"/>
        <c:axPos val="b"/>
        <c:numFmt formatCode="General" sourceLinked="1"/>
        <c:majorTickMark val="out"/>
        <c:minorTickMark val="none"/>
        <c:tickLblPos val="nextTo"/>
        <c:crossAx val="1340370047"/>
        <c:crosses val="autoZero"/>
        <c:auto val="1"/>
        <c:lblAlgn val="ctr"/>
        <c:lblOffset val="100"/>
        <c:noMultiLvlLbl val="0"/>
      </c:catAx>
      <c:spPr>
        <a:noFill/>
        <a:ln>
          <a:noFill/>
        </a:ln>
        <a:effectLst/>
      </c:spPr>
    </c:plotArea>
    <c:legend>
      <c:legendPos val="b"/>
      <c:layout>
        <c:manualLayout>
          <c:xMode val="edge"/>
          <c:yMode val="edge"/>
          <c:x val="0.25486564232091491"/>
          <c:y val="4.0922298665799099E-2"/>
          <c:w val="0.51162870974531671"/>
          <c:h val="7.24101770251788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Narrow" panose="020B0606020202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10205580386453"/>
          <c:y val="5.0822121483423875E-2"/>
          <c:w val="0.63484085798725431"/>
          <c:h val="0.76602395854364347"/>
        </c:manualLayout>
      </c:layout>
      <c:barChart>
        <c:barDir val="col"/>
        <c:grouping val="clustered"/>
        <c:varyColors val="0"/>
        <c:ser>
          <c:idx val="0"/>
          <c:order val="0"/>
          <c:tx>
            <c:strRef>
              <c:f>Supply!$BD$33</c:f>
              <c:strCache>
                <c:ptCount val="1"/>
                <c:pt idx="0">
                  <c:v>Call</c:v>
                </c:pt>
              </c:strCache>
            </c:strRef>
          </c:tx>
          <c:spPr>
            <a:solidFill>
              <a:schemeClr val="tx1">
                <a:lumMod val="50000"/>
                <a:lumOff val="50000"/>
              </a:schemeClr>
            </a:solidFill>
            <a:ln>
              <a:solidFill>
                <a:schemeClr val="tx1">
                  <a:lumMod val="95000"/>
                  <a:lumOff val="5000"/>
                </a:schemeClr>
              </a:solidFill>
            </a:ln>
            <a:effectLst/>
          </c:spPr>
          <c:invertIfNegative val="0"/>
          <c:cat>
            <c:strRef>
              <c:f>Supply!$BC$34:$BC$39</c:f>
              <c:strCache>
                <c:ptCount val="6"/>
                <c:pt idx="0">
                  <c:v>2017-1</c:v>
                </c:pt>
                <c:pt idx="1">
                  <c:v>2017-2</c:v>
                </c:pt>
                <c:pt idx="2">
                  <c:v>2018-1</c:v>
                </c:pt>
                <c:pt idx="3">
                  <c:v>2018-2</c:v>
                </c:pt>
                <c:pt idx="4">
                  <c:v>2019-1</c:v>
                </c:pt>
                <c:pt idx="5">
                  <c:v>2019-2</c:v>
                </c:pt>
              </c:strCache>
            </c:strRef>
          </c:cat>
          <c:val>
            <c:numRef>
              <c:f>Supply!$BD$34:$BD$39</c:f>
              <c:numCache>
                <c:formatCode>_(* #,##0_);_(* \(#,##0\);_(* "-"_);_(@_)</c:formatCode>
                <c:ptCount val="6"/>
                <c:pt idx="0">
                  <c:v>297</c:v>
                </c:pt>
                <c:pt idx="1">
                  <c:v>297</c:v>
                </c:pt>
                <c:pt idx="2">
                  <c:v>291</c:v>
                </c:pt>
                <c:pt idx="3">
                  <c:v>296</c:v>
                </c:pt>
                <c:pt idx="4">
                  <c:v>270</c:v>
                </c:pt>
                <c:pt idx="5">
                  <c:v>234</c:v>
                </c:pt>
              </c:numCache>
            </c:numRef>
          </c:val>
          <c:extLst>
            <c:ext xmlns:c16="http://schemas.microsoft.com/office/drawing/2014/chart" uri="{C3380CC4-5D6E-409C-BE32-E72D297353CC}">
              <c16:uniqueId val="{00000000-1439-4959-94FC-74C7EE2C0B4E}"/>
            </c:ext>
          </c:extLst>
        </c:ser>
        <c:dLbls>
          <c:showLegendKey val="0"/>
          <c:showVal val="0"/>
          <c:showCatName val="0"/>
          <c:showSerName val="0"/>
          <c:showPercent val="0"/>
          <c:showBubbleSize val="0"/>
        </c:dLbls>
        <c:gapWidth val="50"/>
        <c:axId val="1606178207"/>
        <c:axId val="1340366303"/>
      </c:barChart>
      <c:lineChart>
        <c:grouping val="standard"/>
        <c:varyColors val="0"/>
        <c:ser>
          <c:idx val="1"/>
          <c:order val="1"/>
          <c:tx>
            <c:strRef>
              <c:f>Supply!$BE$33</c:f>
              <c:strCache>
                <c:ptCount val="1"/>
                <c:pt idx="0">
                  <c:v>TEUs</c:v>
                </c:pt>
              </c:strCache>
            </c:strRef>
          </c:tx>
          <c:spPr>
            <a:ln w="28575" cap="rnd">
              <a:solidFill>
                <a:schemeClr val="tx1"/>
              </a:solidFill>
              <a:round/>
            </a:ln>
            <a:effectLst/>
          </c:spPr>
          <c:marker>
            <c:symbol val="star"/>
            <c:size val="5"/>
            <c:spPr>
              <a:noFill/>
              <a:ln w="9525">
                <a:noFill/>
              </a:ln>
              <a:effectLst/>
            </c:spPr>
          </c:marker>
          <c:cat>
            <c:strRef>
              <c:f>Supply!$BC$34:$BC$39</c:f>
              <c:strCache>
                <c:ptCount val="6"/>
                <c:pt idx="0">
                  <c:v>2017-1</c:v>
                </c:pt>
                <c:pt idx="1">
                  <c:v>2017-2</c:v>
                </c:pt>
                <c:pt idx="2">
                  <c:v>2018-1</c:v>
                </c:pt>
                <c:pt idx="3">
                  <c:v>2018-2</c:v>
                </c:pt>
                <c:pt idx="4">
                  <c:v>2019-1</c:v>
                </c:pt>
                <c:pt idx="5">
                  <c:v>2019-2</c:v>
                </c:pt>
              </c:strCache>
            </c:strRef>
          </c:cat>
          <c:val>
            <c:numRef>
              <c:f>Supply!$BE$34:$BE$39</c:f>
              <c:numCache>
                <c:formatCode>_(* #,##0_);_(* \(#,##0\);_(* "-"_);_(@_)</c:formatCode>
                <c:ptCount val="6"/>
                <c:pt idx="0">
                  <c:v>465059.40780000004</c:v>
                </c:pt>
                <c:pt idx="1">
                  <c:v>456157.9179</c:v>
                </c:pt>
                <c:pt idx="2">
                  <c:v>486140.14020000002</c:v>
                </c:pt>
                <c:pt idx="3">
                  <c:v>488564.27100000001</c:v>
                </c:pt>
                <c:pt idx="4">
                  <c:v>453164.25630000001</c:v>
                </c:pt>
                <c:pt idx="5">
                  <c:v>388628.22270000004</c:v>
                </c:pt>
              </c:numCache>
            </c:numRef>
          </c:val>
          <c:smooth val="0"/>
          <c:extLst>
            <c:ext xmlns:c16="http://schemas.microsoft.com/office/drawing/2014/chart" uri="{C3380CC4-5D6E-409C-BE32-E72D297353CC}">
              <c16:uniqueId val="{00000001-1439-4959-94FC-74C7EE2C0B4E}"/>
            </c:ext>
          </c:extLst>
        </c:ser>
        <c:dLbls>
          <c:showLegendKey val="0"/>
          <c:showVal val="0"/>
          <c:showCatName val="0"/>
          <c:showSerName val="0"/>
          <c:showPercent val="0"/>
          <c:showBubbleSize val="0"/>
        </c:dLbls>
        <c:marker val="1"/>
        <c:smooth val="0"/>
        <c:axId val="1602813887"/>
        <c:axId val="1340361311"/>
      </c:lineChart>
      <c:catAx>
        <c:axId val="160281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1340361311"/>
        <c:crosses val="autoZero"/>
        <c:auto val="1"/>
        <c:lblAlgn val="ctr"/>
        <c:lblOffset val="100"/>
        <c:noMultiLvlLbl val="0"/>
      </c:catAx>
      <c:valAx>
        <c:axId val="13403613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TEUs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02813887"/>
        <c:crosses val="autoZero"/>
        <c:crossBetween val="between"/>
      </c:valAx>
      <c:valAx>
        <c:axId val="134036630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Call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06178207"/>
        <c:crosses val="max"/>
        <c:crossBetween val="between"/>
      </c:valAx>
      <c:catAx>
        <c:axId val="1606178207"/>
        <c:scaling>
          <c:orientation val="minMax"/>
        </c:scaling>
        <c:delete val="1"/>
        <c:axPos val="b"/>
        <c:numFmt formatCode="General" sourceLinked="1"/>
        <c:majorTickMark val="out"/>
        <c:minorTickMark val="none"/>
        <c:tickLblPos val="nextTo"/>
        <c:crossAx val="1340366303"/>
        <c:crosses val="autoZero"/>
        <c:auto val="1"/>
        <c:lblAlgn val="ctr"/>
        <c:lblOffset val="100"/>
        <c:noMultiLvlLbl val="0"/>
      </c:catAx>
      <c:spPr>
        <a:noFill/>
        <a:ln>
          <a:noFill/>
        </a:ln>
        <a:effectLst/>
      </c:spPr>
    </c:plotArea>
    <c:legend>
      <c:legendPos val="r"/>
      <c:layout>
        <c:manualLayout>
          <c:xMode val="edge"/>
          <c:yMode val="edge"/>
          <c:x val="0.23907481405307782"/>
          <c:y val="4.7797896029653633E-2"/>
          <c:w val="0.62200154643385863"/>
          <c:h val="7.73893218248088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n-lt"/>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1382392971176"/>
          <c:y val="5.0925925925925923E-2"/>
          <c:w val="0.8180200072723437"/>
          <c:h val="0.77986111111111112"/>
        </c:manualLayout>
      </c:layout>
      <c:scatterChart>
        <c:scatterStyle val="lineMarker"/>
        <c:varyColors val="0"/>
        <c:ser>
          <c:idx val="0"/>
          <c:order val="0"/>
          <c:tx>
            <c:strRef>
              <c:f>Supply!$BL$3</c:f>
              <c:strCache>
                <c:ptCount val="1"/>
                <c:pt idx="0">
                  <c:v>Q TEUs.Nm (Log)</c:v>
                </c:pt>
              </c:strCache>
            </c:strRef>
          </c:tx>
          <c:spPr>
            <a:ln w="25400" cap="rnd">
              <a:noFill/>
              <a:round/>
            </a:ln>
            <a:effectLst/>
          </c:spPr>
          <c:marker>
            <c:symbol val="square"/>
            <c:size val="8"/>
            <c:spPr>
              <a:solidFill>
                <a:schemeClr val="tx1">
                  <a:lumMod val="75000"/>
                  <a:lumOff val="25000"/>
                </a:schemeClr>
              </a:solidFill>
              <a:ln w="9525">
                <a:noFill/>
              </a:ln>
              <a:effectLst/>
            </c:spPr>
          </c:marker>
          <c:trendline>
            <c:spPr>
              <a:ln w="28575" cap="rnd">
                <a:solidFill>
                  <a:schemeClr val="accent5">
                    <a:lumMod val="50000"/>
                    <a:alpha val="99000"/>
                  </a:schemeClr>
                </a:solidFill>
                <a:prstDash val="sysDash"/>
              </a:ln>
              <a:effectLst/>
            </c:spPr>
            <c:trendlineType val="poly"/>
            <c:order val="2"/>
            <c:dispRSqr val="1"/>
            <c:dispEq val="1"/>
            <c:trendlineLbl>
              <c:layout>
                <c:manualLayout>
                  <c:x val="-0.12128736919048456"/>
                  <c:y val="2.987368270809049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Supply!$BL$4:$BL$9</c:f>
              <c:numCache>
                <c:formatCode>_(* #,##0.00_);_(* \(#,##0.00\);_(* "-"_);_(@_)</c:formatCode>
                <c:ptCount val="6"/>
                <c:pt idx="0">
                  <c:v>8.5495291747821049</c:v>
                </c:pt>
                <c:pt idx="1">
                  <c:v>8.2705504392916591</c:v>
                </c:pt>
                <c:pt idx="2">
                  <c:v>8.0013325685874808</c:v>
                </c:pt>
                <c:pt idx="3">
                  <c:v>7.7700340239332011</c:v>
                </c:pt>
                <c:pt idx="4">
                  <c:v>8.3853959907803084</c:v>
                </c:pt>
                <c:pt idx="5">
                  <c:v>7.6546702220724718</c:v>
                </c:pt>
              </c:numCache>
            </c:numRef>
          </c:xVal>
          <c:yVal>
            <c:numRef>
              <c:f>Supply!$BH$4:$BH$9</c:f>
              <c:numCache>
                <c:formatCode>_(* #,##0.00_);_(* \(#,##0.00\);_(* "-"_);_(@_)</c:formatCode>
                <c:ptCount val="6"/>
                <c:pt idx="0">
                  <c:v>6.5185139398778871</c:v>
                </c:pt>
                <c:pt idx="1">
                  <c:v>6.3979400086720375</c:v>
                </c:pt>
                <c:pt idx="2">
                  <c:v>6.3617278360175931</c:v>
                </c:pt>
                <c:pt idx="3">
                  <c:v>6.3010299956639813</c:v>
                </c:pt>
                <c:pt idx="4">
                  <c:v>6.3979400086720375</c:v>
                </c:pt>
                <c:pt idx="5">
                  <c:v>6.3010299956639813</c:v>
                </c:pt>
              </c:numCache>
            </c:numRef>
          </c:yVal>
          <c:smooth val="0"/>
          <c:extLst>
            <c:ext xmlns:c16="http://schemas.microsoft.com/office/drawing/2014/chart" uri="{C3380CC4-5D6E-409C-BE32-E72D297353CC}">
              <c16:uniqueId val="{00000001-03BE-43E2-B994-B2C8CBE18F85}"/>
            </c:ext>
          </c:extLst>
        </c:ser>
        <c:dLbls>
          <c:showLegendKey val="0"/>
          <c:showVal val="0"/>
          <c:showCatName val="0"/>
          <c:showSerName val="0"/>
          <c:showPercent val="0"/>
          <c:showBubbleSize val="0"/>
        </c:dLbls>
        <c:axId val="1933540560"/>
        <c:axId val="1939470496"/>
      </c:scatterChart>
      <c:valAx>
        <c:axId val="1933540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Q (TEUs.Nm)</a:t>
                </a:r>
                <a:r>
                  <a:rPr lang="en-US"/>
                  <a:t> in Log</a:t>
                </a:r>
              </a:p>
            </c:rich>
          </c:tx>
          <c:layout>
            <c:manualLayout>
              <c:xMode val="edge"/>
              <c:yMode val="edge"/>
              <c:x val="0.82437882764654424"/>
              <c:y val="0.915138888888888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39470496"/>
        <c:crosses val="autoZero"/>
        <c:crossBetween val="midCat"/>
      </c:valAx>
      <c:valAx>
        <c:axId val="19394704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id-ID"/>
                  <a:t>P (Rp)</a:t>
                </a:r>
                <a:r>
                  <a:rPr lang="en-US"/>
                  <a:t> in Log</a:t>
                </a:r>
              </a:p>
            </c:rich>
          </c:tx>
          <c:layout>
            <c:manualLayout>
              <c:xMode val="edge"/>
              <c:yMode val="edge"/>
              <c:x val="2.6714249507411312E-3"/>
              <c:y val="2.709079482552190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335405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n-l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4464769952311"/>
          <c:y val="5.5578406755292763E-2"/>
          <c:w val="0.79521078587685401"/>
          <c:h val="0.81468677394233935"/>
        </c:manualLayout>
      </c:layout>
      <c:scatterChart>
        <c:scatterStyle val="lineMarker"/>
        <c:varyColors val="0"/>
        <c:ser>
          <c:idx val="0"/>
          <c:order val="0"/>
          <c:tx>
            <c:strRef>
              <c:f>Demand!$AJ$17</c:f>
              <c:strCache>
                <c:ptCount val="1"/>
                <c:pt idx="0">
                  <c:v>Supply</c:v>
                </c:pt>
              </c:strCache>
              <c:extLst xmlns:c15="http://schemas.microsoft.com/office/drawing/2012/chart"/>
            </c:strRef>
          </c:tx>
          <c:spPr>
            <a:ln w="25400" cap="rnd">
              <a:noFill/>
              <a:round/>
            </a:ln>
            <a:effectLst/>
          </c:spPr>
          <c:marker>
            <c:symbol val="circle"/>
            <c:size val="5"/>
            <c:spPr>
              <a:noFill/>
              <a:ln w="9525">
                <a:noFill/>
              </a:ln>
              <a:effectLst/>
            </c:spPr>
          </c:marker>
          <c:trendline>
            <c:name>Kurva Supply</c:name>
            <c:spPr>
              <a:ln w="19050" cap="rnd" cmpd="sng">
                <a:solidFill>
                  <a:schemeClr val="bg2">
                    <a:lumMod val="10000"/>
                  </a:schemeClr>
                </a:solidFill>
                <a:prstDash val="dashDot"/>
                <a:headEnd type="diamond"/>
              </a:ln>
              <a:effectLst/>
            </c:spPr>
            <c:trendlineType val="poly"/>
            <c:order val="2"/>
            <c:dispRSqr val="0"/>
            <c:dispEq val="1"/>
            <c:trendlineLbl>
              <c:layout>
                <c:manualLayout>
                  <c:x val="9.7569776691529955E-2"/>
                  <c:y val="0.2219567647355047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Supply!$BL$4:$BL$9</c:f>
              <c:numCache>
                <c:formatCode>_(* #,##0.00_);_(* \(#,##0.00\);_(* "-"_);_(@_)</c:formatCode>
                <c:ptCount val="6"/>
                <c:pt idx="0">
                  <c:v>8.5495291747821049</c:v>
                </c:pt>
                <c:pt idx="1">
                  <c:v>8.2705504392916591</c:v>
                </c:pt>
                <c:pt idx="2">
                  <c:v>8.0013325685874808</c:v>
                </c:pt>
                <c:pt idx="3">
                  <c:v>7.7700340239332011</c:v>
                </c:pt>
                <c:pt idx="4">
                  <c:v>8.3853959907803084</c:v>
                </c:pt>
                <c:pt idx="5">
                  <c:v>7.6546702220724718</c:v>
                </c:pt>
              </c:numCache>
            </c:numRef>
          </c:xVal>
          <c:yVal>
            <c:numRef>
              <c:f>Supply!$BH$4:$BH$9</c:f>
              <c:numCache>
                <c:formatCode>_(* #,##0.00_);_(* \(#,##0.00\);_(* "-"_);_(@_)</c:formatCode>
                <c:ptCount val="6"/>
                <c:pt idx="0">
                  <c:v>6.5185139398778871</c:v>
                </c:pt>
                <c:pt idx="1">
                  <c:v>6.3979400086720375</c:v>
                </c:pt>
                <c:pt idx="2">
                  <c:v>6.3617278360175931</c:v>
                </c:pt>
                <c:pt idx="3">
                  <c:v>6.3010299956639813</c:v>
                </c:pt>
                <c:pt idx="4">
                  <c:v>6.3979400086720375</c:v>
                </c:pt>
                <c:pt idx="5">
                  <c:v>6.3010299956639813</c:v>
                </c:pt>
              </c:numCache>
            </c:numRef>
          </c:yVal>
          <c:smooth val="0"/>
          <c:extLst xmlns:c15="http://schemas.microsoft.com/office/drawing/2012/chart">
            <c:ext xmlns:c16="http://schemas.microsoft.com/office/drawing/2014/chart" uri="{C3380CC4-5D6E-409C-BE32-E72D297353CC}">
              <c16:uniqueId val="{00000001-69AB-43A7-9EC1-11C5042DF7CD}"/>
            </c:ext>
          </c:extLst>
        </c:ser>
        <c:ser>
          <c:idx val="1"/>
          <c:order val="1"/>
          <c:tx>
            <c:strRef>
              <c:f>Demand!$AV$2</c:f>
              <c:strCache>
                <c:ptCount val="1"/>
                <c:pt idx="0">
                  <c:v>CURVE D JKT-SBY</c:v>
                </c:pt>
              </c:strCache>
              <c:extLst xmlns:c15="http://schemas.microsoft.com/office/drawing/2012/chart"/>
            </c:strRef>
          </c:tx>
          <c:spPr>
            <a:ln w="25400" cap="rnd">
              <a:noFill/>
              <a:round/>
            </a:ln>
            <a:effectLst/>
          </c:spPr>
          <c:marker>
            <c:symbol val="circle"/>
            <c:size val="5"/>
            <c:spPr>
              <a:noFill/>
              <a:ln w="9525">
                <a:noFill/>
              </a:ln>
              <a:effectLst/>
            </c:spPr>
          </c:marker>
          <c:trendline>
            <c:name>Kurva D JKT-SBY</c:name>
            <c:spPr>
              <a:ln w="19050" cap="rnd">
                <a:solidFill>
                  <a:schemeClr val="tx1"/>
                </a:solidFill>
                <a:prstDash val="solid"/>
              </a:ln>
              <a:effectLst/>
            </c:spPr>
            <c:trendlineType val="poly"/>
            <c:order val="2"/>
            <c:dispRSqr val="0"/>
            <c:dispEq val="0"/>
          </c:trendline>
          <c:xVal>
            <c:numRef>
              <c:f>Demand!$AZ$6:$AZ$12</c:f>
              <c:numCache>
                <c:formatCode>General</c:formatCode>
                <c:ptCount val="7"/>
                <c:pt idx="0">
                  <c:v>7.7879604739912818</c:v>
                </c:pt>
                <c:pt idx="1">
                  <c:v>7.7452047538953392</c:v>
                </c:pt>
                <c:pt idx="2">
                  <c:v>7.7268498300388879</c:v>
                </c:pt>
                <c:pt idx="3">
                  <c:v>7.6977755012460811</c:v>
                </c:pt>
                <c:pt idx="4">
                  <c:v>7.6445241857923483</c:v>
                </c:pt>
                <c:pt idx="5">
                  <c:v>7.6091279401536038</c:v>
                </c:pt>
                <c:pt idx="6">
                  <c:v>7.5838188007721348</c:v>
                </c:pt>
              </c:numCache>
            </c:numRef>
          </c:xVal>
          <c:yVal>
            <c:numRef>
              <c:f>Demand!$BA$6:$BA$12</c:f>
              <c:numCache>
                <c:formatCode>General</c:formatCode>
                <c:ptCount val="7"/>
                <c:pt idx="0">
                  <c:v>6.3617278360175931</c:v>
                </c:pt>
                <c:pt idx="1">
                  <c:v>6.4031205211758175</c:v>
                </c:pt>
                <c:pt idx="2">
                  <c:v>6.4409090820652173</c:v>
                </c:pt>
                <c:pt idx="3">
                  <c:v>6.5078558716958312</c:v>
                </c:pt>
                <c:pt idx="4">
                  <c:v>6.5658478186735181</c:v>
                </c:pt>
                <c:pt idx="5">
                  <c:v>6.6170003411208986</c:v>
                </c:pt>
                <c:pt idx="6">
                  <c:v>6.6627578316815743</c:v>
                </c:pt>
              </c:numCache>
            </c:numRef>
          </c:yVal>
          <c:smooth val="0"/>
          <c:extLst xmlns:c15="http://schemas.microsoft.com/office/drawing/2012/chart">
            <c:ext xmlns:c16="http://schemas.microsoft.com/office/drawing/2014/chart" uri="{C3380CC4-5D6E-409C-BE32-E72D297353CC}">
              <c16:uniqueId val="{00000003-69AB-43A7-9EC1-11C5042DF7CD}"/>
            </c:ext>
          </c:extLst>
        </c:ser>
        <c:ser>
          <c:idx val="5"/>
          <c:order val="5"/>
          <c:tx>
            <c:strRef>
              <c:f>Demand!$AO$14</c:f>
              <c:strCache>
                <c:ptCount val="1"/>
                <c:pt idx="0">
                  <c:v>CURVE D SBY-MKS</c:v>
                </c:pt>
              </c:strCache>
              <c:extLst xmlns:c15="http://schemas.microsoft.com/office/drawing/2012/chart"/>
            </c:strRef>
          </c:tx>
          <c:spPr>
            <a:ln w="25400" cap="rnd">
              <a:noFill/>
              <a:round/>
            </a:ln>
            <a:effectLst/>
          </c:spPr>
          <c:marker>
            <c:symbol val="circle"/>
            <c:size val="5"/>
            <c:spPr>
              <a:noFill/>
              <a:ln w="9525">
                <a:noFill/>
              </a:ln>
              <a:effectLst/>
            </c:spPr>
          </c:marker>
          <c:trendline>
            <c:name>Kurva D SBY-MKS</c:name>
            <c:spPr>
              <a:ln w="28575" cap="rnd">
                <a:solidFill>
                  <a:schemeClr val="tx1"/>
                </a:solidFill>
                <a:prstDash val="dash"/>
              </a:ln>
              <a:effectLst/>
            </c:spPr>
            <c:trendlineType val="poly"/>
            <c:order val="2"/>
            <c:dispRSqr val="0"/>
            <c:dispEq val="1"/>
            <c:trendlineLbl>
              <c:layout>
                <c:manualLayout>
                  <c:x val="0.18196193265007321"/>
                  <c:y val="-0.482982120420101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Demand!$AS$16:$AS$22</c:f>
              <c:numCache>
                <c:formatCode>General</c:formatCode>
                <c:ptCount val="7"/>
                <c:pt idx="0">
                  <c:v>8.037717551411065</c:v>
                </c:pt>
                <c:pt idx="1">
                  <c:v>7.9747754536621027</c:v>
                </c:pt>
                <c:pt idx="2">
                  <c:v>7.9468008128786929</c:v>
                </c:pt>
                <c:pt idx="3">
                  <c:v>7.9011394529215853</c:v>
                </c:pt>
                <c:pt idx="4">
                  <c:v>7.8124167691270845</c:v>
                </c:pt>
                <c:pt idx="5">
                  <c:v>7.748933816899565</c:v>
                </c:pt>
                <c:pt idx="6">
                  <c:v>7.700789653962743</c:v>
                </c:pt>
              </c:numCache>
            </c:numRef>
          </c:xVal>
          <c:yVal>
            <c:numRef>
              <c:f>Demand!$AT$16:$AT$22</c:f>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5-69AB-43A7-9EC1-11C5042DF7CD}"/>
            </c:ext>
          </c:extLst>
        </c:ser>
        <c:dLbls>
          <c:showLegendKey val="0"/>
          <c:showVal val="0"/>
          <c:showCatName val="0"/>
          <c:showSerName val="0"/>
          <c:showPercent val="0"/>
          <c:showBubbleSize val="0"/>
        </c:dLbls>
        <c:axId val="2091740080"/>
        <c:axId val="4789632"/>
        <c:extLst>
          <c:ext xmlns:c15="http://schemas.microsoft.com/office/drawing/2012/chart" uri="{02D57815-91ED-43cb-92C2-25804820EDAC}">
            <c15:filteredScatterSeries>
              <c15:ser>
                <c:idx val="2"/>
                <c:order val="2"/>
                <c:tx>
                  <c:strRef>
                    <c:extLst>
                      <c:ext uri="{02D57815-91ED-43cb-92C2-25804820EDAC}">
                        <c15:formulaRef>
                          <c15:sqref>Demand!$BC$2</c15:sqref>
                        </c15:formulaRef>
                      </c:ext>
                    </c:extLst>
                    <c:strCache>
                      <c:ptCount val="1"/>
                      <c:pt idx="0">
                        <c:v>CURVE D JKT-PNK</c:v>
                      </c:pt>
                    </c:strCache>
                  </c:strRef>
                </c:tx>
                <c:spPr>
                  <a:ln w="25400" cap="rnd">
                    <a:noFill/>
                    <a:round/>
                  </a:ln>
                  <a:effectLst/>
                </c:spPr>
                <c:marker>
                  <c:symbol val="circle"/>
                  <c:size val="5"/>
                  <c:spPr>
                    <a:solidFill>
                      <a:schemeClr val="bg1"/>
                    </a:solidFill>
                    <a:ln w="9525">
                      <a:noFill/>
                    </a:ln>
                    <a:effectLst/>
                  </c:spPr>
                </c:marker>
                <c:trendline>
                  <c:spPr>
                    <a:ln w="19050" cap="rnd">
                      <a:solidFill>
                        <a:schemeClr val="accent2">
                          <a:lumMod val="75000"/>
                        </a:schemeClr>
                      </a:solidFill>
                      <a:prstDash val="solid"/>
                    </a:ln>
                    <a:effectLst/>
                  </c:spPr>
                  <c:trendlineType val="poly"/>
                  <c:order val="2"/>
                  <c:dispRSqr val="0"/>
                  <c:dispEq val="0"/>
                </c:trendline>
                <c:xVal>
                  <c:numRef>
                    <c:extLst>
                      <c:ext uri="{02D57815-91ED-43cb-92C2-25804820EDAC}">
                        <c15:formulaRef>
                          <c15:sqref>Demand!$BG$6:$BG$12</c15:sqref>
                        </c15:formulaRef>
                      </c:ext>
                    </c:extLst>
                    <c:numCache>
                      <c:formatCode>General</c:formatCode>
                      <c:ptCount val="7"/>
                      <c:pt idx="0">
                        <c:v>7.7750862233454221</c:v>
                      </c:pt>
                      <c:pt idx="1">
                        <c:v>7.7345235604377054</c:v>
                      </c:pt>
                      <c:pt idx="2">
                        <c:v>7.7171746908329579</c:v>
                      </c:pt>
                      <c:pt idx="3">
                        <c:v>7.6897783919491038</c:v>
                      </c:pt>
                      <c:pt idx="4">
                        <c:v>7.6398879627890786</c:v>
                      </c:pt>
                      <c:pt idx="5">
                        <c:v>7.6069483732469116</c:v>
                      </c:pt>
                      <c:pt idx="6">
                        <c:v>7.5835133364224836</c:v>
                      </c:pt>
                    </c:numCache>
                  </c:numRef>
                </c:xVal>
                <c:yVal>
                  <c:numRef>
                    <c:extLst>
                      <c:ext uri="{02D57815-91ED-43cb-92C2-25804820EDAC}">
                        <c15:formulaRef>
                          <c15:sqref>Demand!$BH$6:$BH$12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c:ext xmlns:c16="http://schemas.microsoft.com/office/drawing/2014/chart" uri="{C3380CC4-5D6E-409C-BE32-E72D297353CC}">
                    <c16:uniqueId val="{00000007-69AB-43A7-9EC1-11C5042DF7CD}"/>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Demand!$AV$14</c15:sqref>
                        </c15:formulaRef>
                      </c:ext>
                    </c:extLst>
                    <c:strCache>
                      <c:ptCount val="1"/>
                      <c:pt idx="0">
                        <c:v>CURVE D SBY-BNJRMSIN</c:v>
                      </c:pt>
                    </c:strCache>
                  </c:strRef>
                </c:tx>
                <c:spPr>
                  <a:ln w="25400" cap="rnd">
                    <a:noFill/>
                    <a:round/>
                  </a:ln>
                  <a:effectLst/>
                </c:spPr>
                <c:marker>
                  <c:symbol val="circle"/>
                  <c:size val="5"/>
                  <c:spPr>
                    <a:solidFill>
                      <a:schemeClr val="bg1"/>
                    </a:solidFill>
                    <a:ln w="9525">
                      <a:noFill/>
                    </a:ln>
                    <a:effectLst/>
                  </c:spPr>
                </c:marker>
                <c:trendline>
                  <c:spPr>
                    <a:ln w="19050" cap="rnd">
                      <a:solidFill>
                        <a:srgbClr val="00B050"/>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Demand!$AZ$16:$AZ$22</c15:sqref>
                        </c15:formulaRef>
                      </c:ext>
                    </c:extLst>
                    <c:numCache>
                      <c:formatCode>General</c:formatCode>
                      <c:ptCount val="7"/>
                      <c:pt idx="0">
                        <c:v>7.5370831534098404</c:v>
                      </c:pt>
                      <c:pt idx="1">
                        <c:v>7.4780049484875981</c:v>
                      </c:pt>
                      <c:pt idx="2">
                        <c:v>7.4519231938856967</c:v>
                      </c:pt>
                      <c:pt idx="3">
                        <c:v>7.4096055756009056</c:v>
                      </c:pt>
                      <c:pt idx="4">
                        <c:v>7.3283825160565179</c:v>
                      </c:pt>
                      <c:pt idx="5">
                        <c:v>7.2711874437853599</c:v>
                      </c:pt>
                      <c:pt idx="6">
                        <c:v>7.2283916701597031</c:v>
                      </c:pt>
                    </c:numCache>
                  </c:numRef>
                </c:xVal>
                <c:yVal>
                  <c:numRef>
                    <c:extLst xmlns:c15="http://schemas.microsoft.com/office/drawing/2012/chart">
                      <c:ext xmlns:c15="http://schemas.microsoft.com/office/drawing/2012/chart" uri="{02D57815-91ED-43cb-92C2-25804820EDAC}">
                        <c15:formulaRef>
                          <c15:sqref>Demand!$BA$16:$BA$22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9-69AB-43A7-9EC1-11C5042DF7CD}"/>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Demand!$BC$14</c15:sqref>
                        </c15:formulaRef>
                      </c:ext>
                    </c:extLst>
                    <c:strCache>
                      <c:ptCount val="1"/>
                      <c:pt idx="0">
                        <c:v>CURVE D SBY-SMRND</c:v>
                      </c:pt>
                    </c:strCache>
                  </c:strRef>
                </c:tx>
                <c:spPr>
                  <a:ln w="25400" cap="rnd">
                    <a:noFill/>
                    <a:round/>
                  </a:ln>
                  <a:effectLst/>
                </c:spPr>
                <c:marker>
                  <c:symbol val="circle"/>
                  <c:size val="5"/>
                  <c:spPr>
                    <a:noFill/>
                    <a:ln w="19050">
                      <a:noFill/>
                    </a:ln>
                    <a:effectLst/>
                  </c:spPr>
                </c:marker>
                <c:trendline>
                  <c:spPr>
                    <a:ln w="19050" cap="rnd">
                      <a:solidFill>
                        <a:srgbClr val="C00000"/>
                      </a:solidFill>
                      <a:prstDash val="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Demand!$BG$16:$BG$22</c15:sqref>
                        </c15:formulaRef>
                      </c:ext>
                    </c:extLst>
                    <c:numCache>
                      <c:formatCode>General</c:formatCode>
                      <c:ptCount val="7"/>
                      <c:pt idx="0">
                        <c:v>7.4877851875748043</c:v>
                      </c:pt>
                      <c:pt idx="1">
                        <c:v>7.4342577499303237</c:v>
                      </c:pt>
                      <c:pt idx="2">
                        <c:v>7.4108518463490904</c:v>
                      </c:pt>
                      <c:pt idx="3">
                        <c:v>7.3731931323584012</c:v>
                      </c:pt>
                      <c:pt idx="4">
                        <c:v>7.3021153365185096</c:v>
                      </c:pt>
                      <c:pt idx="5">
                        <c:v>7.2531174527895148</c:v>
                      </c:pt>
                      <c:pt idx="6">
                        <c:v>7.2170838616286659</c:v>
                      </c:pt>
                    </c:numCache>
                  </c:numRef>
                </c:xVal>
                <c:yVal>
                  <c:numRef>
                    <c:extLst xmlns:c15="http://schemas.microsoft.com/office/drawing/2012/chart">
                      <c:ext xmlns:c15="http://schemas.microsoft.com/office/drawing/2012/chart" uri="{02D57815-91ED-43cb-92C2-25804820EDAC}">
                        <c15:formulaRef>
                          <c15:sqref>Demand!$BH$16:$BH$22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B-69AB-43A7-9EC1-11C5042DF7CD}"/>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Demand!$AO$24</c15:sqref>
                        </c15:formulaRef>
                      </c:ext>
                    </c:extLst>
                    <c:strCache>
                      <c:ptCount val="1"/>
                      <c:pt idx="0">
                        <c:v>CURVE D JKT-BLW</c:v>
                      </c:pt>
                    </c:strCache>
                  </c:strRef>
                </c:tx>
                <c:spPr>
                  <a:ln w="25400" cap="rnd">
                    <a:noFill/>
                    <a:round/>
                  </a:ln>
                  <a:effectLst/>
                </c:spPr>
                <c:marker>
                  <c:symbol val="circle"/>
                  <c:size val="5"/>
                  <c:spPr>
                    <a:noFill/>
                    <a:ln w="9525">
                      <a:noFill/>
                    </a:ln>
                    <a:effectLst/>
                  </c:spPr>
                </c:marker>
                <c:trendline>
                  <c:spPr>
                    <a:ln w="19050" cap="rnd">
                      <a:solidFill>
                        <a:schemeClr val="accent1">
                          <a:lumMod val="60000"/>
                        </a:schemeClr>
                      </a:solidFill>
                      <a:prstDash val="sys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Demand!$AS$26:$AS$32</c15:sqref>
                        </c15:formulaRef>
                      </c:ext>
                    </c:extLst>
                    <c:numCache>
                      <c:formatCode>General</c:formatCode>
                      <c:ptCount val="6"/>
                      <c:pt idx="0">
                        <c:v>8.2834020601761669</c:v>
                      </c:pt>
                      <c:pt idx="1">
                        <c:v>8.2455935721035623</c:v>
                      </c:pt>
                      <c:pt idx="2">
                        <c:v>8.2294977282792043</c:v>
                      </c:pt>
                      <c:pt idx="3">
                        <c:v>8.2041769731185017</c:v>
                      </c:pt>
                      <c:pt idx="4">
                        <c:v>8.12840614974915</c:v>
                      </c:pt>
                      <c:pt idx="5">
                        <c:v>8.1072011902961787</c:v>
                      </c:pt>
                    </c:numCache>
                  </c:numRef>
                </c:xVal>
                <c:yVal>
                  <c:numRef>
                    <c:extLst xmlns:c15="http://schemas.microsoft.com/office/drawing/2012/chart">
                      <c:ext xmlns:c15="http://schemas.microsoft.com/office/drawing/2012/chart" uri="{02D57815-91ED-43cb-92C2-25804820EDAC}">
                        <c15:formulaRef>
                          <c15:sqref>Demand!$AT$26:$AT$32</c15:sqref>
                        </c15:formulaRef>
                      </c:ext>
                    </c:extLst>
                    <c:numCache>
                      <c:formatCode>General</c:formatCode>
                      <c:ptCount val="6"/>
                      <c:pt idx="0">
                        <c:v>6.5185139398778871</c:v>
                      </c:pt>
                      <c:pt idx="1">
                        <c:v>6.5599066250361124</c:v>
                      </c:pt>
                      <c:pt idx="2">
                        <c:v>6.5976951859255122</c:v>
                      </c:pt>
                      <c:pt idx="3">
                        <c:v>6.6646419755561253</c:v>
                      </c:pt>
                      <c:pt idx="4">
                        <c:v>6.7737864449811935</c:v>
                      </c:pt>
                      <c:pt idx="5">
                        <c:v>6.8195439355418683</c:v>
                      </c:pt>
                    </c:numCache>
                  </c:numRef>
                </c:yVal>
                <c:smooth val="0"/>
                <c:extLst xmlns:c15="http://schemas.microsoft.com/office/drawing/2012/chart">
                  <c:ext xmlns:c16="http://schemas.microsoft.com/office/drawing/2014/chart" uri="{C3380CC4-5D6E-409C-BE32-E72D297353CC}">
                    <c16:uniqueId val="{0000000D-69AB-43A7-9EC1-11C5042DF7CD}"/>
                  </c:ext>
                </c:extLst>
              </c15:ser>
            </c15:filteredScatterSeries>
            <c15:filteredScatterSeries>
              <c15:ser>
                <c:idx val="7"/>
                <c:order val="7"/>
                <c:tx>
                  <c:v>Supply''</c:v>
                </c:tx>
                <c:spPr>
                  <a:ln w="25400" cap="rnd">
                    <a:noFill/>
                    <a:round/>
                  </a:ln>
                  <a:effectLst/>
                </c:spPr>
                <c:marker>
                  <c:symbol val="circle"/>
                  <c:size val="5"/>
                  <c:spPr>
                    <a:noFill/>
                    <a:ln w="9525">
                      <a:noFill/>
                    </a:ln>
                    <a:effectLst/>
                  </c:spPr>
                </c:marker>
                <c:trendline>
                  <c:name>Kurva Supply"</c:name>
                  <c:spPr>
                    <a:ln w="19050" cap="rnd">
                      <a:solidFill>
                        <a:schemeClr val="tx1">
                          <a:lumMod val="95000"/>
                          <a:lumOff val="5000"/>
                        </a:schemeClr>
                      </a:solidFill>
                      <a:prstDash val="lgDashDotDot"/>
                      <a:headEnd type="none"/>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Demand!$AL$19:$AL$31</c15:sqref>
                        </c15:formulaRef>
                      </c:ext>
                    </c:extLst>
                    <c:numCache>
                      <c:formatCode>_(* #,##0_);_(* \(#,##0\);_(* "-"??_);_(@_)</c:formatCode>
                      <c:ptCount val="12"/>
                      <c:pt idx="0">
                        <c:v>-95000000</c:v>
                      </c:pt>
                      <c:pt idx="1">
                        <c:v>-90000000</c:v>
                      </c:pt>
                      <c:pt idx="2">
                        <c:v>-80000000</c:v>
                      </c:pt>
                      <c:pt idx="3">
                        <c:v>-70000000</c:v>
                      </c:pt>
                      <c:pt idx="4">
                        <c:v>-58000000</c:v>
                      </c:pt>
                      <c:pt idx="5">
                        <c:v>-41200000.000000007</c:v>
                      </c:pt>
                      <c:pt idx="6">
                        <c:v>-17680000.000000015</c:v>
                      </c:pt>
                      <c:pt idx="7">
                        <c:v>15247999.99999997</c:v>
                      </c:pt>
                      <c:pt idx="8">
                        <c:v>61347199.99999994</c:v>
                      </c:pt>
                      <c:pt idx="9">
                        <c:v>125886079.99999991</c:v>
                      </c:pt>
                      <c:pt idx="10">
                        <c:v>216240511.99999988</c:v>
                      </c:pt>
                      <c:pt idx="11">
                        <c:v>519831403.51999974</c:v>
                      </c:pt>
                    </c:numCache>
                  </c:numRef>
                </c:xVal>
                <c:yVal>
                  <c:numRef>
                    <c:extLst xmlns:c15="http://schemas.microsoft.com/office/drawing/2012/chart">
                      <c:ext xmlns:c15="http://schemas.microsoft.com/office/drawing/2012/chart" uri="{02D57815-91ED-43cb-92C2-25804820EDAC}">
                        <c15:formulaRef>
                          <c15:sqref>Demand!$AM$19:$AM$31</c15:sqref>
                        </c15:formulaRef>
                      </c:ext>
                    </c:extLst>
                    <c:numCache>
                      <c:formatCode>General</c:formatCode>
                      <c:ptCount val="12"/>
                      <c:pt idx="0">
                        <c:v>1981420.018999655</c:v>
                      </c:pt>
                      <c:pt idx="1">
                        <c:v>1987382.29443932</c:v>
                      </c:pt>
                      <c:pt idx="2" formatCode="_(* #,##0_);_(* \(#,##0\);_(* &quot;-&quot;_);_(@_)">
                        <c:v>2000374.5453186501</c:v>
                      </c:pt>
                      <c:pt idx="3" formatCode="_(* #,##0_);_(* \(#,##0\);_(* &quot;-&quot;_);_(@_)">
                        <c:v>2014790.39619798</c:v>
                      </c:pt>
                      <c:pt idx="4" formatCode="_(* #,##0_);_(* \(#,##0\);_(* &quot;-&quot;_);_(@_)">
                        <c:v>2033968.569253176</c:v>
                      </c:pt>
                      <c:pt idx="5" formatCode="_(* #,##0_);_(* \(#,##0\);_(* &quot;-&quot;_);_(@_)">
                        <c:v>2064261.9846504503</c:v>
                      </c:pt>
                      <c:pt idx="6" formatCode="_(* #,##0_);_(* \(#,##0\);_(* &quot;-&quot;_);_(@_)">
                        <c:v>2113422.9535218347</c:v>
                      </c:pt>
                      <c:pt idx="7" formatCode="_(* #,##0_);_(* \(#,##0\);_(* &quot;-&quot;_);_(@_)">
                        <c:v>2195478.6770795644</c:v>
                      </c:pt>
                      <c:pt idx="8">
                        <c:v>2336288.2096504583</c:v>
                      </c:pt>
                      <c:pt idx="9">
                        <c:v>2584247.3336462518</c:v>
                      </c:pt>
                      <c:pt idx="10">
                        <c:v>3031008.6328975838</c:v>
                      </c:pt>
                      <c:pt idx="11">
                        <c:v>5383426.6712384149</c:v>
                      </c:pt>
                    </c:numCache>
                  </c:numRef>
                </c:yVal>
                <c:smooth val="0"/>
                <c:extLst xmlns:c15="http://schemas.microsoft.com/office/drawing/2012/chart">
                  <c:ext xmlns:c16="http://schemas.microsoft.com/office/drawing/2014/chart" uri="{C3380CC4-5D6E-409C-BE32-E72D297353CC}">
                    <c16:uniqueId val="{0000000F-69AB-43A7-9EC1-11C5042DF7CD}"/>
                  </c:ext>
                </c:extLst>
              </c15:ser>
            </c15:filteredScatterSeries>
          </c:ext>
        </c:extLst>
      </c:scatterChart>
      <c:valAx>
        <c:axId val="209174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Q (Thousand TEUs.NM)</a:t>
                </a:r>
                <a:r>
                  <a:rPr lang="en-ID" baseline="0"/>
                  <a:t> in Log</a:t>
                </a:r>
                <a:endParaRPr lang="en-ID"/>
              </a:p>
            </c:rich>
          </c:tx>
          <c:layout>
            <c:manualLayout>
              <c:xMode val="edge"/>
              <c:yMode val="edge"/>
              <c:x val="0.78059680259455733"/>
              <c:y val="0.939193838749258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89632"/>
        <c:crosses val="autoZero"/>
        <c:crossBetween val="midCat"/>
      </c:valAx>
      <c:valAx>
        <c:axId val="47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 (Rp/TEUs)</a:t>
                </a:r>
                <a:r>
                  <a:rPr lang="en-US"/>
                  <a:t> in</a:t>
                </a:r>
                <a:r>
                  <a:rPr lang="en-US" baseline="0"/>
                  <a:t> Log</a:t>
                </a:r>
                <a:endParaRPr lang="en-US"/>
              </a:p>
            </c:rich>
          </c:tx>
          <c:layout>
            <c:manualLayout>
              <c:xMode val="edge"/>
              <c:yMode val="edge"/>
              <c:x val="8.3333333333333332E-3"/>
              <c:y val="2.88925342665500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1740080"/>
        <c:crosses val="autoZero"/>
        <c:crossBetween val="midCat"/>
        <c:majorUnit val="0.1"/>
      </c:valAx>
      <c:spPr>
        <a:noFill/>
        <a:ln>
          <a:noFill/>
        </a:ln>
        <a:effectLst/>
      </c:spPr>
    </c:plotArea>
    <c:legend>
      <c:legendPos val="r"/>
      <c:legendEntry>
        <c:idx val="0"/>
        <c:delete val="1"/>
      </c:legendEntry>
      <c:legendEntry>
        <c:idx val="1"/>
        <c:delete val="1"/>
      </c:legendEntry>
      <c:legendEntry>
        <c:idx val="2"/>
        <c:delete val="1"/>
      </c:legendEntry>
      <c:layout>
        <c:manualLayout>
          <c:xMode val="edge"/>
          <c:yMode val="edge"/>
          <c:x val="0.61065533297452623"/>
          <c:y val="5.1032986726335709E-2"/>
          <c:w val="0.32663574013815716"/>
          <c:h val="0.15053104781961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64464769952311"/>
          <c:y val="5.5578406755292763E-2"/>
          <c:w val="0.79521078587685401"/>
          <c:h val="0.81468677394233935"/>
        </c:manualLayout>
      </c:layout>
      <c:scatterChart>
        <c:scatterStyle val="lineMarker"/>
        <c:varyColors val="0"/>
        <c:ser>
          <c:idx val="0"/>
          <c:order val="0"/>
          <c:tx>
            <c:strRef>
              <c:f>Demand!$AJ$17</c:f>
              <c:strCache>
                <c:ptCount val="1"/>
                <c:pt idx="0">
                  <c:v>Supply</c:v>
                </c:pt>
              </c:strCache>
              <c:extLst xmlns:c15="http://schemas.microsoft.com/office/drawing/2012/chart"/>
            </c:strRef>
          </c:tx>
          <c:spPr>
            <a:ln w="25400" cap="rnd">
              <a:noFill/>
              <a:round/>
            </a:ln>
            <a:effectLst/>
          </c:spPr>
          <c:marker>
            <c:symbol val="circle"/>
            <c:size val="5"/>
            <c:spPr>
              <a:noFill/>
              <a:ln w="9525">
                <a:noFill/>
              </a:ln>
              <a:effectLst/>
            </c:spPr>
          </c:marker>
          <c:trendline>
            <c:name>Kurva Supply</c:name>
            <c:spPr>
              <a:ln w="19050" cap="rnd" cmpd="sng">
                <a:solidFill>
                  <a:schemeClr val="bg2">
                    <a:lumMod val="10000"/>
                  </a:schemeClr>
                </a:solidFill>
                <a:prstDash val="dashDot"/>
                <a:headEnd type="diamond"/>
              </a:ln>
              <a:effectLst/>
            </c:spPr>
            <c:trendlineType val="poly"/>
            <c:order val="2"/>
            <c:dispRSqr val="0"/>
            <c:dispEq val="0"/>
          </c:trendline>
          <c:xVal>
            <c:numRef>
              <c:f>Supply!$BL$4:$BL$9</c:f>
              <c:numCache>
                <c:formatCode>_(* #,##0.00_);_(* \(#,##0.00\);_(* "-"_);_(@_)</c:formatCode>
                <c:ptCount val="6"/>
                <c:pt idx="0">
                  <c:v>8.5495291747821049</c:v>
                </c:pt>
                <c:pt idx="1">
                  <c:v>8.2705504392916591</c:v>
                </c:pt>
                <c:pt idx="2">
                  <c:v>8.0013325685874808</c:v>
                </c:pt>
                <c:pt idx="3">
                  <c:v>7.7700340239332011</c:v>
                </c:pt>
                <c:pt idx="4">
                  <c:v>8.3853959907803084</c:v>
                </c:pt>
                <c:pt idx="5">
                  <c:v>7.6546702220724718</c:v>
                </c:pt>
              </c:numCache>
            </c:numRef>
          </c:xVal>
          <c:yVal>
            <c:numRef>
              <c:f>Supply!$BH$4:$BH$9</c:f>
              <c:numCache>
                <c:formatCode>_(* #,##0.00_);_(* \(#,##0.00\);_(* "-"_);_(@_)</c:formatCode>
                <c:ptCount val="6"/>
                <c:pt idx="0">
                  <c:v>6.5185139398778871</c:v>
                </c:pt>
                <c:pt idx="1">
                  <c:v>6.3979400086720375</c:v>
                </c:pt>
                <c:pt idx="2">
                  <c:v>6.3617278360175931</c:v>
                </c:pt>
                <c:pt idx="3">
                  <c:v>6.3010299956639813</c:v>
                </c:pt>
                <c:pt idx="4">
                  <c:v>6.3979400086720375</c:v>
                </c:pt>
                <c:pt idx="5">
                  <c:v>6.3010299956639813</c:v>
                </c:pt>
              </c:numCache>
            </c:numRef>
          </c:yVal>
          <c:smooth val="0"/>
          <c:extLst xmlns:c15="http://schemas.microsoft.com/office/drawing/2012/chart">
            <c:ext xmlns:c16="http://schemas.microsoft.com/office/drawing/2014/chart" uri="{C3380CC4-5D6E-409C-BE32-E72D297353CC}">
              <c16:uniqueId val="{00000001-4A4F-4FD4-BC6B-3E6D50CC0B46}"/>
            </c:ext>
          </c:extLst>
        </c:ser>
        <c:ser>
          <c:idx val="1"/>
          <c:order val="1"/>
          <c:tx>
            <c:strRef>
              <c:f>Demand!$AV$2</c:f>
              <c:strCache>
                <c:ptCount val="1"/>
                <c:pt idx="0">
                  <c:v>CURVE D JKT-SBY</c:v>
                </c:pt>
              </c:strCache>
              <c:extLst xmlns:c15="http://schemas.microsoft.com/office/drawing/2012/chart"/>
            </c:strRef>
          </c:tx>
          <c:spPr>
            <a:ln w="25400" cap="rnd">
              <a:noFill/>
              <a:round/>
            </a:ln>
            <a:effectLst/>
          </c:spPr>
          <c:marker>
            <c:symbol val="circle"/>
            <c:size val="5"/>
            <c:spPr>
              <a:noFill/>
              <a:ln w="9525">
                <a:noFill/>
              </a:ln>
              <a:effectLst/>
            </c:spPr>
          </c:marker>
          <c:trendline>
            <c:name>Kurva D JKT-SBY</c:name>
            <c:spPr>
              <a:ln w="19050" cap="rnd">
                <a:solidFill>
                  <a:schemeClr val="tx1"/>
                </a:solidFill>
                <a:prstDash val="solid"/>
              </a:ln>
              <a:effectLst/>
            </c:spPr>
            <c:trendlineType val="poly"/>
            <c:order val="2"/>
            <c:dispRSqr val="0"/>
            <c:dispEq val="1"/>
            <c:trendlineLbl>
              <c:layout>
                <c:manualLayout>
                  <c:x val="0.11129488484047684"/>
                  <c:y val="-0.5416450850398337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Demand!$AZ$6:$AZ$12</c:f>
              <c:numCache>
                <c:formatCode>General</c:formatCode>
                <c:ptCount val="7"/>
                <c:pt idx="0">
                  <c:v>7.7879604739912818</c:v>
                </c:pt>
                <c:pt idx="1">
                  <c:v>7.7452047538953392</c:v>
                </c:pt>
                <c:pt idx="2">
                  <c:v>7.7268498300388879</c:v>
                </c:pt>
                <c:pt idx="3">
                  <c:v>7.6977755012460811</c:v>
                </c:pt>
                <c:pt idx="4">
                  <c:v>7.6445241857923483</c:v>
                </c:pt>
                <c:pt idx="5">
                  <c:v>7.6091279401536038</c:v>
                </c:pt>
                <c:pt idx="6">
                  <c:v>7.5838188007721348</c:v>
                </c:pt>
              </c:numCache>
            </c:numRef>
          </c:xVal>
          <c:yVal>
            <c:numRef>
              <c:f>Demand!$BA$6:$BA$12</c:f>
              <c:numCache>
                <c:formatCode>General</c:formatCode>
                <c:ptCount val="7"/>
                <c:pt idx="0">
                  <c:v>6.3617278360175931</c:v>
                </c:pt>
                <c:pt idx="1">
                  <c:v>6.4031205211758175</c:v>
                </c:pt>
                <c:pt idx="2">
                  <c:v>6.4409090820652173</c:v>
                </c:pt>
                <c:pt idx="3">
                  <c:v>6.5078558716958312</c:v>
                </c:pt>
                <c:pt idx="4">
                  <c:v>6.5658478186735181</c:v>
                </c:pt>
                <c:pt idx="5">
                  <c:v>6.6170003411208986</c:v>
                </c:pt>
                <c:pt idx="6">
                  <c:v>6.6627578316815743</c:v>
                </c:pt>
              </c:numCache>
            </c:numRef>
          </c:yVal>
          <c:smooth val="0"/>
          <c:extLst xmlns:c15="http://schemas.microsoft.com/office/drawing/2012/chart">
            <c:ext xmlns:c16="http://schemas.microsoft.com/office/drawing/2014/chart" uri="{C3380CC4-5D6E-409C-BE32-E72D297353CC}">
              <c16:uniqueId val="{00000003-4A4F-4FD4-BC6B-3E6D50CC0B46}"/>
            </c:ext>
          </c:extLst>
        </c:ser>
        <c:ser>
          <c:idx val="7"/>
          <c:order val="7"/>
          <c:tx>
            <c:v>Supply''</c:v>
          </c:tx>
          <c:spPr>
            <a:ln w="25400" cap="rnd">
              <a:noFill/>
              <a:round/>
            </a:ln>
            <a:effectLst/>
          </c:spPr>
          <c:marker>
            <c:symbol val="circle"/>
            <c:size val="5"/>
            <c:spPr>
              <a:noFill/>
              <a:ln w="9525">
                <a:noFill/>
              </a:ln>
              <a:effectLst/>
            </c:spPr>
          </c:marker>
          <c:trendline>
            <c:name>Kurva Supply"</c:name>
            <c:spPr>
              <a:ln w="19050" cap="rnd">
                <a:solidFill>
                  <a:schemeClr val="tx1">
                    <a:lumMod val="95000"/>
                    <a:lumOff val="5000"/>
                  </a:schemeClr>
                </a:solidFill>
                <a:prstDash val="lgDashDotDot"/>
                <a:headEnd type="none"/>
              </a:ln>
              <a:effectLst/>
            </c:spPr>
            <c:trendlineType val="poly"/>
            <c:order val="2"/>
            <c:dispRSqr val="0"/>
            <c:dispEq val="1"/>
            <c:trendlineLbl>
              <c:layout>
                <c:manualLayout>
                  <c:x val="0.23010560187757204"/>
                  <c:y val="-4.646987194282394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f>Supply!$BM$16:$BM$21</c:f>
              <c:numCache>
                <c:formatCode>0.00</c:formatCode>
                <c:ptCount val="6"/>
                <c:pt idx="0">
                  <c:v>8.2395291747821044</c:v>
                </c:pt>
                <c:pt idx="1">
                  <c:v>7.9605504392916595</c:v>
                </c:pt>
                <c:pt idx="2">
                  <c:v>7.6913325685874812</c:v>
                </c:pt>
                <c:pt idx="3">
                  <c:v>7.4600340239332015</c:v>
                </c:pt>
                <c:pt idx="4">
                  <c:v>8.0753959907803079</c:v>
                </c:pt>
                <c:pt idx="5">
                  <c:v>7.3446702220724722</c:v>
                </c:pt>
              </c:numCache>
              <c:extLst xmlns:c15="http://schemas.microsoft.com/office/drawing/2012/chart"/>
            </c:numRef>
          </c:xVal>
          <c:yVal>
            <c:numRef>
              <c:f>Supply!$BN$16:$BN$21</c:f>
              <c:numCache>
                <c:formatCode>General</c:formatCode>
                <c:ptCount val="6"/>
                <c:pt idx="0">
                  <c:v>6.5185139398778871</c:v>
                </c:pt>
                <c:pt idx="1">
                  <c:v>6.3979400086720375</c:v>
                </c:pt>
                <c:pt idx="2">
                  <c:v>6.3617278360175931</c:v>
                </c:pt>
                <c:pt idx="3">
                  <c:v>6.3010299956639813</c:v>
                </c:pt>
                <c:pt idx="4">
                  <c:v>6.3979400086720375</c:v>
                </c:pt>
                <c:pt idx="5">
                  <c:v>6.3010299956639813</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5-4A4F-4FD4-BC6B-3E6D50CC0B46}"/>
            </c:ext>
          </c:extLst>
        </c:ser>
        <c:dLbls>
          <c:showLegendKey val="0"/>
          <c:showVal val="0"/>
          <c:showCatName val="0"/>
          <c:showSerName val="0"/>
          <c:showPercent val="0"/>
          <c:showBubbleSize val="0"/>
        </c:dLbls>
        <c:axId val="2091740080"/>
        <c:axId val="4789632"/>
        <c:extLst>
          <c:ext xmlns:c15="http://schemas.microsoft.com/office/drawing/2012/chart" uri="{02D57815-91ED-43cb-92C2-25804820EDAC}">
            <c15:filteredScatterSeries>
              <c15:ser>
                <c:idx val="2"/>
                <c:order val="2"/>
                <c:tx>
                  <c:strRef>
                    <c:extLst>
                      <c:ext uri="{02D57815-91ED-43cb-92C2-25804820EDAC}">
                        <c15:formulaRef>
                          <c15:sqref>Demand!$BC$2</c15:sqref>
                        </c15:formulaRef>
                      </c:ext>
                    </c:extLst>
                    <c:strCache>
                      <c:ptCount val="1"/>
                      <c:pt idx="0">
                        <c:v>CURVE D JKT-PNK</c:v>
                      </c:pt>
                    </c:strCache>
                  </c:strRef>
                </c:tx>
                <c:spPr>
                  <a:ln w="25400" cap="rnd">
                    <a:noFill/>
                    <a:round/>
                  </a:ln>
                  <a:effectLst/>
                </c:spPr>
                <c:marker>
                  <c:symbol val="circle"/>
                  <c:size val="5"/>
                  <c:spPr>
                    <a:solidFill>
                      <a:schemeClr val="bg1"/>
                    </a:solidFill>
                    <a:ln w="9525">
                      <a:noFill/>
                    </a:ln>
                    <a:effectLst/>
                  </c:spPr>
                </c:marker>
                <c:trendline>
                  <c:spPr>
                    <a:ln w="19050" cap="rnd">
                      <a:solidFill>
                        <a:schemeClr val="accent2">
                          <a:lumMod val="75000"/>
                        </a:schemeClr>
                      </a:solidFill>
                      <a:prstDash val="solid"/>
                    </a:ln>
                    <a:effectLst/>
                  </c:spPr>
                  <c:trendlineType val="poly"/>
                  <c:order val="2"/>
                  <c:dispRSqr val="0"/>
                  <c:dispEq val="0"/>
                </c:trendline>
                <c:xVal>
                  <c:numRef>
                    <c:extLst>
                      <c:ext uri="{02D57815-91ED-43cb-92C2-25804820EDAC}">
                        <c15:formulaRef>
                          <c15:sqref>Demand!$BG$6:$BG$12</c15:sqref>
                        </c15:formulaRef>
                      </c:ext>
                    </c:extLst>
                    <c:numCache>
                      <c:formatCode>General</c:formatCode>
                      <c:ptCount val="7"/>
                      <c:pt idx="0">
                        <c:v>7.7750862233454221</c:v>
                      </c:pt>
                      <c:pt idx="1">
                        <c:v>7.7345235604377054</c:v>
                      </c:pt>
                      <c:pt idx="2">
                        <c:v>7.7171746908329579</c:v>
                      </c:pt>
                      <c:pt idx="3">
                        <c:v>7.6897783919491038</c:v>
                      </c:pt>
                      <c:pt idx="4">
                        <c:v>7.6398879627890786</c:v>
                      </c:pt>
                      <c:pt idx="5">
                        <c:v>7.6069483732469116</c:v>
                      </c:pt>
                      <c:pt idx="6">
                        <c:v>7.5835133364224836</c:v>
                      </c:pt>
                    </c:numCache>
                  </c:numRef>
                </c:xVal>
                <c:yVal>
                  <c:numRef>
                    <c:extLst>
                      <c:ext uri="{02D57815-91ED-43cb-92C2-25804820EDAC}">
                        <c15:formulaRef>
                          <c15:sqref>Demand!$BH$6:$BH$12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c:ext xmlns:c16="http://schemas.microsoft.com/office/drawing/2014/chart" uri="{C3380CC4-5D6E-409C-BE32-E72D297353CC}">
                    <c16:uniqueId val="{00000007-4A4F-4FD4-BC6B-3E6D50CC0B46}"/>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Demand!$AV$14</c15:sqref>
                        </c15:formulaRef>
                      </c:ext>
                    </c:extLst>
                    <c:strCache>
                      <c:ptCount val="1"/>
                      <c:pt idx="0">
                        <c:v>CURVE D SBY-BNJRMSIN</c:v>
                      </c:pt>
                    </c:strCache>
                  </c:strRef>
                </c:tx>
                <c:spPr>
                  <a:ln w="25400" cap="rnd">
                    <a:noFill/>
                    <a:round/>
                  </a:ln>
                  <a:effectLst/>
                </c:spPr>
                <c:marker>
                  <c:symbol val="circle"/>
                  <c:size val="5"/>
                  <c:spPr>
                    <a:solidFill>
                      <a:schemeClr val="bg1"/>
                    </a:solidFill>
                    <a:ln w="9525">
                      <a:noFill/>
                    </a:ln>
                    <a:effectLst/>
                  </c:spPr>
                </c:marker>
                <c:trendline>
                  <c:spPr>
                    <a:ln w="19050" cap="rnd">
                      <a:solidFill>
                        <a:srgbClr val="00B050"/>
                      </a:solidFill>
                      <a:prstDash val="solid"/>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Demand!$AZ$16:$AZ$22</c15:sqref>
                        </c15:formulaRef>
                      </c:ext>
                    </c:extLst>
                    <c:numCache>
                      <c:formatCode>General</c:formatCode>
                      <c:ptCount val="7"/>
                      <c:pt idx="0">
                        <c:v>7.5370831534098404</c:v>
                      </c:pt>
                      <c:pt idx="1">
                        <c:v>7.4780049484875981</c:v>
                      </c:pt>
                      <c:pt idx="2">
                        <c:v>7.4519231938856967</c:v>
                      </c:pt>
                      <c:pt idx="3">
                        <c:v>7.4096055756009056</c:v>
                      </c:pt>
                      <c:pt idx="4">
                        <c:v>7.3283825160565179</c:v>
                      </c:pt>
                      <c:pt idx="5">
                        <c:v>7.2711874437853599</c:v>
                      </c:pt>
                      <c:pt idx="6">
                        <c:v>7.2283916701597031</c:v>
                      </c:pt>
                    </c:numCache>
                  </c:numRef>
                </c:xVal>
                <c:yVal>
                  <c:numRef>
                    <c:extLst xmlns:c15="http://schemas.microsoft.com/office/drawing/2012/chart">
                      <c:ext xmlns:c15="http://schemas.microsoft.com/office/drawing/2012/chart" uri="{02D57815-91ED-43cb-92C2-25804820EDAC}">
                        <c15:formulaRef>
                          <c15:sqref>Demand!$BA$16:$BA$22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9-4A4F-4FD4-BC6B-3E6D50CC0B46}"/>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Demand!$BC$14</c15:sqref>
                        </c15:formulaRef>
                      </c:ext>
                    </c:extLst>
                    <c:strCache>
                      <c:ptCount val="1"/>
                      <c:pt idx="0">
                        <c:v>CURVE D SBY-SMRND</c:v>
                      </c:pt>
                    </c:strCache>
                  </c:strRef>
                </c:tx>
                <c:spPr>
                  <a:ln w="25400" cap="rnd">
                    <a:noFill/>
                    <a:round/>
                  </a:ln>
                  <a:effectLst/>
                </c:spPr>
                <c:marker>
                  <c:symbol val="circle"/>
                  <c:size val="5"/>
                  <c:spPr>
                    <a:noFill/>
                    <a:ln w="19050">
                      <a:noFill/>
                    </a:ln>
                    <a:effectLst/>
                  </c:spPr>
                </c:marker>
                <c:trendline>
                  <c:spPr>
                    <a:ln w="19050" cap="rnd">
                      <a:solidFill>
                        <a:srgbClr val="C00000"/>
                      </a:solidFill>
                      <a:prstDash val="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Demand!$BG$16:$BG$22</c15:sqref>
                        </c15:formulaRef>
                      </c:ext>
                    </c:extLst>
                    <c:numCache>
                      <c:formatCode>General</c:formatCode>
                      <c:ptCount val="7"/>
                      <c:pt idx="0">
                        <c:v>7.4877851875748043</c:v>
                      </c:pt>
                      <c:pt idx="1">
                        <c:v>7.4342577499303237</c:v>
                      </c:pt>
                      <c:pt idx="2">
                        <c:v>7.4108518463490904</c:v>
                      </c:pt>
                      <c:pt idx="3">
                        <c:v>7.3731931323584012</c:v>
                      </c:pt>
                      <c:pt idx="4">
                        <c:v>7.3021153365185096</c:v>
                      </c:pt>
                      <c:pt idx="5">
                        <c:v>7.2531174527895148</c:v>
                      </c:pt>
                      <c:pt idx="6">
                        <c:v>7.2170838616286659</c:v>
                      </c:pt>
                    </c:numCache>
                  </c:numRef>
                </c:xVal>
                <c:yVal>
                  <c:numRef>
                    <c:extLst xmlns:c15="http://schemas.microsoft.com/office/drawing/2012/chart">
                      <c:ext xmlns:c15="http://schemas.microsoft.com/office/drawing/2012/chart" uri="{02D57815-91ED-43cb-92C2-25804820EDAC}">
                        <c15:formulaRef>
                          <c15:sqref>Demand!$BH$16:$BH$22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B-4A4F-4FD4-BC6B-3E6D50CC0B46}"/>
                  </c:ext>
                </c:extLst>
              </c15:ser>
            </c15:filteredScatterSeries>
            <c15:filteredScatterSeries>
              <c15:ser>
                <c:idx val="5"/>
                <c:order val="5"/>
                <c:tx>
                  <c:strRef>
                    <c:extLst xmlns:c15="http://schemas.microsoft.com/office/drawing/2012/chart">
                      <c:ext xmlns:c15="http://schemas.microsoft.com/office/drawing/2012/chart" uri="{02D57815-91ED-43cb-92C2-25804820EDAC}">
                        <c15:formulaRef>
                          <c15:sqref>Demand!$AO$14</c15:sqref>
                        </c15:formulaRef>
                      </c:ext>
                    </c:extLst>
                    <c:strCache>
                      <c:ptCount val="1"/>
                      <c:pt idx="0">
                        <c:v>CURVE D SBY-MKS</c:v>
                      </c:pt>
                    </c:strCache>
                  </c:strRef>
                </c:tx>
                <c:spPr>
                  <a:ln w="25400" cap="rnd">
                    <a:noFill/>
                    <a:round/>
                  </a:ln>
                  <a:effectLst/>
                </c:spPr>
                <c:marker>
                  <c:symbol val="circle"/>
                  <c:size val="5"/>
                  <c:spPr>
                    <a:noFill/>
                    <a:ln w="9525">
                      <a:noFill/>
                    </a:ln>
                    <a:effectLst/>
                  </c:spPr>
                </c:marker>
                <c:trendline>
                  <c:name>Kurva D SBY-MKS</c:name>
                  <c:spPr>
                    <a:ln w="28575" cap="rnd">
                      <a:solidFill>
                        <a:schemeClr val="tx1"/>
                      </a:solidFill>
                      <a:prstDash val="dash"/>
                    </a:ln>
                    <a:effectLst/>
                  </c:spPr>
                  <c:trendlineType val="poly"/>
                  <c:order val="2"/>
                  <c:dispRSqr val="0"/>
                  <c:dispEq val="1"/>
                  <c:trendlineLbl>
                    <c:layout>
                      <c:manualLayout>
                        <c:x val="0.19799468467854547"/>
                        <c:y val="-0.4509404920133389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rendlineLbl>
                </c:trendline>
                <c:xVal>
                  <c:numRef>
                    <c:extLst xmlns:c15="http://schemas.microsoft.com/office/drawing/2012/chart">
                      <c:ext xmlns:c15="http://schemas.microsoft.com/office/drawing/2012/chart" uri="{02D57815-91ED-43cb-92C2-25804820EDAC}">
                        <c15:formulaRef>
                          <c15:sqref>Demand!$AS$16:$AS$22</c15:sqref>
                        </c15:formulaRef>
                      </c:ext>
                    </c:extLst>
                    <c:numCache>
                      <c:formatCode>General</c:formatCode>
                      <c:ptCount val="7"/>
                      <c:pt idx="0">
                        <c:v>8.037717551411065</c:v>
                      </c:pt>
                      <c:pt idx="1">
                        <c:v>7.9747754536621027</c:v>
                      </c:pt>
                      <c:pt idx="2">
                        <c:v>7.9468008128786929</c:v>
                      </c:pt>
                      <c:pt idx="3">
                        <c:v>7.9011394529215853</c:v>
                      </c:pt>
                      <c:pt idx="4">
                        <c:v>7.8124167691270845</c:v>
                      </c:pt>
                      <c:pt idx="5">
                        <c:v>7.748933816899565</c:v>
                      </c:pt>
                      <c:pt idx="6">
                        <c:v>7.700789653962743</c:v>
                      </c:pt>
                    </c:numCache>
                  </c:numRef>
                </c:xVal>
                <c:yVal>
                  <c:numRef>
                    <c:extLst xmlns:c15="http://schemas.microsoft.com/office/drawing/2012/chart">
                      <c:ext xmlns:c15="http://schemas.microsoft.com/office/drawing/2012/chart" uri="{02D57815-91ED-43cb-92C2-25804820EDAC}">
                        <c15:formulaRef>
                          <c15:sqref>Demand!$AT$16:$AT$22</c15:sqref>
                        </c15:formulaRef>
                      </c:ext>
                    </c:extLst>
                    <c:numCache>
                      <c:formatCode>General</c:formatCode>
                      <c:ptCount val="7"/>
                      <c:pt idx="0">
                        <c:v>6.3010299956639813</c:v>
                      </c:pt>
                      <c:pt idx="1">
                        <c:v>6.3424226808222066</c:v>
                      </c:pt>
                      <c:pt idx="2">
                        <c:v>6.3802112417116064</c:v>
                      </c:pt>
                      <c:pt idx="3">
                        <c:v>6.4471580313422194</c:v>
                      </c:pt>
                      <c:pt idx="4">
                        <c:v>6.5051499783199063</c:v>
                      </c:pt>
                      <c:pt idx="5">
                        <c:v>6.5563025007672868</c:v>
                      </c:pt>
                      <c:pt idx="6">
                        <c:v>6.6020599913279625</c:v>
                      </c:pt>
                    </c:numCache>
                  </c:numRef>
                </c:yVal>
                <c:smooth val="0"/>
                <c:extLst xmlns:c15="http://schemas.microsoft.com/office/drawing/2012/chart">
                  <c:ext xmlns:c16="http://schemas.microsoft.com/office/drawing/2014/chart" uri="{C3380CC4-5D6E-409C-BE32-E72D297353CC}">
                    <c16:uniqueId val="{0000000D-4A4F-4FD4-BC6B-3E6D50CC0B46}"/>
                  </c:ext>
                </c:extLst>
              </c15:ser>
            </c15:filteredScatterSeries>
            <c15:filteredScatterSeries>
              <c15:ser>
                <c:idx val="6"/>
                <c:order val="6"/>
                <c:tx>
                  <c:strRef>
                    <c:extLst xmlns:c15="http://schemas.microsoft.com/office/drawing/2012/chart">
                      <c:ext xmlns:c15="http://schemas.microsoft.com/office/drawing/2012/chart" uri="{02D57815-91ED-43cb-92C2-25804820EDAC}">
                        <c15:formulaRef>
                          <c15:sqref>Demand!$AO$24</c15:sqref>
                        </c15:formulaRef>
                      </c:ext>
                    </c:extLst>
                    <c:strCache>
                      <c:ptCount val="1"/>
                      <c:pt idx="0">
                        <c:v>CURVE D JKT-BLW</c:v>
                      </c:pt>
                    </c:strCache>
                  </c:strRef>
                </c:tx>
                <c:spPr>
                  <a:ln w="25400" cap="rnd">
                    <a:noFill/>
                    <a:round/>
                  </a:ln>
                  <a:effectLst/>
                </c:spPr>
                <c:marker>
                  <c:symbol val="circle"/>
                  <c:size val="5"/>
                  <c:spPr>
                    <a:noFill/>
                    <a:ln w="9525">
                      <a:noFill/>
                    </a:ln>
                    <a:effectLst/>
                  </c:spPr>
                </c:marker>
                <c:trendline>
                  <c:spPr>
                    <a:ln w="19050" cap="rnd">
                      <a:solidFill>
                        <a:schemeClr val="accent1">
                          <a:lumMod val="60000"/>
                        </a:schemeClr>
                      </a:solidFill>
                      <a:prstDash val="sysDash"/>
                    </a:ln>
                    <a:effectLst/>
                  </c:spPr>
                  <c:trendlineType val="poly"/>
                  <c:order val="2"/>
                  <c:dispRSqr val="0"/>
                  <c:dispEq val="0"/>
                </c:trendline>
                <c:xVal>
                  <c:numRef>
                    <c:extLst xmlns:c15="http://schemas.microsoft.com/office/drawing/2012/chart">
                      <c:ext xmlns:c15="http://schemas.microsoft.com/office/drawing/2012/chart" uri="{02D57815-91ED-43cb-92C2-25804820EDAC}">
                        <c15:formulaRef>
                          <c15:sqref>Demand!$AS$26:$AS$32</c15:sqref>
                        </c15:formulaRef>
                      </c:ext>
                    </c:extLst>
                    <c:numCache>
                      <c:formatCode>General</c:formatCode>
                      <c:ptCount val="6"/>
                      <c:pt idx="0">
                        <c:v>8.2834020601761669</c:v>
                      </c:pt>
                      <c:pt idx="1">
                        <c:v>8.2455935721035623</c:v>
                      </c:pt>
                      <c:pt idx="2">
                        <c:v>8.2294977282792043</c:v>
                      </c:pt>
                      <c:pt idx="3">
                        <c:v>8.2041769731185017</c:v>
                      </c:pt>
                      <c:pt idx="4">
                        <c:v>8.12840614974915</c:v>
                      </c:pt>
                      <c:pt idx="5">
                        <c:v>8.1072011902961787</c:v>
                      </c:pt>
                    </c:numCache>
                  </c:numRef>
                </c:xVal>
                <c:yVal>
                  <c:numRef>
                    <c:extLst xmlns:c15="http://schemas.microsoft.com/office/drawing/2012/chart">
                      <c:ext xmlns:c15="http://schemas.microsoft.com/office/drawing/2012/chart" uri="{02D57815-91ED-43cb-92C2-25804820EDAC}">
                        <c15:formulaRef>
                          <c15:sqref>Demand!$AT$26:$AT$32</c15:sqref>
                        </c15:formulaRef>
                      </c:ext>
                    </c:extLst>
                    <c:numCache>
                      <c:formatCode>General</c:formatCode>
                      <c:ptCount val="6"/>
                      <c:pt idx="0">
                        <c:v>6.5185139398778871</c:v>
                      </c:pt>
                      <c:pt idx="1">
                        <c:v>6.5599066250361124</c:v>
                      </c:pt>
                      <c:pt idx="2">
                        <c:v>6.5976951859255122</c:v>
                      </c:pt>
                      <c:pt idx="3">
                        <c:v>6.6646419755561253</c:v>
                      </c:pt>
                      <c:pt idx="4">
                        <c:v>6.7737864449811935</c:v>
                      </c:pt>
                      <c:pt idx="5">
                        <c:v>6.8195439355418683</c:v>
                      </c:pt>
                    </c:numCache>
                  </c:numRef>
                </c:yVal>
                <c:smooth val="0"/>
                <c:extLst xmlns:c15="http://schemas.microsoft.com/office/drawing/2012/chart">
                  <c:ext xmlns:c16="http://schemas.microsoft.com/office/drawing/2014/chart" uri="{C3380CC4-5D6E-409C-BE32-E72D297353CC}">
                    <c16:uniqueId val="{0000000F-4A4F-4FD4-BC6B-3E6D50CC0B46}"/>
                  </c:ext>
                </c:extLst>
              </c15:ser>
            </c15:filteredScatterSeries>
          </c:ext>
        </c:extLst>
      </c:scatterChart>
      <c:valAx>
        <c:axId val="209174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Q (Thousand TEUs.NM)</a:t>
                </a:r>
                <a:r>
                  <a:rPr lang="en-ID" baseline="0"/>
                  <a:t> in Log</a:t>
                </a:r>
                <a:endParaRPr lang="en-ID"/>
              </a:p>
            </c:rich>
          </c:tx>
          <c:layout>
            <c:manualLayout>
              <c:xMode val="edge"/>
              <c:yMode val="edge"/>
              <c:x val="0.78059680259455733"/>
              <c:y val="0.939193838749258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D"/>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789632"/>
        <c:crosses val="autoZero"/>
        <c:crossBetween val="midCat"/>
      </c:valAx>
      <c:valAx>
        <c:axId val="47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a:t>P (Rp/TEUs)</a:t>
                </a:r>
                <a:r>
                  <a:rPr lang="en-US"/>
                  <a:t> in</a:t>
                </a:r>
                <a:r>
                  <a:rPr lang="en-US" baseline="0"/>
                  <a:t> Log</a:t>
                </a:r>
                <a:endParaRPr lang="en-US"/>
              </a:p>
            </c:rich>
          </c:tx>
          <c:layout>
            <c:manualLayout>
              <c:xMode val="edge"/>
              <c:yMode val="edge"/>
              <c:x val="8.3333333333333332E-3"/>
              <c:y val="2.889253426655000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1740080"/>
        <c:crosses val="autoZero"/>
        <c:crossBetween val="midCat"/>
        <c:majorUnit val="0.1"/>
      </c:valAx>
      <c:spPr>
        <a:noFill/>
        <a:ln>
          <a:noFill/>
        </a:ln>
        <a:effectLst/>
      </c:spPr>
    </c:plotArea>
    <c:legend>
      <c:legendPos val="r"/>
      <c:legendEntry>
        <c:idx val="0"/>
        <c:delete val="1"/>
      </c:legendEntry>
      <c:legendEntry>
        <c:idx val="1"/>
        <c:delete val="1"/>
      </c:legendEntry>
      <c:layout>
        <c:manualLayout>
          <c:xMode val="edge"/>
          <c:yMode val="edge"/>
          <c:x val="0.61065533297452623"/>
          <c:y val="5.1032986726335709E-2"/>
          <c:w val="0.32663574013815716"/>
          <c:h val="0.15053104781961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Pir17</b:Tag>
    <b:SourceType>Report</b:SourceType>
    <b:Guid>{26591DA8-0FCD-4C82-A14C-23A6FD0BE956}</b:Guid>
    <b:Author>
      <b:Author>
        <b:Corporate>Piraeus Bank</b:Corporate>
      </b:Author>
    </b:Author>
    <b:Title>A Structural Model for Forecasting the Shipping Market</b:Title>
    <b:Year>2017</b:Year>
    <b:Publisher>Piraeus Bank</b:Publisher>
    <b:City>Athena</b:City>
    <b:RefOrder>1</b:RefOrder>
  </b:Source>
  <b:Source>
    <b:Tag>Han14</b:Tag>
    <b:SourceType>Report</b:SourceType>
    <b:Guid>{39DB890E-56D0-46B1-8932-7AA74D5FEAA3}</b:Guid>
    <b:Author>
      <b:Author>
        <b:NameList>
          <b:Person>
            <b:Last>Hanesey</b:Last>
            <b:First>Lawrence</b:First>
          </b:Person>
        </b:NameList>
      </b:Author>
    </b:Author>
    <b:Title>Using Systems Dynamic Modeling for Forecasting Global Container Demand</b:Title>
    <b:Year>2014</b:Year>
    <b:Publisher>International Association of Maritime Economists</b:Publisher>
    <b:City>Norwich</b:City>
    <b:RefOrder>2</b:RefOrder>
  </b:Source>
  <b:Source>
    <b:Tag>Dre17</b:Tag>
    <b:SourceType>Report</b:SourceType>
    <b:Guid>{6154947C-C094-45A9-8B7A-FF8FD577426A}</b:Guid>
    <b:Author>
      <b:Author>
        <b:Corporate>Drewy Maritime Research</b:Corporate>
      </b:Author>
    </b:Author>
    <b:Title>Ship Operating Cost Annual Review &amp; Forecast Annual Report 2017</b:Title>
    <b:Year>2017</b:Year>
    <b:Publisher>Drewy Maritime Reserach</b:Publisher>
    <b:RefOrder>3</b:RefOrder>
  </b:Source>
  <b:Source>
    <b:Tag>UNC18</b:Tag>
    <b:SourceType>Report</b:SourceType>
    <b:Guid>{17604624-6E81-4D4C-B4CA-69A9616AFB4A}</b:Guid>
    <b:Title>Review of Maritime Transport</b:Title>
    <b:Year>2018</b:Year>
    <b:Author>
      <b:Author>
        <b:Corporate>UNCTAD</b:Corporate>
      </b:Author>
    </b:Author>
    <b:Publisher>United Nations</b:Publisher>
    <b:City>New York</b:City>
    <b:RefOrder>4</b:RefOrder>
  </b:Source>
  <b:Source>
    <b:Tag>Ver15</b:Tag>
    <b:SourceType>InternetSite</b:SourceType>
    <b:Guid>{4AF108E9-104F-4CAE-83E9-CD6F7D0F9220}</b:Guid>
    <b:Title>INSA: Pelayaran Niaga Sedang Over Supply</b:Title>
    <b:Year>2015</b:Year>
    <b:Author>
      <b:Author>
        <b:NameList>
          <b:Person>
            <b:Last>Yasinta</b:Last>
            <b:First>Veronika</b:First>
          </b:Person>
        </b:NameList>
      </b:Author>
    </b:Author>
    <b:ProductionCompany>Bisnis.com</b:ProductionCompany>
    <b:Month>August</b:Month>
    <b:Day>8</b:Day>
    <b:YearAccessed>2020</b:YearAccessed>
    <b:MonthAccessed>July</b:MonthAccessed>
    <b:DayAccessed>21</b:DayAccessed>
    <b:URL>https://ekonomi.bisnis.com/read/20150408/98/420357/insa-pelayaran-niaga-sedang-over-supply</b:URL>
    <b:RefOrder>5</b:RefOrder>
  </b:Source>
  <b:Source>
    <b:Tag>Esm15</b:Tag>
    <b:SourceType>JournalArticle</b:SourceType>
    <b:Guid>{B3065969-EEAD-4DE5-877A-B8A2963FFA2B}</b:Guid>
    <b:Title>Cargo Demand Analysis of Container Terminals in Turkey</b:Title>
    <b:Year>2015</b:Year>
    <b:Author>
      <b:Author>
        <b:NameList>
          <b:Person>
            <b:Last>Esmer</b:Last>
            <b:First>Soner</b:First>
          </b:Person>
        </b:NameList>
      </b:Author>
    </b:Author>
    <b:JournalName>MAritime Science</b:JournalName>
    <b:Pages>117-122</b:Pages>
    <b:Volume>3</b:Volume>
    <b:Issue>2</b:Issue>
    <b:RefOrder>6</b:RefOrder>
  </b:Source>
  <b:Source>
    <b:Tag>Cho07</b:Tag>
    <b:SourceType>JournalArticle</b:SourceType>
    <b:Guid>{172AAEDE-A55F-43EF-98B4-EB35C787478E}</b:Guid>
    <b:Author>
      <b:Author>
        <b:NameList>
          <b:Person>
            <b:Last>Chou</b:Last>
            <b:First>Chien-Chang</b:First>
          </b:Person>
          <b:Person>
            <b:Last>Chu</b:Last>
            <b:First>Ching-Wu</b:First>
          </b:Person>
          <b:Person>
            <b:Last>Liang</b:Last>
            <b:First>Gin-Shuh</b:First>
          </b:Person>
        </b:NameList>
      </b:Author>
    </b:Author>
    <b:Title>A Modified Regression Model for Forecasting the Volumes of Taiwan's Import Containers</b:Title>
    <b:JournalName>Mathematical and Computer Modelling</b:JournalName>
    <b:Year>2007</b:Year>
    <b:Pages>797-807</b:Pages>
    <b:Volume>47</b:Volume>
    <b:Issue>2008</b:Issue>
    <b:RefOrder>7</b:RefOrder>
  </b:Source>
  <b:Source>
    <b:Tag>Sto97</b:Tag>
    <b:SourceType>Book</b:SourceType>
    <b:Guid>{B5F5F26C-5971-446A-BA27-2DC55EF226F0}</b:Guid>
    <b:Title>Maritime Economics Third Edition</b:Title>
    <b:Year>2009</b:Year>
    <b:City>Rputledge, New York</b:City>
    <b:Author>
      <b:Author>
        <b:NameList>
          <b:Person>
            <b:Last>Stopford</b:Last>
            <b:First>M</b:First>
          </b:Person>
        </b:NameList>
      </b:Author>
    </b:Author>
    <b:LCID>id-ID</b:LCID>
    <b:RefOrder>8</b:RefOrder>
  </b:Source>
  <b:Source>
    <b:Tag>Uzo18</b:Tag>
    <b:SourceType>Book</b:SourceType>
    <b:Guid>{40DDF8E1-2281-478B-9B7D-147B6EA51216}</b:Guid>
    <b:Title>Market Structure</b:Title>
    <b:Year>2018</b:Year>
    <b:Author>
      <b:Author>
        <b:NameList>
          <b:Person>
            <b:Last>Uzonwanne</b:Last>
            <b:First>Chinecherem</b:First>
          </b:Person>
          <b:Person>
            <b:Last>Ezenekwe</b:Last>
            <b:First>Uju</b:First>
            <b:Middle>Regina</b:Middle>
          </b:Person>
        </b:NameList>
      </b:Author>
    </b:Author>
    <b:City>Awka</b:City>
    <b:Publisher>Nnamdi Azikiwe Unibersity</b:Publisher>
    <b:RefOrder>9</b:RefOrder>
  </b:Source>
  <b:Source>
    <b:Tag>Lij02</b:Tag>
    <b:SourceType>JournalArticle</b:SourceType>
    <b:Guid>{646807FA-419D-4B78-9695-5668FF273B09}</b:Guid>
    <b:Title>Measuring Competition in Civil Aviation</b:Title>
    <b:Year>2002</b:Year>
    <b:Author>
      <b:Author>
        <b:NameList>
          <b:Person>
            <b:Last>Lijesen</b:Last>
            <b:First>Mark</b:First>
            <b:Middle>Glenn</b:Middle>
          </b:Person>
          <b:Person>
            <b:Last>Nijkamp</b:Last>
            <b:First>Peter</b:First>
          </b:Person>
          <b:Person>
            <b:Last>Rietveld</b:Last>
            <b:First>Piet</b:First>
          </b:Person>
        </b:NameList>
      </b:Author>
    </b:Author>
    <b:JournalName>Journal of Air Transport Management</b:JournalName>
    <b:Pages>189-197</b:Pages>
    <b:Volume>8</b:Volume>
    <b:Issue>3</b:Issue>
    <b:RefOrder>10</b:RefOrder>
  </b:Source>
  <b:Source>
    <b:Tag>Noa08</b:Tag>
    <b:SourceType>JournalArticle</b:SourceType>
    <b:Guid>{91CC29E9-FC07-4F88-9AC0-82351E7B4600}</b:Guid>
    <b:Author>
      <b:Author>
        <b:NameList>
          <b:Person>
            <b:Last>Noam</b:Last>
            <b:First>Eli</b:First>
            <b:Middle>M</b:Middle>
          </b:Person>
        </b:NameList>
      </b:Author>
    </b:Author>
    <b:Title>Did AT&amp;T Die in  Vain?</b:Title>
    <b:JournalName>Federal Communication Law </b:JournalName>
    <b:Year>2008</b:Year>
    <b:Volume>61</b:Volume>
    <b:Issue>1</b:Issue>
    <b:RefOrder>11</b:RefOrder>
  </b:Source>
  <b:Source>
    <b:Tag>Ale08</b:Tag>
    <b:SourceType>JournalArticle</b:SourceType>
    <b:Guid>{2870F7C7-2D83-4A40-8C67-0EE9165290BF}</b:Guid>
    <b:Author>
      <b:Author>
        <b:NameList>
          <b:Person>
            <b:Last>Alegria</b:Last>
            <b:First>Carlos</b:First>
          </b:Person>
          <b:Person>
            <b:Last>Schaeck</b:Last>
            <b:First>Klaus</b:First>
          </b:Person>
        </b:NameList>
      </b:Author>
    </b:Author>
    <b:Title>On measuring concentration in banking system</b:Title>
    <b:JournalName>Finance Research Letters</b:JournalName>
    <b:Year>2008</b:Year>
    <b:Pages>59-67</b:Pages>
    <b:Volume>5</b:Volume>
    <b:Issue>1</b:Issue>
    <b:RefOrder>12</b:RefOrder>
  </b:Source>
  <b:Source>
    <b:Tag>Sys16</b:Tag>
    <b:SourceType>Report</b:SourceType>
    <b:Guid>{904DB79D-6555-4225-AF53-0BE40DBAD299}</b:Guid>
    <b:Author>
      <b:Author>
        <b:NameList>
          <b:Person>
            <b:Last>Sys</b:Last>
            <b:First>Christa</b:First>
          </b:Person>
        </b:NameList>
      </b:Author>
    </b:Author>
    <b:Title>Measuring the Degree of Concentration in the Container Liner Shipping Industry</b:Title>
    <b:Year>2016</b:Year>
    <b:Publisher>University of Antwerp</b:Publisher>
    <b:City>Antwerp</b:City>
    <b:RefOrder>13</b:RefOrder>
  </b:Source>
  <b:Source>
    <b:Tag>Cha18</b:Tag>
    <b:SourceType>Report</b:SourceType>
    <b:Guid>{446DCA6B-CDD3-4284-94DA-CB54E7260BCC}</b:Guid>
    <b:Title>Analysis of the market concentration of the container shipping markets – selected issues</b:Title>
    <b:Year>2018</b:Year>
    <b:Publisher>Global Maritime Conference</b:Publisher>
    <b:City>Gdynia</b:City>
    <b:Author>
      <b:Author>
        <b:NameList>
          <b:Person>
            <b:Last>Charłampowicz</b:Last>
          </b:Person>
          <b:Person>
            <b:Last>Jedrzej</b:Last>
          </b:Person>
        </b:NameList>
      </b:Author>
    </b:Author>
    <b:RefOrder>14</b:RefOrder>
  </b:Source>
  <b:Source>
    <b:Tag>Gou17</b:Tag>
    <b:SourceType>JournalArticle</b:SourceType>
    <b:Guid>{DF2D44A1-40A7-47E1-850D-C4D2EF1993D1}</b:Guid>
    <b:Author>
      <b:Author>
        <b:NameList>
          <b:Person>
            <b:Last>Goulielmos</b:Last>
            <b:First>Alexander</b:First>
            <b:Middle>M.</b:Middle>
          </b:Person>
        </b:NameList>
      </b:Author>
    </b:Author>
    <b:Title>"Containership Markets": A comparison with bulk shipping and a proposed oligopoly model</b:Title>
    <b:Year>2017</b:Year>
    <b:JournalName>Journal of Economics and Business</b:JournalName>
    <b:Pages>47-68</b:Pages>
    <b:Volume>67</b:Volume>
    <b:Issue>2</b:Issue>
    <b:RefOrder>15</b:RefOrder>
  </b:Source>
  <b:Source>
    <b:Tag>Efe19</b:Tag>
    <b:SourceType>JournalArticle</b:SourceType>
    <b:Guid>{1D7F483E-4A58-4ABC-8462-F9B339805070}</b:Guid>
    <b:Author>
      <b:Author>
        <b:NameList>
          <b:Person>
            <b:Last>Efes</b:Last>
            <b:First>Kamil</b:First>
            <b:Middle>Özden</b:Middle>
          </b:Person>
          <b:Person>
            <b:Last>Baser</b:Last>
            <b:First>Sadik</b:First>
            <b:Middle>Ozlen</b:Middle>
          </b:Person>
          <b:Person>
            <b:Last>Acik</b:Last>
            <b:First>Abdullah</b:First>
          </b:Person>
        </b:NameList>
      </b:Author>
    </b:Author>
    <b:Title>Supply-Demand Interaction in the Formation of Freight Rates: China’s Trade Volume as Demand Side in the Dry Bulk Market</b:Title>
    <b:JournalName>Scientific Journal of Maritime Research</b:JournalName>
    <b:Year>2019</b:Year>
    <b:Pages>46-55</b:Pages>
    <b:Volume>33</b:Volume>
    <b:RefOrder>16</b:RefOrder>
  </b:Source>
  <b:Source>
    <b:Tag>LUO09</b:Tag>
    <b:SourceType>JournalArticle</b:SourceType>
    <b:Guid>{94E3D54F-8746-443B-A388-3D8EE75E44CD}</b:Guid>
    <b:Author>
      <b:Author>
        <b:NameList>
          <b:Person>
            <b:Last>LUO</b:Last>
            <b:First>MEIFENG</b:First>
          </b:Person>
          <b:Person>
            <b:Last>FAN</b:Last>
            <b:First>LIXIAN</b:First>
          </b:Person>
          <b:Person>
            <b:Last>LIU</b:Last>
            <b:First>LIMING</b:First>
          </b:Person>
        </b:NameList>
      </b:Author>
    </b:Author>
    <b:Title>An econometric analysis for container shipping market</b:Title>
    <b:JournalName>Maritime Policy Management</b:JournalName>
    <b:Year>2009</b:Year>
    <b:Pages>507-523</b:Pages>
    <b:Volume>36</b:Volume>
    <b:Issue>6</b:Issue>
    <b:RefOrder>17</b:RefOrder>
  </b:Source>
</b:Sources>
</file>

<file path=customXml/itemProps1.xml><?xml version="1.0" encoding="utf-8"?>
<ds:datastoreItem xmlns:ds="http://schemas.openxmlformats.org/officeDocument/2006/customXml" ds:itemID="{C2F0CA93-4BDE-4FE6-93C0-C554B173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71</TotalTime>
  <Pages>15</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Tri Achmadi</cp:lastModifiedBy>
  <cp:revision>9</cp:revision>
  <cp:lastPrinted>2025-06-22T12:59:00Z</cp:lastPrinted>
  <dcterms:created xsi:type="dcterms:W3CDTF">2025-07-16T07:40:00Z</dcterms:created>
  <dcterms:modified xsi:type="dcterms:W3CDTF">2025-07-16T08:54:00Z</dcterms:modified>
</cp:coreProperties>
</file>