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86B39" w14:textId="5ABDD5A6" w:rsidR="006324AC" w:rsidRPr="006B5B15" w:rsidRDefault="006324AC" w:rsidP="00321F33">
      <w:pPr>
        <w:jc w:val="center"/>
        <w:rPr>
          <w:b/>
          <w:sz w:val="28"/>
          <w:szCs w:val="28"/>
        </w:rPr>
      </w:pPr>
      <w:r w:rsidRPr="006B5B15">
        <w:rPr>
          <w:b/>
          <w:sz w:val="28"/>
          <w:szCs w:val="28"/>
        </w:rPr>
        <w:t xml:space="preserve">ANALISIS STATUS PENCEMARAN </w:t>
      </w:r>
      <w:r w:rsidR="00321F33">
        <w:rPr>
          <w:b/>
          <w:sz w:val="28"/>
          <w:szCs w:val="28"/>
          <w:lang w:val="en-US"/>
        </w:rPr>
        <w:t xml:space="preserve">AIR </w:t>
      </w:r>
      <w:r w:rsidRPr="006B5B15">
        <w:rPr>
          <w:b/>
          <w:sz w:val="28"/>
          <w:szCs w:val="28"/>
        </w:rPr>
        <w:t xml:space="preserve">DI </w:t>
      </w:r>
      <w:r w:rsidR="00321F33">
        <w:rPr>
          <w:b/>
          <w:sz w:val="28"/>
          <w:szCs w:val="28"/>
        </w:rPr>
        <w:t>PANTAI WATES,</w:t>
      </w:r>
      <w:r w:rsidR="00321F33">
        <w:rPr>
          <w:b/>
          <w:sz w:val="28"/>
          <w:szCs w:val="28"/>
          <w:lang w:val="en-US"/>
        </w:rPr>
        <w:t xml:space="preserve"> </w:t>
      </w:r>
      <w:r w:rsidRPr="006B5B15">
        <w:rPr>
          <w:b/>
          <w:sz w:val="28"/>
          <w:szCs w:val="28"/>
        </w:rPr>
        <w:t xml:space="preserve">KABUPATEN REMBANG </w:t>
      </w:r>
    </w:p>
    <w:p w14:paraId="03B621C2" w14:textId="77777777" w:rsidR="006324AC" w:rsidRPr="006B5B15" w:rsidRDefault="006324AC" w:rsidP="006324AC">
      <w:pPr>
        <w:jc w:val="center"/>
        <w:rPr>
          <w:b/>
          <w:sz w:val="28"/>
          <w:szCs w:val="28"/>
        </w:rPr>
      </w:pPr>
    </w:p>
    <w:p w14:paraId="16615F46" w14:textId="77777777" w:rsidR="00A403D4" w:rsidRPr="00A403D4" w:rsidRDefault="00A403D4">
      <w:pPr>
        <w:pStyle w:val="BodyText"/>
        <w:spacing w:before="243" w:line="241" w:lineRule="exact"/>
        <w:ind w:left="173" w:right="135"/>
        <w:jc w:val="center"/>
        <w:rPr>
          <w:b/>
          <w:bCs/>
          <w:sz w:val="24"/>
          <w:szCs w:val="24"/>
        </w:rPr>
      </w:pPr>
      <w:r w:rsidRPr="00A403D4">
        <w:rPr>
          <w:b/>
          <w:bCs/>
          <w:sz w:val="24"/>
          <w:szCs w:val="24"/>
        </w:rPr>
        <w:t xml:space="preserve">Water Pollution Status Analysis in </w:t>
      </w:r>
      <w:r w:rsidRPr="00A403D4">
        <w:rPr>
          <w:b/>
          <w:bCs/>
          <w:iCs/>
          <w:sz w:val="24"/>
          <w:szCs w:val="24"/>
        </w:rPr>
        <w:t>Wates</w:t>
      </w:r>
      <w:r w:rsidRPr="00A403D4">
        <w:rPr>
          <w:b/>
          <w:bCs/>
          <w:sz w:val="24"/>
          <w:szCs w:val="24"/>
        </w:rPr>
        <w:t xml:space="preserve"> Beach, </w:t>
      </w:r>
      <w:r w:rsidRPr="00A403D4">
        <w:rPr>
          <w:b/>
          <w:bCs/>
          <w:iCs/>
          <w:sz w:val="24"/>
          <w:szCs w:val="24"/>
        </w:rPr>
        <w:t>Rembang</w:t>
      </w:r>
      <w:r w:rsidRPr="00A403D4">
        <w:rPr>
          <w:b/>
          <w:bCs/>
          <w:sz w:val="24"/>
          <w:szCs w:val="24"/>
        </w:rPr>
        <w:t xml:space="preserve"> </w:t>
      </w:r>
    </w:p>
    <w:p w14:paraId="2B35709B" w14:textId="0ED82DCA" w:rsidR="002759E4" w:rsidRPr="006B5B15" w:rsidRDefault="006324AC">
      <w:pPr>
        <w:pStyle w:val="BodyText"/>
        <w:spacing w:before="243" w:line="241" w:lineRule="exact"/>
        <w:ind w:left="173" w:right="135"/>
        <w:jc w:val="center"/>
        <w:rPr>
          <w:sz w:val="13"/>
        </w:rPr>
      </w:pPr>
      <w:r w:rsidRPr="006B5B15">
        <w:rPr>
          <w:lang w:val="en-US"/>
        </w:rPr>
        <w:t>Hen</w:t>
      </w:r>
      <w:r w:rsidR="00023CD8" w:rsidRPr="006B5B15">
        <w:t>i</w:t>
      </w:r>
      <w:r w:rsidRPr="006B5B15">
        <w:rPr>
          <w:lang w:val="en-US"/>
        </w:rPr>
        <w:t xml:space="preserve"> Sulistiyani</w:t>
      </w:r>
      <w:r w:rsidR="00023CD8" w:rsidRPr="006B5B15">
        <w:rPr>
          <w:position w:val="7"/>
          <w:sz w:val="13"/>
        </w:rPr>
        <w:t>1</w:t>
      </w:r>
      <w:r w:rsidR="00023CD8" w:rsidRPr="006B5B15">
        <w:t>,</w:t>
      </w:r>
      <w:r w:rsidR="00023CD8" w:rsidRPr="006B5B15">
        <w:rPr>
          <w:spacing w:val="-4"/>
        </w:rPr>
        <w:t xml:space="preserve"> </w:t>
      </w:r>
      <w:r w:rsidRPr="006B5B15">
        <w:rPr>
          <w:lang w:val="en-US"/>
        </w:rPr>
        <w:t>Haeruddin</w:t>
      </w:r>
      <w:r w:rsidR="00023CD8" w:rsidRPr="006B5B15">
        <w:rPr>
          <w:position w:val="7"/>
          <w:sz w:val="13"/>
        </w:rPr>
        <w:t>1</w:t>
      </w:r>
      <w:r w:rsidR="00023CD8" w:rsidRPr="006B5B15">
        <w:t>,</w:t>
      </w:r>
      <w:r w:rsidR="00023CD8" w:rsidRPr="006B5B15">
        <w:rPr>
          <w:spacing w:val="-4"/>
        </w:rPr>
        <w:t xml:space="preserve"> </w:t>
      </w:r>
      <w:r w:rsidRPr="006B5B15">
        <w:rPr>
          <w:lang w:val="en-US"/>
        </w:rPr>
        <w:t>S</w:t>
      </w:r>
      <w:r w:rsidR="00023CD8" w:rsidRPr="006B5B15">
        <w:t>i</w:t>
      </w:r>
      <w:r w:rsidRPr="006B5B15">
        <w:rPr>
          <w:lang w:val="en-US"/>
        </w:rPr>
        <w:t>ti Rudiyanti</w:t>
      </w:r>
      <w:r w:rsidRPr="006B5B15">
        <w:rPr>
          <w:position w:val="7"/>
          <w:sz w:val="13"/>
        </w:rPr>
        <w:t>1</w:t>
      </w:r>
    </w:p>
    <w:p w14:paraId="3C2DB011" w14:textId="77777777" w:rsidR="002759E4" w:rsidRPr="006B5B15" w:rsidRDefault="00023CD8">
      <w:pPr>
        <w:pStyle w:val="BodyText"/>
        <w:ind w:left="746" w:right="715"/>
        <w:jc w:val="center"/>
      </w:pPr>
      <w:r w:rsidRPr="006B5B15">
        <w:rPr>
          <w:position w:val="7"/>
          <w:sz w:val="13"/>
        </w:rPr>
        <w:t>1</w:t>
      </w:r>
      <w:r w:rsidRPr="006B5B15">
        <w:rPr>
          <w:spacing w:val="-3"/>
          <w:position w:val="7"/>
          <w:sz w:val="13"/>
        </w:rPr>
        <w:t xml:space="preserve"> </w:t>
      </w:r>
      <w:r w:rsidRPr="006B5B15">
        <w:t>Departemen</w:t>
      </w:r>
      <w:r w:rsidRPr="006B5B15">
        <w:rPr>
          <w:spacing w:val="-5"/>
        </w:rPr>
        <w:t xml:space="preserve"> </w:t>
      </w:r>
      <w:r w:rsidRPr="006B5B15">
        <w:t>Sumberdaya</w:t>
      </w:r>
      <w:r w:rsidRPr="006B5B15">
        <w:rPr>
          <w:spacing w:val="-3"/>
        </w:rPr>
        <w:t xml:space="preserve"> </w:t>
      </w:r>
      <w:r w:rsidRPr="006B5B15">
        <w:t>Akuatik,</w:t>
      </w:r>
      <w:r w:rsidRPr="006B5B15">
        <w:rPr>
          <w:spacing w:val="-4"/>
        </w:rPr>
        <w:t xml:space="preserve"> </w:t>
      </w:r>
      <w:r w:rsidRPr="006B5B15">
        <w:t>Fakultas</w:t>
      </w:r>
      <w:r w:rsidRPr="006B5B15">
        <w:rPr>
          <w:spacing w:val="-5"/>
        </w:rPr>
        <w:t xml:space="preserve"> </w:t>
      </w:r>
      <w:r w:rsidRPr="006B5B15">
        <w:t>Perikanan</w:t>
      </w:r>
      <w:r w:rsidRPr="006B5B15">
        <w:rPr>
          <w:spacing w:val="-4"/>
        </w:rPr>
        <w:t xml:space="preserve"> </w:t>
      </w:r>
      <w:r w:rsidRPr="006B5B15">
        <w:t>dan</w:t>
      </w:r>
      <w:r w:rsidRPr="006B5B15">
        <w:rPr>
          <w:spacing w:val="-6"/>
        </w:rPr>
        <w:t xml:space="preserve"> </w:t>
      </w:r>
      <w:r w:rsidRPr="006B5B15">
        <w:t>Ilmu</w:t>
      </w:r>
      <w:r w:rsidRPr="006B5B15">
        <w:rPr>
          <w:spacing w:val="-5"/>
        </w:rPr>
        <w:t xml:space="preserve"> </w:t>
      </w:r>
      <w:r w:rsidRPr="006B5B15">
        <w:t>Kelautan,</w:t>
      </w:r>
      <w:r w:rsidRPr="006B5B15">
        <w:rPr>
          <w:spacing w:val="-4"/>
        </w:rPr>
        <w:t xml:space="preserve"> </w:t>
      </w:r>
      <w:r w:rsidRPr="006B5B15">
        <w:t>Universitas</w:t>
      </w:r>
      <w:r w:rsidRPr="006B5B15">
        <w:rPr>
          <w:spacing w:val="-6"/>
        </w:rPr>
        <w:t xml:space="preserve"> </w:t>
      </w:r>
      <w:r w:rsidRPr="006B5B15">
        <w:t>Diponegoro</w:t>
      </w:r>
      <w:r w:rsidRPr="006B5B15">
        <w:rPr>
          <w:spacing w:val="-59"/>
        </w:rPr>
        <w:t xml:space="preserve"> </w:t>
      </w:r>
      <w:r w:rsidRPr="006B5B15">
        <w:t>Jl.</w:t>
      </w:r>
      <w:r w:rsidRPr="006B5B15">
        <w:rPr>
          <w:spacing w:val="-3"/>
        </w:rPr>
        <w:t xml:space="preserve"> </w:t>
      </w:r>
      <w:r w:rsidRPr="006B5B15">
        <w:t>Prof</w:t>
      </w:r>
      <w:r w:rsidRPr="006B5B15">
        <w:rPr>
          <w:spacing w:val="-4"/>
        </w:rPr>
        <w:t xml:space="preserve"> </w:t>
      </w:r>
      <w:r w:rsidRPr="006B5B15">
        <w:t>Soedarto</w:t>
      </w:r>
      <w:r w:rsidRPr="006B5B15">
        <w:rPr>
          <w:spacing w:val="-3"/>
        </w:rPr>
        <w:t xml:space="preserve"> </w:t>
      </w:r>
      <w:r w:rsidRPr="006B5B15">
        <w:t>SH,</w:t>
      </w:r>
      <w:r w:rsidRPr="006B5B15">
        <w:rPr>
          <w:spacing w:val="-3"/>
        </w:rPr>
        <w:t xml:space="preserve"> </w:t>
      </w:r>
      <w:r w:rsidRPr="006B5B15">
        <w:t>Tembalang, Semarang,</w:t>
      </w:r>
      <w:r w:rsidRPr="006B5B15">
        <w:rPr>
          <w:spacing w:val="-3"/>
        </w:rPr>
        <w:t xml:space="preserve"> </w:t>
      </w:r>
      <w:r w:rsidRPr="006B5B15">
        <w:t>Indonesia</w:t>
      </w:r>
      <w:r w:rsidRPr="006B5B15">
        <w:rPr>
          <w:spacing w:val="-2"/>
        </w:rPr>
        <w:t xml:space="preserve"> </w:t>
      </w:r>
      <w:r w:rsidRPr="006B5B15">
        <w:t>50275;</w:t>
      </w:r>
      <w:r w:rsidRPr="006B5B15">
        <w:rPr>
          <w:spacing w:val="-4"/>
        </w:rPr>
        <w:t xml:space="preserve"> </w:t>
      </w:r>
      <w:r w:rsidRPr="006B5B15">
        <w:t>Telephone/Fax:</w:t>
      </w:r>
      <w:r w:rsidRPr="006B5B15">
        <w:rPr>
          <w:spacing w:val="-2"/>
        </w:rPr>
        <w:t xml:space="preserve"> </w:t>
      </w:r>
      <w:r w:rsidRPr="006B5B15">
        <w:t>024-76480685</w:t>
      </w:r>
    </w:p>
    <w:p w14:paraId="3FC85A23" w14:textId="77777777" w:rsidR="006324AC" w:rsidRPr="006D7DF5" w:rsidRDefault="00023CD8" w:rsidP="006D7DF5">
      <w:pPr>
        <w:pStyle w:val="BodyText"/>
        <w:spacing w:line="480" w:lineRule="auto"/>
        <w:ind w:left="174" w:right="135"/>
        <w:jc w:val="center"/>
        <w:rPr>
          <w:lang w:val="en-US"/>
        </w:rPr>
      </w:pPr>
      <w:r w:rsidRPr="006B5B15">
        <w:t xml:space="preserve">Email: </w:t>
      </w:r>
      <w:hyperlink r:id="rId5" w:history="1">
        <w:r w:rsidR="006D7DF5" w:rsidRPr="00490782">
          <w:rPr>
            <w:rStyle w:val="Hyperlink"/>
            <w:u w:color="0462C1"/>
            <w:lang w:val="en-US"/>
          </w:rPr>
          <w:t>sulistiyaniheni0</w:t>
        </w:r>
        <w:r w:rsidR="006D7DF5" w:rsidRPr="00490782">
          <w:rPr>
            <w:rStyle w:val="Hyperlink"/>
            <w:u w:color="0462C1"/>
          </w:rPr>
          <w:t>@gmail.com</w:t>
        </w:r>
        <w:r w:rsidR="006D7DF5" w:rsidRPr="00490782">
          <w:rPr>
            <w:rStyle w:val="Hyperlink"/>
          </w:rPr>
          <w:t xml:space="preserve">, </w:t>
        </w:r>
      </w:hyperlink>
      <w:hyperlink r:id="rId6" w:history="1">
        <w:r w:rsidR="006D7DF5" w:rsidRPr="00490782">
          <w:rPr>
            <w:rStyle w:val="Hyperlink"/>
            <w:u w:color="0462C1"/>
          </w:rPr>
          <w:t>haeruddindaengmile@lecture.undip.co</w:t>
        </w:r>
        <w:r w:rsidR="006D7DF5" w:rsidRPr="00490782">
          <w:rPr>
            <w:rStyle w:val="Hyperlink"/>
            <w:u w:color="0462C1"/>
            <w:lang w:val="en-US"/>
          </w:rPr>
          <w:t>.</w:t>
        </w:r>
        <w:r w:rsidR="006D7DF5" w:rsidRPr="00490782">
          <w:rPr>
            <w:rStyle w:val="Hyperlink"/>
            <w:u w:color="0462C1"/>
          </w:rPr>
          <w:t>id</w:t>
        </w:r>
        <w:r w:rsidR="006D7DF5" w:rsidRPr="00490782">
          <w:rPr>
            <w:rStyle w:val="Hyperlink"/>
          </w:rPr>
          <w:t>,</w:t>
        </w:r>
        <w:r w:rsidR="006D7DF5" w:rsidRPr="00490782">
          <w:rPr>
            <w:rStyle w:val="Hyperlink"/>
            <w:lang w:val="en-US"/>
          </w:rPr>
          <w:t xml:space="preserve"> strudiyanti@yahoo.com</w:t>
        </w:r>
        <w:r w:rsidR="006D7DF5" w:rsidRPr="00490782">
          <w:rPr>
            <w:rStyle w:val="Hyperlink"/>
          </w:rPr>
          <w:t xml:space="preserve"> </w:t>
        </w:r>
      </w:hyperlink>
      <w:r w:rsidR="006D7DF5">
        <w:rPr>
          <w:rStyle w:val="Hyperlink"/>
          <w:color w:val="auto"/>
          <w:u w:color="0462C1"/>
          <w:lang w:val="en-US"/>
        </w:rPr>
        <w:t xml:space="preserve"> </w:t>
      </w:r>
    </w:p>
    <w:p w14:paraId="0436C204" w14:textId="77777777" w:rsidR="002759E4" w:rsidRPr="006B5B15" w:rsidRDefault="00023CD8">
      <w:pPr>
        <w:ind w:left="175" w:right="135"/>
        <w:jc w:val="center"/>
        <w:rPr>
          <w:b/>
        </w:rPr>
      </w:pPr>
      <w:r w:rsidRPr="006B5B15">
        <w:rPr>
          <w:b/>
        </w:rPr>
        <w:t>ABSTRAK</w:t>
      </w:r>
      <w:r w:rsidRPr="006B5B15">
        <w:rPr>
          <w:b/>
          <w:spacing w:val="-4"/>
        </w:rPr>
        <w:t xml:space="preserve"> </w:t>
      </w:r>
    </w:p>
    <w:p w14:paraId="43BDCA00" w14:textId="77777777" w:rsidR="002759E4" w:rsidRPr="006B5B15" w:rsidRDefault="002759E4">
      <w:pPr>
        <w:pStyle w:val="BodyText"/>
        <w:spacing w:before="11"/>
        <w:rPr>
          <w:b/>
          <w:sz w:val="19"/>
        </w:rPr>
      </w:pPr>
    </w:p>
    <w:p w14:paraId="49134BD4" w14:textId="77777777" w:rsidR="00321F33" w:rsidRPr="00321F33" w:rsidRDefault="00321F33" w:rsidP="00321F33">
      <w:pPr>
        <w:tabs>
          <w:tab w:val="left" w:pos="540"/>
        </w:tabs>
        <w:ind w:left="110"/>
        <w:jc w:val="both"/>
        <w:rPr>
          <w:rFonts w:eastAsiaTheme="minorHAnsi"/>
          <w:sz w:val="20"/>
          <w:szCs w:val="20"/>
          <w:lang w:val="en-US"/>
        </w:rPr>
      </w:pPr>
      <w:r w:rsidRPr="00321F33">
        <w:rPr>
          <w:sz w:val="20"/>
          <w:szCs w:val="20"/>
        </w:rPr>
        <w:t>Pantai Wates merupakan salah satu pantai yang ada di Kabupaten Rembang</w:t>
      </w:r>
      <w:r w:rsidRPr="00321F33">
        <w:rPr>
          <w:sz w:val="20"/>
          <w:szCs w:val="20"/>
          <w:lang w:val="id-ID"/>
        </w:rPr>
        <w:t xml:space="preserve"> </w:t>
      </w:r>
      <w:r w:rsidRPr="00321F33">
        <w:rPr>
          <w:sz w:val="20"/>
          <w:szCs w:val="20"/>
        </w:rPr>
        <w:t xml:space="preserve">yang menyuguhkan keindahan </w:t>
      </w:r>
      <w:r w:rsidRPr="00321F33">
        <w:rPr>
          <w:sz w:val="20"/>
          <w:szCs w:val="20"/>
          <w:lang w:val="id-ID"/>
        </w:rPr>
        <w:t xml:space="preserve">pantai </w:t>
      </w:r>
      <w:r w:rsidRPr="00321F33">
        <w:rPr>
          <w:sz w:val="20"/>
          <w:szCs w:val="20"/>
        </w:rPr>
        <w:t xml:space="preserve">pasir putih dan pohon cemara laut. Kawasan sekitar Pantai Wates digunakan sebagai tempat wisata, tambak, pemukiman dan industri perikanan. Limbah industri perikanan yang dihasilkan langsung dialirkan ke badan air Pantai Wates mengakibatkan adanya penurunan kualitas perairan. </w:t>
      </w:r>
      <w:r w:rsidRPr="00321F33">
        <w:rPr>
          <w:sz w:val="20"/>
          <w:szCs w:val="20"/>
          <w:lang w:val="id-ID"/>
        </w:rPr>
        <w:t>P</w:t>
      </w:r>
      <w:r w:rsidRPr="00321F33">
        <w:rPr>
          <w:sz w:val="20"/>
          <w:szCs w:val="20"/>
        </w:rPr>
        <w:t xml:space="preserve">enelitian ini </w:t>
      </w:r>
      <w:r w:rsidRPr="00321F33">
        <w:rPr>
          <w:sz w:val="20"/>
          <w:szCs w:val="20"/>
          <w:lang w:val="id-ID"/>
        </w:rPr>
        <w:t>bertujuan</w:t>
      </w:r>
      <w:r w:rsidRPr="00321F33">
        <w:rPr>
          <w:sz w:val="20"/>
          <w:szCs w:val="20"/>
        </w:rPr>
        <w:t xml:space="preserve"> mengetahui konsentrasi TSS, BOD, COD, Amonia, minyak dan lemak yang </w:t>
      </w:r>
      <w:r w:rsidRPr="00321F33">
        <w:rPr>
          <w:sz w:val="20"/>
          <w:szCs w:val="20"/>
          <w:lang w:val="id-ID"/>
        </w:rPr>
        <w:t>digunakan sebagai variabel penilaia</w:t>
      </w:r>
      <w:r w:rsidRPr="00321F33">
        <w:rPr>
          <w:sz w:val="20"/>
          <w:szCs w:val="20"/>
        </w:rPr>
        <w:t xml:space="preserve">n status pencemaran air di Pantai Wates berdasarkan PP Nomor 22 Tahun 2021. Penelitian dilaksanakan pada bulan Februari 2022 </w:t>
      </w:r>
      <w:r w:rsidRPr="00321F33">
        <w:rPr>
          <w:sz w:val="20"/>
          <w:szCs w:val="20"/>
          <w:lang w:val="id-ID"/>
        </w:rPr>
        <w:t xml:space="preserve">menggunakan metode </w:t>
      </w:r>
      <w:r w:rsidRPr="00321F33">
        <w:rPr>
          <w:sz w:val="20"/>
          <w:szCs w:val="20"/>
        </w:rPr>
        <w:t>studi kasus</w:t>
      </w:r>
      <w:r w:rsidRPr="00321F33">
        <w:rPr>
          <w:sz w:val="20"/>
          <w:szCs w:val="20"/>
          <w:lang w:val="id-ID"/>
        </w:rPr>
        <w:t>.  S</w:t>
      </w:r>
      <w:r w:rsidRPr="00321F33">
        <w:rPr>
          <w:sz w:val="20"/>
          <w:szCs w:val="20"/>
        </w:rPr>
        <w:t xml:space="preserve">ampel air diambil dari 3 stasiun dengan 2 kali pengulangan. Kualitas air yang diukur secara </w:t>
      </w:r>
      <w:r w:rsidRPr="00321F33">
        <w:rPr>
          <w:i/>
          <w:sz w:val="20"/>
          <w:szCs w:val="20"/>
        </w:rPr>
        <w:t>in situ</w:t>
      </w:r>
      <w:r w:rsidRPr="00321F33">
        <w:rPr>
          <w:sz w:val="20"/>
          <w:szCs w:val="20"/>
        </w:rPr>
        <w:t xml:space="preserve"> meliputi kedalaman, pH, DO, suhu, salinitas, arah dan kecepatan arus. Pengukuran </w:t>
      </w:r>
      <w:r w:rsidRPr="00321F33">
        <w:rPr>
          <w:i/>
          <w:sz w:val="20"/>
          <w:szCs w:val="20"/>
        </w:rPr>
        <w:t>ex situ</w:t>
      </w:r>
      <w:r w:rsidRPr="00321F33">
        <w:rPr>
          <w:sz w:val="20"/>
          <w:szCs w:val="20"/>
        </w:rPr>
        <w:t xml:space="preserve"> meliputi TSS, BOD, COD, Amonia, minyak dan lemak dengan pengujian di laboratorium Teknik Lingkungan, Universitas Diponegoro. Hasil penelitian kualitas air menunjukkan semua variabel melebihi baku mutu air laut untuk wisata bahari, sedangkan peruntukan biota laut semua variabel melebihi baku mutu kecuali variabel amonia masih memenuhi baku mutu untuk biota laut. Indeks Pencemaran pada sampling ke-1 sebesar 7,17 dan sampling ke-2 </w:t>
      </w:r>
      <w:r w:rsidRPr="00321F33">
        <w:rPr>
          <w:sz w:val="20"/>
          <w:szCs w:val="20"/>
          <w:lang w:val="id-ID"/>
        </w:rPr>
        <w:t>sebesar</w:t>
      </w:r>
      <w:r w:rsidRPr="00321F33">
        <w:rPr>
          <w:sz w:val="20"/>
          <w:szCs w:val="20"/>
        </w:rPr>
        <w:t xml:space="preserve"> 8,67. Nilai tersebut menunjukkan bahwa perairan Pantai Wates tergolong tercemar sedang saat pasang purnama dan pasang perbani. Hasil analisis rasio BOD/COD menunjukkan bahan pencemar bersifat </w:t>
      </w:r>
      <w:r w:rsidRPr="00321F33">
        <w:rPr>
          <w:i/>
          <w:sz w:val="20"/>
          <w:szCs w:val="20"/>
        </w:rPr>
        <w:t>biodegradable</w:t>
      </w:r>
      <w:r w:rsidRPr="00321F33">
        <w:rPr>
          <w:sz w:val="20"/>
          <w:szCs w:val="20"/>
        </w:rPr>
        <w:t xml:space="preserve"> dengan nilai rasio BOD/COD pada sampling ke-1 dan sampling ke-2 sebesar 0,31.</w:t>
      </w:r>
    </w:p>
    <w:p w14:paraId="0450DE02" w14:textId="77777777" w:rsidR="00321F33" w:rsidRPr="00321F33" w:rsidRDefault="00321F33" w:rsidP="00321F33">
      <w:pPr>
        <w:tabs>
          <w:tab w:val="left" w:pos="5760"/>
        </w:tabs>
        <w:ind w:left="110"/>
        <w:jc w:val="both"/>
        <w:rPr>
          <w:sz w:val="20"/>
          <w:szCs w:val="20"/>
        </w:rPr>
      </w:pPr>
    </w:p>
    <w:p w14:paraId="2D61ABF9" w14:textId="77777777" w:rsidR="00321F33" w:rsidRPr="00321F33" w:rsidRDefault="00321F33" w:rsidP="00321F33">
      <w:pPr>
        <w:tabs>
          <w:tab w:val="left" w:pos="5760"/>
        </w:tabs>
        <w:ind w:left="110"/>
        <w:jc w:val="both"/>
        <w:rPr>
          <w:sz w:val="20"/>
          <w:szCs w:val="20"/>
        </w:rPr>
      </w:pPr>
      <w:r w:rsidRPr="00321F33">
        <w:rPr>
          <w:b/>
          <w:sz w:val="20"/>
          <w:szCs w:val="20"/>
        </w:rPr>
        <w:t>Kata Kunci</w:t>
      </w:r>
      <w:r w:rsidRPr="00321F33">
        <w:rPr>
          <w:sz w:val="20"/>
          <w:szCs w:val="20"/>
        </w:rPr>
        <w:t>: Baku Mutu, Indeks Pencemaran, Pantai Wates, Rasio BOD/COD</w:t>
      </w:r>
    </w:p>
    <w:p w14:paraId="7DCFF721" w14:textId="77777777" w:rsidR="002759E4" w:rsidRPr="006B5B15" w:rsidRDefault="002759E4">
      <w:pPr>
        <w:pStyle w:val="BodyText"/>
        <w:spacing w:before="1"/>
        <w:rPr>
          <w:sz w:val="19"/>
        </w:rPr>
      </w:pPr>
    </w:p>
    <w:p w14:paraId="2E489E82" w14:textId="5D8EC1C6" w:rsidR="006324AC" w:rsidRPr="00A40060" w:rsidRDefault="00023CD8">
      <w:pPr>
        <w:ind w:left="175" w:right="135"/>
        <w:jc w:val="center"/>
        <w:rPr>
          <w:b/>
          <w:w w:val="95"/>
          <w:sz w:val="23"/>
          <w:lang w:val="en-US"/>
        </w:rPr>
      </w:pPr>
      <w:r w:rsidRPr="006B5B15">
        <w:rPr>
          <w:b/>
          <w:w w:val="95"/>
          <w:sz w:val="23"/>
        </w:rPr>
        <w:t>ABSTRAC</w:t>
      </w:r>
      <w:r w:rsidR="00A40060">
        <w:rPr>
          <w:b/>
          <w:w w:val="95"/>
          <w:sz w:val="23"/>
          <w:lang w:val="en-US"/>
        </w:rPr>
        <w:t>T</w:t>
      </w:r>
    </w:p>
    <w:p w14:paraId="32F59BE6" w14:textId="77777777" w:rsidR="002759E4" w:rsidRPr="006B5B15" w:rsidRDefault="00023CD8">
      <w:pPr>
        <w:ind w:left="175" w:right="135"/>
        <w:jc w:val="center"/>
        <w:rPr>
          <w:b/>
          <w:sz w:val="23"/>
        </w:rPr>
      </w:pPr>
      <w:r w:rsidRPr="006B5B15">
        <w:rPr>
          <w:b/>
          <w:w w:val="95"/>
          <w:sz w:val="23"/>
        </w:rPr>
        <w:t xml:space="preserve"> </w:t>
      </w:r>
    </w:p>
    <w:p w14:paraId="0C5ACD11" w14:textId="77777777" w:rsidR="00321F33" w:rsidRPr="00321F33" w:rsidRDefault="00321F33" w:rsidP="00321F33">
      <w:pPr>
        <w:tabs>
          <w:tab w:val="left" w:pos="4536"/>
        </w:tabs>
        <w:ind w:left="110"/>
        <w:jc w:val="both"/>
        <w:rPr>
          <w:rFonts w:eastAsiaTheme="minorHAnsi"/>
          <w:bCs/>
          <w:i/>
          <w:sz w:val="20"/>
          <w:szCs w:val="20"/>
          <w:lang w:val="en-US"/>
        </w:rPr>
      </w:pPr>
      <w:r w:rsidRPr="00321F33">
        <w:rPr>
          <w:bCs/>
          <w:i/>
          <w:iCs/>
          <w:sz w:val="20"/>
          <w:szCs w:val="20"/>
        </w:rPr>
        <w:t xml:space="preserve">Wates Beach </w:t>
      </w:r>
      <w:r w:rsidRPr="00321F33">
        <w:rPr>
          <w:bCs/>
          <w:i/>
          <w:sz w:val="20"/>
          <w:szCs w:val="20"/>
        </w:rPr>
        <w:t xml:space="preserve">is one beaches in the Rembang Regency which presents the beauty of white sand and sea pine trees. The </w:t>
      </w:r>
      <w:r w:rsidRPr="00321F33">
        <w:rPr>
          <w:bCs/>
          <w:i/>
          <w:iCs/>
          <w:sz w:val="20"/>
          <w:szCs w:val="20"/>
        </w:rPr>
        <w:t>Beach</w:t>
      </w:r>
      <w:r w:rsidRPr="00321F33">
        <w:rPr>
          <w:bCs/>
          <w:i/>
          <w:sz w:val="20"/>
          <w:szCs w:val="20"/>
        </w:rPr>
        <w:t xml:space="preserve"> is also used for tourist attraction, industrial village, fishpond as well as fishery. The fishery industry discharge directly goes to the </w:t>
      </w:r>
      <w:r w:rsidRPr="00321F33">
        <w:rPr>
          <w:bCs/>
          <w:i/>
          <w:iCs/>
          <w:sz w:val="20"/>
          <w:szCs w:val="20"/>
        </w:rPr>
        <w:t xml:space="preserve">Wates Beach </w:t>
      </w:r>
      <w:r w:rsidRPr="00321F33">
        <w:rPr>
          <w:bCs/>
          <w:i/>
          <w:sz w:val="20"/>
          <w:szCs w:val="20"/>
        </w:rPr>
        <w:t xml:space="preserve">area which decreasing water quality. This research aims to know the TSS, BOD, COD, Amonia, oil and fat as assessment variables in analyzing water pollution status in the </w:t>
      </w:r>
      <w:r w:rsidRPr="00321F33">
        <w:rPr>
          <w:bCs/>
          <w:i/>
          <w:iCs/>
          <w:sz w:val="20"/>
          <w:szCs w:val="20"/>
        </w:rPr>
        <w:t>Wates Beach</w:t>
      </w:r>
      <w:r w:rsidRPr="00321F33">
        <w:rPr>
          <w:bCs/>
          <w:i/>
          <w:sz w:val="20"/>
          <w:szCs w:val="20"/>
        </w:rPr>
        <w:t xml:space="preserve"> based on the </w:t>
      </w:r>
      <w:r w:rsidRPr="00321F33">
        <w:rPr>
          <w:bCs/>
          <w:i/>
          <w:iCs/>
          <w:sz w:val="20"/>
          <w:szCs w:val="20"/>
        </w:rPr>
        <w:t>Government Regulation Number 22 of 2021</w:t>
      </w:r>
      <w:r w:rsidRPr="00321F33">
        <w:rPr>
          <w:bCs/>
          <w:i/>
          <w:sz w:val="20"/>
          <w:szCs w:val="20"/>
        </w:rPr>
        <w:t xml:space="preserve">. The research was held in February 2022 with a case study method. The water sample was taken from 3 stations with 2 repetitions. The water’s qualities that measured with </w:t>
      </w:r>
      <w:r w:rsidRPr="00321F33">
        <w:rPr>
          <w:bCs/>
          <w:i/>
          <w:iCs/>
          <w:sz w:val="20"/>
          <w:szCs w:val="20"/>
        </w:rPr>
        <w:t xml:space="preserve">in situ </w:t>
      </w:r>
      <w:r w:rsidRPr="00321F33">
        <w:rPr>
          <w:bCs/>
          <w:i/>
          <w:sz w:val="20"/>
          <w:szCs w:val="20"/>
        </w:rPr>
        <w:t xml:space="preserve">including the depth of water, pH, DO, temperature, salinity, the flow’s speed and direction, while the ex situ measurements include TSS, BOD, COD, Ammonia, oil and fat by testing in the </w:t>
      </w:r>
      <w:r w:rsidRPr="00321F33">
        <w:rPr>
          <w:bCs/>
          <w:i/>
          <w:iCs/>
          <w:sz w:val="20"/>
          <w:szCs w:val="20"/>
        </w:rPr>
        <w:t>Environmental Engineering’s</w:t>
      </w:r>
      <w:r w:rsidRPr="00321F33">
        <w:rPr>
          <w:bCs/>
          <w:i/>
          <w:sz w:val="20"/>
          <w:szCs w:val="20"/>
        </w:rPr>
        <w:t xml:space="preserve"> laboratories of Universitas Diponegoro. The result of this study shows that all variables surpass the sea water’s quality standard for marine tourism. For the marine life, all variables also surpass the quality standard except the Amonia which still meets the quality standard for marine life. The pollution index in sample-1 is 7,17 while in sample-2 is 8,67. The score shows that the </w:t>
      </w:r>
      <w:r w:rsidRPr="00321F33">
        <w:rPr>
          <w:bCs/>
          <w:i/>
          <w:iCs/>
          <w:sz w:val="20"/>
          <w:szCs w:val="20"/>
        </w:rPr>
        <w:t xml:space="preserve">Wates Beach </w:t>
      </w:r>
      <w:r w:rsidRPr="00321F33">
        <w:rPr>
          <w:bCs/>
          <w:i/>
          <w:sz w:val="20"/>
          <w:szCs w:val="20"/>
        </w:rPr>
        <w:t xml:space="preserve">was considered polluted when spring tide and neap tide. The result of the BOD/COD ratio showed that the pollutant was </w:t>
      </w:r>
      <w:r w:rsidRPr="00321F33">
        <w:rPr>
          <w:i/>
          <w:sz w:val="20"/>
          <w:szCs w:val="20"/>
        </w:rPr>
        <w:t xml:space="preserve">biodegradable </w:t>
      </w:r>
      <w:r w:rsidRPr="00321F33">
        <w:rPr>
          <w:i/>
          <w:iCs/>
          <w:sz w:val="20"/>
          <w:szCs w:val="20"/>
        </w:rPr>
        <w:t xml:space="preserve">with the ratio value in the first sampling and second sampling was 0,31. </w:t>
      </w:r>
    </w:p>
    <w:p w14:paraId="1279B1B0" w14:textId="77777777" w:rsidR="00321F33" w:rsidRPr="00321F33" w:rsidRDefault="00321F33" w:rsidP="00321F33">
      <w:pPr>
        <w:tabs>
          <w:tab w:val="left" w:pos="4536"/>
        </w:tabs>
        <w:ind w:left="110"/>
        <w:jc w:val="both"/>
        <w:rPr>
          <w:bCs/>
          <w:i/>
          <w:iCs/>
          <w:sz w:val="20"/>
          <w:szCs w:val="20"/>
        </w:rPr>
      </w:pPr>
    </w:p>
    <w:p w14:paraId="61A25C5E" w14:textId="77777777" w:rsidR="00321F33" w:rsidRPr="00321F33" w:rsidRDefault="00321F33" w:rsidP="00321F33">
      <w:pPr>
        <w:tabs>
          <w:tab w:val="left" w:pos="5760"/>
        </w:tabs>
        <w:ind w:left="110"/>
        <w:jc w:val="both"/>
        <w:rPr>
          <w:i/>
          <w:sz w:val="20"/>
          <w:szCs w:val="20"/>
        </w:rPr>
      </w:pPr>
      <w:r w:rsidRPr="00321F33">
        <w:rPr>
          <w:b/>
          <w:bCs/>
          <w:i/>
          <w:sz w:val="20"/>
          <w:szCs w:val="20"/>
        </w:rPr>
        <w:t>Keywords</w:t>
      </w:r>
      <w:r w:rsidRPr="00321F33">
        <w:rPr>
          <w:i/>
          <w:sz w:val="20"/>
          <w:szCs w:val="20"/>
        </w:rPr>
        <w:t>: Pollution Index, Quality Standards, Ratio BOD/COD, Wates Beach</w:t>
      </w:r>
    </w:p>
    <w:p w14:paraId="5677E513" w14:textId="77777777" w:rsidR="00601C6A" w:rsidRPr="006B5B15" w:rsidRDefault="00601C6A" w:rsidP="00146BC3">
      <w:pPr>
        <w:tabs>
          <w:tab w:val="left" w:pos="5760"/>
        </w:tabs>
        <w:ind w:left="110"/>
        <w:jc w:val="both"/>
        <w:rPr>
          <w:i/>
          <w:sz w:val="20"/>
          <w:szCs w:val="20"/>
        </w:rPr>
      </w:pPr>
    </w:p>
    <w:p w14:paraId="509BE6BD" w14:textId="77777777" w:rsidR="002759E4" w:rsidRPr="006B5B15" w:rsidRDefault="002759E4">
      <w:pPr>
        <w:pStyle w:val="BodyText"/>
        <w:spacing w:before="9"/>
        <w:rPr>
          <w:sz w:val="13"/>
        </w:rPr>
      </w:pPr>
    </w:p>
    <w:p w14:paraId="07EFBC87" w14:textId="77777777" w:rsidR="002759E4" w:rsidRPr="006B5B15" w:rsidRDefault="002759E4">
      <w:pPr>
        <w:rPr>
          <w:sz w:val="13"/>
        </w:rPr>
        <w:sectPr w:rsidR="002759E4" w:rsidRPr="006B5B15">
          <w:type w:val="continuous"/>
          <w:pgSz w:w="11910" w:h="16840"/>
          <w:pgMar w:top="920" w:right="900" w:bottom="280" w:left="860" w:header="720" w:footer="720" w:gutter="0"/>
          <w:cols w:space="720"/>
        </w:sectPr>
      </w:pPr>
    </w:p>
    <w:p w14:paraId="13202EAF" w14:textId="77777777" w:rsidR="00BB6311" w:rsidRPr="006B5B15" w:rsidRDefault="00BB6311">
      <w:pPr>
        <w:pStyle w:val="Heading1"/>
        <w:spacing w:before="100"/>
      </w:pPr>
    </w:p>
    <w:p w14:paraId="54ABA66C" w14:textId="77777777" w:rsidR="00BB6311" w:rsidRPr="006B5B15" w:rsidRDefault="00BB6311">
      <w:pPr>
        <w:pStyle w:val="Heading1"/>
        <w:spacing w:before="100"/>
      </w:pPr>
    </w:p>
    <w:p w14:paraId="581C5593" w14:textId="77777777" w:rsidR="00BB6311" w:rsidRPr="006B5B15" w:rsidRDefault="00BB6311">
      <w:pPr>
        <w:pStyle w:val="Heading1"/>
        <w:spacing w:before="100"/>
      </w:pPr>
    </w:p>
    <w:p w14:paraId="520BC829" w14:textId="77777777" w:rsidR="00BB6311" w:rsidRPr="006B5B15" w:rsidRDefault="00BB6311">
      <w:pPr>
        <w:pStyle w:val="Heading1"/>
        <w:spacing w:before="100"/>
      </w:pPr>
    </w:p>
    <w:p w14:paraId="290AABFB" w14:textId="77777777" w:rsidR="00BB6311" w:rsidRPr="006B5B15" w:rsidRDefault="00BB6311">
      <w:pPr>
        <w:pStyle w:val="Heading1"/>
        <w:spacing w:before="100"/>
      </w:pPr>
    </w:p>
    <w:p w14:paraId="197482EB" w14:textId="77777777" w:rsidR="00BB6311" w:rsidRPr="006B5B15" w:rsidRDefault="00BB6311">
      <w:pPr>
        <w:pStyle w:val="Heading1"/>
        <w:spacing w:before="100"/>
      </w:pPr>
    </w:p>
    <w:p w14:paraId="25CF36D5" w14:textId="77777777" w:rsidR="00BB6311" w:rsidRPr="006B5B15" w:rsidRDefault="00BB6311">
      <w:pPr>
        <w:pStyle w:val="Heading1"/>
        <w:spacing w:before="100"/>
      </w:pPr>
    </w:p>
    <w:p w14:paraId="018D2773" w14:textId="2CBE5B2A" w:rsidR="00BB6311" w:rsidRDefault="00BB6311" w:rsidP="00BB6311">
      <w:pPr>
        <w:pStyle w:val="Heading1"/>
        <w:spacing w:before="100"/>
        <w:ind w:left="0"/>
      </w:pPr>
    </w:p>
    <w:p w14:paraId="1DBC2C02" w14:textId="56F102B8" w:rsidR="00321F33" w:rsidRDefault="00321F33" w:rsidP="00BB6311">
      <w:pPr>
        <w:pStyle w:val="Heading1"/>
        <w:spacing w:before="100"/>
        <w:ind w:left="0"/>
      </w:pPr>
    </w:p>
    <w:p w14:paraId="77023D4F" w14:textId="2BF6F231" w:rsidR="00321F33" w:rsidRDefault="00321F33" w:rsidP="00BB6311">
      <w:pPr>
        <w:pStyle w:val="Heading1"/>
        <w:spacing w:before="100"/>
        <w:ind w:left="0"/>
      </w:pPr>
    </w:p>
    <w:p w14:paraId="3BB60A42" w14:textId="51B45241" w:rsidR="00321F33" w:rsidRDefault="00321F33" w:rsidP="00BB6311">
      <w:pPr>
        <w:pStyle w:val="Heading1"/>
        <w:spacing w:before="100"/>
        <w:ind w:left="0"/>
      </w:pPr>
    </w:p>
    <w:p w14:paraId="0DC45E02" w14:textId="7C963717" w:rsidR="00321F33" w:rsidRDefault="00321F33" w:rsidP="00BB6311">
      <w:pPr>
        <w:pStyle w:val="Heading1"/>
        <w:spacing w:before="100"/>
        <w:ind w:left="0"/>
      </w:pPr>
    </w:p>
    <w:p w14:paraId="29CC69D0" w14:textId="22041F2A" w:rsidR="00321F33" w:rsidRDefault="00321F33" w:rsidP="00BB6311">
      <w:pPr>
        <w:pStyle w:val="Heading1"/>
        <w:spacing w:before="100"/>
        <w:ind w:left="0"/>
      </w:pPr>
    </w:p>
    <w:p w14:paraId="132C567E" w14:textId="26FED726" w:rsidR="00321F33" w:rsidRDefault="00321F33" w:rsidP="00BB6311">
      <w:pPr>
        <w:pStyle w:val="Heading1"/>
        <w:spacing w:before="100"/>
        <w:ind w:left="0"/>
      </w:pPr>
    </w:p>
    <w:p w14:paraId="19908933" w14:textId="58EC2C70" w:rsidR="00321F33" w:rsidRDefault="00321F33" w:rsidP="00BB6311">
      <w:pPr>
        <w:pStyle w:val="Heading1"/>
        <w:spacing w:before="100"/>
        <w:ind w:left="0"/>
      </w:pPr>
    </w:p>
    <w:p w14:paraId="7771A664" w14:textId="77777777" w:rsidR="00321F33" w:rsidRPr="006B5B15" w:rsidRDefault="00321F33" w:rsidP="00BB6311">
      <w:pPr>
        <w:pStyle w:val="Heading1"/>
        <w:spacing w:before="100"/>
        <w:ind w:left="0"/>
      </w:pPr>
      <w:bookmarkStart w:id="0" w:name="_GoBack"/>
      <w:bookmarkEnd w:id="0"/>
    </w:p>
    <w:p w14:paraId="1F2F16A9" w14:textId="77777777" w:rsidR="002759E4" w:rsidRPr="006B5B15" w:rsidRDefault="00023CD8" w:rsidP="00B93B81">
      <w:pPr>
        <w:pStyle w:val="Heading1"/>
        <w:spacing w:before="100"/>
      </w:pPr>
      <w:r w:rsidRPr="006B5B15">
        <w:lastRenderedPageBreak/>
        <w:t>PENDAHULUAN</w:t>
      </w:r>
      <w:r w:rsidRPr="006B5B15">
        <w:rPr>
          <w:spacing w:val="-3"/>
        </w:rPr>
        <w:t xml:space="preserve"> </w:t>
      </w:r>
    </w:p>
    <w:p w14:paraId="6C85077E" w14:textId="09290FCF" w:rsidR="008837D7" w:rsidRPr="00AE2491" w:rsidRDefault="007C3F41" w:rsidP="008837D7">
      <w:pPr>
        <w:pStyle w:val="BodyText"/>
        <w:ind w:left="131" w:right="40" w:firstLine="540"/>
        <w:jc w:val="both"/>
        <w:rPr>
          <w:lang w:val="en-US"/>
        </w:rPr>
      </w:pPr>
      <w:r w:rsidRPr="00AE2491">
        <w:rPr>
          <w:lang w:val="en-US"/>
        </w:rPr>
        <w:t xml:space="preserve">Pantai Wates merupakan salah satu pantai yang berada di Kabupaten Rembang, Jawa Tengah. </w:t>
      </w:r>
      <w:r w:rsidR="008837D7" w:rsidRPr="00AE2491">
        <w:rPr>
          <w:lang w:val="en-US"/>
        </w:rPr>
        <w:t>Pohon cemara laut yang tumbuh di sepanjang pantai serta keindahan pasir be</w:t>
      </w:r>
      <w:r w:rsidR="005E7A6E" w:rsidRPr="00AE2491">
        <w:rPr>
          <w:lang w:val="en-US"/>
        </w:rPr>
        <w:t>r</w:t>
      </w:r>
      <w:r w:rsidR="008837D7" w:rsidRPr="00AE2491">
        <w:rPr>
          <w:lang w:val="en-US"/>
        </w:rPr>
        <w:t xml:space="preserve">warna putih menjadi faktor </w:t>
      </w:r>
      <w:r w:rsidR="00836F86" w:rsidRPr="00AE2491">
        <w:rPr>
          <w:lang w:val="id-ID"/>
        </w:rPr>
        <w:t xml:space="preserve">penarik, sehingga </w:t>
      </w:r>
      <w:r w:rsidR="008837D7" w:rsidRPr="00AE2491">
        <w:rPr>
          <w:lang w:val="en-US"/>
        </w:rPr>
        <w:t xml:space="preserve">Pantai Wates banyak dikunjungi oleh wisatawan lokal maupun daerah lain. Berdasarkan data dari pengelola Pantai Wates, jumlah pengunjung mencapai 5 </w:t>
      </w:r>
      <w:r w:rsidR="00F95C78" w:rsidRPr="00AE2491">
        <w:rPr>
          <w:lang w:val="en-US"/>
        </w:rPr>
        <w:t>-</w:t>
      </w:r>
      <w:r w:rsidR="008837D7" w:rsidRPr="00AE2491">
        <w:rPr>
          <w:lang w:val="en-US"/>
        </w:rPr>
        <w:t xml:space="preserve"> 70 ribu dalam satu bulan. Jumlah tersebut meningkat ketika libur nasional seperti libur lebaran, dimana dalam waktu 10 hari mampu mencapai 50 ribu wisatawan. </w:t>
      </w:r>
      <w:r w:rsidR="008837D7" w:rsidRPr="00AE2491">
        <w:t xml:space="preserve">Meningkatnya jumlah pengunjung didukung dengan fasilitas seperti warung makan, </w:t>
      </w:r>
      <w:r w:rsidR="008837D7" w:rsidRPr="00AE2491">
        <w:rPr>
          <w:lang w:val="en-US"/>
        </w:rPr>
        <w:t>penyewaan alat snorkeling, kolam renang</w:t>
      </w:r>
      <w:r w:rsidR="00F95C78" w:rsidRPr="00AE2491">
        <w:rPr>
          <w:lang w:val="en-US"/>
        </w:rPr>
        <w:t xml:space="preserve"> </w:t>
      </w:r>
      <w:r w:rsidR="008837D7" w:rsidRPr="00AE2491">
        <w:rPr>
          <w:lang w:val="en-US"/>
        </w:rPr>
        <w:t xml:space="preserve">serta spot foto yang dapat digunakan wisatawan secara gratis. </w:t>
      </w:r>
      <w:r w:rsidR="000C4545" w:rsidRPr="00AE2491">
        <w:rPr>
          <w:lang w:val="en-US"/>
        </w:rPr>
        <w:t xml:space="preserve">Adanya obyek </w:t>
      </w:r>
      <w:r w:rsidR="00F37A10" w:rsidRPr="00AE2491">
        <w:rPr>
          <w:lang w:val="en-US"/>
        </w:rPr>
        <w:t>wisata</w:t>
      </w:r>
      <w:r w:rsidR="000C4545" w:rsidRPr="00AE2491">
        <w:rPr>
          <w:lang w:val="en-US"/>
        </w:rPr>
        <w:t xml:space="preserve"> </w:t>
      </w:r>
      <w:r w:rsidR="001F39AE" w:rsidRPr="00AE2491">
        <w:rPr>
          <w:lang w:val="en-US"/>
        </w:rPr>
        <w:t>bahari</w:t>
      </w:r>
      <w:r w:rsidR="000C4545" w:rsidRPr="00AE2491">
        <w:rPr>
          <w:lang w:val="en-US"/>
        </w:rPr>
        <w:t xml:space="preserve"> </w:t>
      </w:r>
      <w:r w:rsidR="00F37A10" w:rsidRPr="00AE2491">
        <w:rPr>
          <w:lang w:val="en-US"/>
        </w:rPr>
        <w:t xml:space="preserve">mampu </w:t>
      </w:r>
      <w:r w:rsidR="000C4545" w:rsidRPr="00AE2491">
        <w:rPr>
          <w:lang w:val="en-US"/>
        </w:rPr>
        <w:t xml:space="preserve">memberikan dampak yang positif bagi masyarakat seperti </w:t>
      </w:r>
      <w:r w:rsidR="00F37A10" w:rsidRPr="00AE2491">
        <w:rPr>
          <w:lang w:val="en-US"/>
        </w:rPr>
        <w:t>meningkatkan perekonomian masyarakat</w:t>
      </w:r>
      <w:r w:rsidR="001F39AE" w:rsidRPr="00AE2491">
        <w:rPr>
          <w:lang w:val="en-US"/>
        </w:rPr>
        <w:t xml:space="preserve"> serta pendapatan daerah (Adhiyaksa dan Sukmawati, 2021).</w:t>
      </w:r>
    </w:p>
    <w:p w14:paraId="467D57A9" w14:textId="42A14086" w:rsidR="003C7C70" w:rsidRDefault="00C22DA5" w:rsidP="008837D7">
      <w:pPr>
        <w:pStyle w:val="BodyText"/>
        <w:ind w:left="131" w:right="40" w:firstLine="540"/>
        <w:jc w:val="both"/>
        <w:rPr>
          <w:lang w:val="en-US"/>
        </w:rPr>
      </w:pPr>
      <w:r w:rsidRPr="00AE2491">
        <w:rPr>
          <w:lang w:val="en-US"/>
        </w:rPr>
        <w:t xml:space="preserve">Selain kegiatan wisata, daerah sekitar Pantai Wates dimanfaatkan untuk kegiatan </w:t>
      </w:r>
      <w:r w:rsidR="007C3F41" w:rsidRPr="00AE2491">
        <w:rPr>
          <w:lang w:val="en-US"/>
        </w:rPr>
        <w:t xml:space="preserve">industri perikanan, pemukiman </w:t>
      </w:r>
      <w:r w:rsidRPr="00AE2491">
        <w:rPr>
          <w:lang w:val="en-US"/>
        </w:rPr>
        <w:t xml:space="preserve">penduduk </w:t>
      </w:r>
      <w:r w:rsidR="007C3F41" w:rsidRPr="00AE2491">
        <w:rPr>
          <w:lang w:val="en-US"/>
        </w:rPr>
        <w:t xml:space="preserve">serta tambak. </w:t>
      </w:r>
      <w:r w:rsidR="00436605" w:rsidRPr="00AE2491">
        <w:rPr>
          <w:lang w:val="en-US"/>
        </w:rPr>
        <w:t>Banyaknya permintaan dari masyarakat terkait produk olahan ikan</w:t>
      </w:r>
      <w:r w:rsidR="00077F4B" w:rsidRPr="00AE2491">
        <w:rPr>
          <w:lang w:val="en-US"/>
        </w:rPr>
        <w:t>, bahan baku yang mudah didapatkan serta lokasi yang strategis menjadi faktor didirikannya</w:t>
      </w:r>
      <w:r w:rsidR="00D16374" w:rsidRPr="00AE2491">
        <w:rPr>
          <w:lang w:val="id-ID"/>
        </w:rPr>
        <w:t xml:space="preserve"> beberapa</w:t>
      </w:r>
      <w:r w:rsidR="00077F4B" w:rsidRPr="00AE2491">
        <w:rPr>
          <w:lang w:val="en-US"/>
        </w:rPr>
        <w:t xml:space="preserve"> industri perikanan di sekitar Pantai Wates</w:t>
      </w:r>
      <w:r w:rsidR="00D16374" w:rsidRPr="00AE2491">
        <w:rPr>
          <w:lang w:val="id-ID"/>
        </w:rPr>
        <w:t>,</w:t>
      </w:r>
      <w:r w:rsidR="00077F4B" w:rsidRPr="00AE2491">
        <w:rPr>
          <w:lang w:val="en-US"/>
        </w:rPr>
        <w:t xml:space="preserve"> baik skala besar maupun </w:t>
      </w:r>
      <w:r w:rsidR="003C7C70" w:rsidRPr="00AE2491">
        <w:rPr>
          <w:lang w:val="en-US"/>
        </w:rPr>
        <w:t>skala rumah tangga</w:t>
      </w:r>
      <w:r w:rsidR="007C3F41" w:rsidRPr="00AE2491">
        <w:rPr>
          <w:lang w:val="en-US"/>
        </w:rPr>
        <w:t>. Menurut Pamungkas (2016)</w:t>
      </w:r>
      <w:r w:rsidR="00D16374" w:rsidRPr="00AE2491">
        <w:rPr>
          <w:lang w:val="id-ID"/>
        </w:rPr>
        <w:t>,</w:t>
      </w:r>
      <w:r w:rsidR="007C3F41" w:rsidRPr="00AE2491">
        <w:rPr>
          <w:lang w:val="en-US"/>
        </w:rPr>
        <w:t xml:space="preserve"> </w:t>
      </w:r>
      <w:r w:rsidR="00125743" w:rsidRPr="00AE2491">
        <w:rPr>
          <w:lang w:val="en-US"/>
        </w:rPr>
        <w:t xml:space="preserve">limbah cair yang dihasilkan dari </w:t>
      </w:r>
      <w:r w:rsidR="007C3F41" w:rsidRPr="00AE2491">
        <w:rPr>
          <w:lang w:val="en-US"/>
        </w:rPr>
        <w:t>kegiatan industri pe</w:t>
      </w:r>
      <w:r w:rsidR="00125743" w:rsidRPr="00AE2491">
        <w:rPr>
          <w:lang w:val="en-US"/>
        </w:rPr>
        <w:t>rikanan seperti proses pemotongan ikan, pencucian serta pengolahan ikan menjadi berbagai macam produk</w:t>
      </w:r>
      <w:r w:rsidR="00D16374" w:rsidRPr="00AE2491">
        <w:rPr>
          <w:lang w:val="id-ID"/>
        </w:rPr>
        <w:t>,</w:t>
      </w:r>
      <w:r w:rsidR="00125743" w:rsidRPr="00AE2491">
        <w:rPr>
          <w:lang w:val="en-US"/>
        </w:rPr>
        <w:t xml:space="preserve"> mengandung lemak dan protein yang tinggi</w:t>
      </w:r>
      <w:r w:rsidR="00D16374" w:rsidRPr="00AE2491">
        <w:rPr>
          <w:lang w:val="id-ID"/>
        </w:rPr>
        <w:t>,</w:t>
      </w:r>
      <w:r w:rsidR="00125743" w:rsidRPr="00AE2491">
        <w:rPr>
          <w:lang w:val="en-US"/>
        </w:rPr>
        <w:t xml:space="preserve"> sehin</w:t>
      </w:r>
      <w:r w:rsidR="00AE2491" w:rsidRPr="00AE2491">
        <w:rPr>
          <w:lang w:val="en-US"/>
        </w:rPr>
        <w:t xml:space="preserve">gga berpotensi meningkatkan konsentrasi </w:t>
      </w:r>
      <w:r w:rsidR="00125743" w:rsidRPr="00AE2491">
        <w:rPr>
          <w:lang w:val="en-US"/>
        </w:rPr>
        <w:t xml:space="preserve">nitrat dan amonia. </w:t>
      </w:r>
      <w:r w:rsidR="001F39AE" w:rsidRPr="00AE2491">
        <w:rPr>
          <w:lang w:val="en-US"/>
        </w:rPr>
        <w:t>K</w:t>
      </w:r>
      <w:r w:rsidR="00B97547" w:rsidRPr="00AE2491">
        <w:rPr>
          <w:lang w:val="en-US"/>
        </w:rPr>
        <w:t xml:space="preserve">andungan </w:t>
      </w:r>
      <w:r w:rsidR="00436605" w:rsidRPr="00AE2491">
        <w:rPr>
          <w:lang w:val="en-US"/>
        </w:rPr>
        <w:t>am</w:t>
      </w:r>
      <w:r w:rsidR="00B97547" w:rsidRPr="00AE2491">
        <w:rPr>
          <w:lang w:val="en-US"/>
        </w:rPr>
        <w:t xml:space="preserve">onia yang tinggi pada limbah cair industri perikanan yang masuk ke perairan dapat menurunkan kandungan oksigen, menurunkan biodiversitas dan memperbesar munculnya jenis fitoplankton yang berbahaya (Hamuna </w:t>
      </w:r>
      <w:r w:rsidR="006B6E2F" w:rsidRPr="00AE2491">
        <w:rPr>
          <w:i/>
          <w:lang w:val="en-US"/>
        </w:rPr>
        <w:t>et al.,</w:t>
      </w:r>
      <w:r w:rsidR="00B97547" w:rsidRPr="00AE2491">
        <w:rPr>
          <w:lang w:val="en-US"/>
        </w:rPr>
        <w:t xml:space="preserve"> 2018).</w:t>
      </w:r>
      <w:r w:rsidR="003C7C70" w:rsidRPr="00AE2491">
        <w:rPr>
          <w:lang w:val="en-US"/>
        </w:rPr>
        <w:t xml:space="preserve"> </w:t>
      </w:r>
    </w:p>
    <w:p w14:paraId="3F352B26" w14:textId="4E1C596E" w:rsidR="001F6518" w:rsidRPr="00AE2491" w:rsidRDefault="001F6518" w:rsidP="008837D7">
      <w:pPr>
        <w:pStyle w:val="BodyText"/>
        <w:ind w:left="131" w:right="40" w:firstLine="540"/>
        <w:jc w:val="both"/>
        <w:rPr>
          <w:lang w:val="en-US"/>
        </w:rPr>
      </w:pPr>
      <w:r>
        <w:rPr>
          <w:lang w:val="en-US"/>
        </w:rPr>
        <w:t xml:space="preserve">Berdasarkan pernyataan ketua pengelola Pantai Wates menjelaskan bahwa dampak </w:t>
      </w:r>
      <w:r w:rsidR="00CD091E">
        <w:rPr>
          <w:lang w:val="en-US"/>
        </w:rPr>
        <w:t xml:space="preserve">lain yang </w:t>
      </w:r>
      <w:r w:rsidR="00CD091E">
        <w:rPr>
          <w:lang w:val="en-US"/>
        </w:rPr>
        <w:lastRenderedPageBreak/>
        <w:t xml:space="preserve">disebabkan oleh pembuangan limbah cair yang berasal dari industri perikanan mengakibatkan pada saat musim peralihan dari musim kemarau ke musim hujan </w:t>
      </w:r>
      <w:r w:rsidR="00472EEB">
        <w:rPr>
          <w:lang w:val="en-US"/>
        </w:rPr>
        <w:t xml:space="preserve">banyak biota laut seperti ikan, rajungan dan udang banyak yang mati. Lautnya menjadi berlumpur dan menyebabkan gatal apabila terkena kulit. </w:t>
      </w:r>
    </w:p>
    <w:p w14:paraId="5198B966" w14:textId="162A4121" w:rsidR="00BB6311" w:rsidRPr="006B5B15" w:rsidRDefault="00F8201C" w:rsidP="00FD7F01">
      <w:pPr>
        <w:pStyle w:val="BodyText"/>
        <w:ind w:left="130" w:right="40" w:firstLine="539"/>
        <w:jc w:val="both"/>
        <w:rPr>
          <w:lang w:val="en-US"/>
        </w:rPr>
      </w:pPr>
      <w:r w:rsidRPr="00AE2491">
        <w:rPr>
          <w:lang w:val="en-US"/>
        </w:rPr>
        <w:t>Selain itu, masyarakat sekit</w:t>
      </w:r>
      <w:r w:rsidR="00F95C78" w:rsidRPr="00AE2491">
        <w:rPr>
          <w:lang w:val="en-US"/>
        </w:rPr>
        <w:t xml:space="preserve">ar industri mengeluh akibat bau </w:t>
      </w:r>
      <w:r w:rsidRPr="00AE2491">
        <w:rPr>
          <w:lang w:val="en-US"/>
        </w:rPr>
        <w:t>menyengat yang mengganggu aktivitas masyarakat.</w:t>
      </w:r>
      <w:r w:rsidR="00023CD8" w:rsidRPr="00AE2491">
        <w:rPr>
          <w:lang w:val="en-US"/>
        </w:rPr>
        <w:t xml:space="preserve"> </w:t>
      </w:r>
      <w:r w:rsidR="008837D7" w:rsidRPr="00AE2491">
        <w:rPr>
          <w:lang w:val="en-US"/>
        </w:rPr>
        <w:t>Berbagai kegiatan di sekitar Pantai Wates apabila tidak dikelola dengan baik akan berdampak negatif terhadap sumber daya dan kualitas air laut.</w:t>
      </w:r>
      <w:r w:rsidR="001F39AE" w:rsidRPr="00AE2491">
        <w:rPr>
          <w:lang w:val="en-US"/>
        </w:rPr>
        <w:t xml:space="preserve"> Tingginya intensitas masuknya limbah cair sisa industri perikanan</w:t>
      </w:r>
      <w:r w:rsidR="00D16374" w:rsidRPr="00AE2491">
        <w:rPr>
          <w:lang w:val="id-ID"/>
        </w:rPr>
        <w:t>,</w:t>
      </w:r>
      <w:r w:rsidR="001F39AE" w:rsidRPr="00AE2491">
        <w:rPr>
          <w:lang w:val="en-US"/>
        </w:rPr>
        <w:t xml:space="preserve"> tanpa pengolahan yang tepat ke laut dapat menimbulkan pencemaran laut</w:t>
      </w:r>
      <w:r w:rsidR="003C7C70" w:rsidRPr="00AE2491">
        <w:rPr>
          <w:lang w:val="en-US"/>
        </w:rPr>
        <w:t xml:space="preserve">. </w:t>
      </w:r>
      <w:r w:rsidR="001F39AE" w:rsidRPr="00AE2491">
        <w:rPr>
          <w:lang w:val="en-US"/>
        </w:rPr>
        <w:t xml:space="preserve">Penurunan kualitas air dan sumberdaya laut akan berdampak terhadap penurunan jumlah pengunjung </w:t>
      </w:r>
      <w:r w:rsidR="006C3B18" w:rsidRPr="00AE2491">
        <w:rPr>
          <w:lang w:val="en-US"/>
        </w:rPr>
        <w:t xml:space="preserve">dan pendapatan masyarakat lokal </w:t>
      </w:r>
      <w:r w:rsidR="001F39AE" w:rsidRPr="00AE2491">
        <w:rPr>
          <w:lang w:val="en-US"/>
        </w:rPr>
        <w:t xml:space="preserve">(Laapo </w:t>
      </w:r>
      <w:r w:rsidR="006B6E2F" w:rsidRPr="00AE2491">
        <w:rPr>
          <w:i/>
          <w:lang w:val="en-US"/>
        </w:rPr>
        <w:t>et al.,</w:t>
      </w:r>
      <w:r w:rsidR="00BB6311" w:rsidRPr="00AE2491">
        <w:rPr>
          <w:lang w:val="en-US"/>
        </w:rPr>
        <w:t xml:space="preserve"> 2009). Sehingga perlu dilakukan penelitian terkait analisis pencemaran untuk m</w:t>
      </w:r>
      <w:r w:rsidR="00BB6311" w:rsidRPr="00AE2491">
        <w:t xml:space="preserve">engetahui konsentrasi TSS, BOD, </w:t>
      </w:r>
      <w:r w:rsidR="00BB6311" w:rsidRPr="00AE2491">
        <w:rPr>
          <w:lang w:val="id-ID"/>
        </w:rPr>
        <w:t xml:space="preserve">COD, </w:t>
      </w:r>
      <w:r w:rsidR="00BB6311" w:rsidRPr="00AE2491">
        <w:t>Amonia</w:t>
      </w:r>
      <w:r w:rsidR="00BB6311" w:rsidRPr="00AE2491">
        <w:rPr>
          <w:lang w:val="id-ID"/>
        </w:rPr>
        <w:t>, minyak</w:t>
      </w:r>
      <w:r w:rsidR="00BB6311" w:rsidRPr="00AE2491">
        <w:t xml:space="preserve"> dan </w:t>
      </w:r>
      <w:r w:rsidR="00BB6311" w:rsidRPr="00AE2491">
        <w:rPr>
          <w:lang w:val="id-ID"/>
        </w:rPr>
        <w:t xml:space="preserve">lemak </w:t>
      </w:r>
      <w:r w:rsidR="00BB6311" w:rsidRPr="00AE2491">
        <w:t>sebagai variabel pencemaran air laut di Pantai Wates serta mengetahui status pencemaran Perairan Pantai Wates menggunakan metode Indeks Pencemaran berdasarkan Keputusan Menteri Negara Lingkungan Hidup (</w:t>
      </w:r>
      <w:r w:rsidR="00BB6311" w:rsidRPr="00AE2491">
        <w:rPr>
          <w:rFonts w:eastAsiaTheme="minorEastAsia"/>
          <w:lang w:val="id-ID"/>
        </w:rPr>
        <w:t xml:space="preserve">KEPMEN </w:t>
      </w:r>
      <w:r w:rsidR="00BB6311" w:rsidRPr="00AE2491">
        <w:rPr>
          <w:rFonts w:eastAsiaTheme="minorEastAsia"/>
        </w:rPr>
        <w:t xml:space="preserve">LH) No 115 Tahun 2003 </w:t>
      </w:r>
      <w:r w:rsidR="00D33D7D">
        <w:t xml:space="preserve">saat pasang purnama </w:t>
      </w:r>
      <w:r w:rsidR="00BB6311" w:rsidRPr="00AE2491">
        <w:t xml:space="preserve">dan pasang </w:t>
      </w:r>
      <w:r w:rsidR="00D33D7D">
        <w:rPr>
          <w:lang w:val="en-US"/>
        </w:rPr>
        <w:t>perbani</w:t>
      </w:r>
      <w:r w:rsidR="00BB6311" w:rsidRPr="00AE2491">
        <w:t xml:space="preserve">. </w:t>
      </w:r>
      <w:r w:rsidR="00BB6311" w:rsidRPr="00AE2491">
        <w:rPr>
          <w:lang w:val="en-US"/>
        </w:rPr>
        <w:t>Penelitian ini diharapkan dapat menambah informasi dalam melakukan pengelolaan Pantai Wates.</w:t>
      </w:r>
    </w:p>
    <w:p w14:paraId="6B0D5113" w14:textId="77777777" w:rsidR="00BB6311" w:rsidRPr="006B5B15" w:rsidRDefault="00BB6311" w:rsidP="00FD7F01">
      <w:pPr>
        <w:pStyle w:val="BodyText"/>
        <w:ind w:left="130" w:right="40" w:firstLine="539"/>
        <w:jc w:val="both"/>
        <w:rPr>
          <w:lang w:val="en-US"/>
        </w:rPr>
      </w:pPr>
    </w:p>
    <w:p w14:paraId="78EC29A1" w14:textId="77777777" w:rsidR="00BB6311" w:rsidRPr="006B5B15" w:rsidRDefault="00BB6311" w:rsidP="00BB6311">
      <w:pPr>
        <w:pStyle w:val="Heading1"/>
      </w:pPr>
      <w:r w:rsidRPr="006B5B15">
        <w:t>METODE</w:t>
      </w:r>
      <w:r w:rsidRPr="006B5B15">
        <w:rPr>
          <w:spacing w:val="-7"/>
        </w:rPr>
        <w:t xml:space="preserve"> </w:t>
      </w:r>
      <w:r w:rsidRPr="006B5B15">
        <w:t>PENELITIAN</w:t>
      </w:r>
    </w:p>
    <w:p w14:paraId="1705FCB4" w14:textId="77777777" w:rsidR="00BB6311" w:rsidRPr="006B5B15" w:rsidRDefault="00BB6311" w:rsidP="00BB6311">
      <w:pPr>
        <w:pStyle w:val="Heading1"/>
      </w:pPr>
    </w:p>
    <w:p w14:paraId="5BBC3891" w14:textId="77777777" w:rsidR="00BB6311" w:rsidRPr="006B5B15" w:rsidRDefault="00BB6311" w:rsidP="00BB6311">
      <w:pPr>
        <w:spacing w:before="1" w:line="241" w:lineRule="exact"/>
        <w:ind w:left="131"/>
        <w:rPr>
          <w:b/>
          <w:sz w:val="20"/>
        </w:rPr>
      </w:pPr>
      <w:r w:rsidRPr="006B5B15">
        <w:rPr>
          <w:b/>
          <w:sz w:val="20"/>
        </w:rPr>
        <w:t>Lokasi</w:t>
      </w:r>
      <w:r w:rsidRPr="006B5B15">
        <w:rPr>
          <w:b/>
          <w:spacing w:val="-6"/>
          <w:sz w:val="20"/>
        </w:rPr>
        <w:t xml:space="preserve"> </w:t>
      </w:r>
      <w:r w:rsidRPr="006B5B15">
        <w:rPr>
          <w:b/>
          <w:sz w:val="20"/>
        </w:rPr>
        <w:t>penelitian</w:t>
      </w:r>
    </w:p>
    <w:p w14:paraId="5ED2EED6" w14:textId="161BE256" w:rsidR="00B93B81" w:rsidRPr="006B5B15" w:rsidRDefault="00BB6311" w:rsidP="00B93B81">
      <w:pPr>
        <w:pStyle w:val="BodyText"/>
        <w:ind w:left="110" w:right="40" w:firstLine="550"/>
        <w:jc w:val="both"/>
        <w:rPr>
          <w:bCs/>
          <w:lang w:val="en-US"/>
        </w:rPr>
      </w:pPr>
      <w:r w:rsidRPr="006B5B15">
        <w:rPr>
          <w:bCs/>
          <w:lang w:val="en-US"/>
        </w:rPr>
        <w:t>Penelitian ini dilakukan di perairan Pantai Wates, Kabupaten Rembang. Pengambilan data lapangan dan sampel air dilakukan pada</w:t>
      </w:r>
      <w:r w:rsidR="00D16374">
        <w:rPr>
          <w:bCs/>
          <w:lang w:val="id-ID"/>
        </w:rPr>
        <w:t xml:space="preserve"> </w:t>
      </w:r>
      <w:r w:rsidR="00D16374" w:rsidRPr="00472EEB">
        <w:rPr>
          <w:bCs/>
          <w:lang w:val="id-ID"/>
        </w:rPr>
        <w:t>tanggal</w:t>
      </w:r>
      <w:r w:rsidRPr="006B5B15">
        <w:rPr>
          <w:bCs/>
          <w:lang w:val="en-US"/>
        </w:rPr>
        <w:t xml:space="preserve"> 2 dan 16 Februari 2022. Analisis sampel air</w:t>
      </w:r>
      <w:r w:rsidR="00D16374">
        <w:rPr>
          <w:bCs/>
          <w:lang w:val="id-ID"/>
        </w:rPr>
        <w:t xml:space="preserve"> </w:t>
      </w:r>
      <w:r w:rsidR="00D16374" w:rsidRPr="00472EEB">
        <w:rPr>
          <w:bCs/>
          <w:lang w:val="id-ID"/>
        </w:rPr>
        <w:t xml:space="preserve">untuk mengetahui </w:t>
      </w:r>
      <w:r w:rsidR="00472EEB" w:rsidRPr="00472EEB">
        <w:rPr>
          <w:bCs/>
          <w:lang w:val="en-US"/>
        </w:rPr>
        <w:t xml:space="preserve">konsentrasi TSS, BOD, COD, amonia, minyak dan lemak </w:t>
      </w:r>
      <w:r w:rsidRPr="006B5B15">
        <w:rPr>
          <w:bCs/>
          <w:lang w:val="en-US"/>
        </w:rPr>
        <w:t>dilakukan di Laboratorium Teknik Lingkungan, Fakultas Teknik, Universitas Diponegoro, Semarang.</w:t>
      </w:r>
    </w:p>
    <w:p w14:paraId="5D21719D" w14:textId="77777777" w:rsidR="00B93B81" w:rsidRPr="006B5B15" w:rsidRDefault="00B93B81" w:rsidP="00B93B81">
      <w:pPr>
        <w:pStyle w:val="BodyText"/>
        <w:ind w:right="40"/>
        <w:jc w:val="both"/>
        <w:rPr>
          <w:lang w:val="en-US"/>
        </w:rPr>
        <w:sectPr w:rsidR="00B93B81" w:rsidRPr="006B5B15">
          <w:type w:val="continuous"/>
          <w:pgSz w:w="11910" w:h="16840"/>
          <w:pgMar w:top="920" w:right="900" w:bottom="280" w:left="860" w:header="720" w:footer="720" w:gutter="0"/>
          <w:cols w:num="2" w:space="720" w:equalWidth="0">
            <w:col w:w="4944" w:space="187"/>
            <w:col w:w="5019"/>
          </w:cols>
        </w:sectPr>
      </w:pPr>
    </w:p>
    <w:p w14:paraId="6710871F" w14:textId="77777777" w:rsidR="00B93B81" w:rsidRPr="006B5B15" w:rsidRDefault="00B93B81" w:rsidP="00FD7F01">
      <w:pPr>
        <w:pStyle w:val="BodyText"/>
        <w:ind w:left="130" w:right="40" w:firstLine="539"/>
        <w:jc w:val="both"/>
        <w:rPr>
          <w:lang w:val="en-US"/>
        </w:rPr>
      </w:pPr>
    </w:p>
    <w:p w14:paraId="001CB078" w14:textId="77777777" w:rsidR="00B93B81" w:rsidRPr="006B5B15" w:rsidRDefault="00652DA2" w:rsidP="00B93B81">
      <w:pPr>
        <w:pStyle w:val="BodyText"/>
        <w:ind w:left="130" w:right="40" w:firstLine="90"/>
        <w:jc w:val="both"/>
        <w:rPr>
          <w:lang w:val="en-US"/>
        </w:rPr>
        <w:sectPr w:rsidR="00B93B81" w:rsidRPr="006B5B15">
          <w:type w:val="continuous"/>
          <w:pgSz w:w="11910" w:h="16840"/>
          <w:pgMar w:top="920" w:right="900" w:bottom="280" w:left="860" w:header="720" w:footer="720" w:gutter="0"/>
          <w:cols w:num="2" w:space="720" w:equalWidth="0">
            <w:col w:w="4944" w:space="187"/>
            <w:col w:w="5019"/>
          </w:cols>
        </w:sectPr>
      </w:pPr>
      <w:r w:rsidRPr="006B5B15">
        <w:rPr>
          <w:lang w:val="en-US"/>
        </w:rPr>
        <w:lastRenderedPageBreak/>
        <w:t xml:space="preserve"> </w:t>
      </w:r>
    </w:p>
    <w:p w14:paraId="67AA96E6" w14:textId="77777777" w:rsidR="00B93B81" w:rsidRPr="006B5B15" w:rsidRDefault="00B93B81" w:rsidP="00B93B81">
      <w:pPr>
        <w:pStyle w:val="BodyText"/>
        <w:ind w:right="119"/>
        <w:jc w:val="center"/>
      </w:pPr>
      <w:r w:rsidRPr="006B5B15">
        <w:rPr>
          <w:rFonts w:ascii="Times New Roman" w:hAnsi="Times New Roman" w:cs="Times New Roman"/>
          <w:noProof/>
          <w:sz w:val="24"/>
          <w:szCs w:val="24"/>
          <w:lang w:val="en-US"/>
        </w:rPr>
        <w:lastRenderedPageBreak/>
        <w:drawing>
          <wp:inline distT="0" distB="0" distL="0" distR="0" wp14:anchorId="7E5AD583" wp14:editId="7DBE1033">
            <wp:extent cx="3982737" cy="28153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a heniiII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85939" cy="2817632"/>
                    </a:xfrm>
                    <a:prstGeom prst="rect">
                      <a:avLst/>
                    </a:prstGeom>
                  </pic:spPr>
                </pic:pic>
              </a:graphicData>
            </a:graphic>
          </wp:inline>
        </w:drawing>
      </w:r>
    </w:p>
    <w:p w14:paraId="166BF550" w14:textId="77777777" w:rsidR="00B93B81" w:rsidRPr="006B5B15" w:rsidRDefault="00B93B81" w:rsidP="00B93B81">
      <w:pPr>
        <w:pStyle w:val="BodyText"/>
        <w:ind w:right="119"/>
        <w:jc w:val="center"/>
        <w:rPr>
          <w:lang w:val="en-US"/>
        </w:rPr>
        <w:sectPr w:rsidR="00B93B81" w:rsidRPr="006B5B15" w:rsidSect="00B93B81">
          <w:type w:val="continuous"/>
          <w:pgSz w:w="11910" w:h="16840"/>
          <w:pgMar w:top="920" w:right="900" w:bottom="280" w:left="860" w:header="720" w:footer="720" w:gutter="0"/>
          <w:cols w:space="187"/>
        </w:sectPr>
      </w:pPr>
      <w:r w:rsidRPr="006B5B15">
        <w:rPr>
          <w:lang w:val="en-US"/>
        </w:rPr>
        <w:t>Gambar 1.  Peta Lokasi Penelitian</w:t>
      </w:r>
    </w:p>
    <w:p w14:paraId="46AEB44F" w14:textId="77777777" w:rsidR="00B93B81" w:rsidRPr="006B5B15" w:rsidRDefault="00B93B81" w:rsidP="00BB6311">
      <w:pPr>
        <w:pStyle w:val="BodyText"/>
        <w:ind w:left="130" w:right="119" w:firstLine="590"/>
        <w:jc w:val="both"/>
        <w:sectPr w:rsidR="00B93B81" w:rsidRPr="006B5B15" w:rsidSect="00B93B81">
          <w:type w:val="continuous"/>
          <w:pgSz w:w="11910" w:h="16840"/>
          <w:pgMar w:top="920" w:right="900" w:bottom="280" w:left="860" w:header="720" w:footer="720" w:gutter="0"/>
          <w:cols w:space="187"/>
        </w:sectPr>
      </w:pPr>
    </w:p>
    <w:p w14:paraId="37482805" w14:textId="77777777" w:rsidR="00F87C07" w:rsidRPr="006B5B15" w:rsidRDefault="00F87C07" w:rsidP="00B93B81">
      <w:pPr>
        <w:pStyle w:val="BodyText"/>
        <w:ind w:right="119"/>
        <w:jc w:val="both"/>
        <w:sectPr w:rsidR="00F87C07" w:rsidRPr="006B5B15" w:rsidSect="00B93B81">
          <w:type w:val="continuous"/>
          <w:pgSz w:w="11910" w:h="16840"/>
          <w:pgMar w:top="920" w:right="900" w:bottom="280" w:left="860" w:header="720" w:footer="720" w:gutter="0"/>
          <w:cols w:space="720"/>
        </w:sectPr>
      </w:pPr>
    </w:p>
    <w:p w14:paraId="6634222E" w14:textId="77777777" w:rsidR="002759E4" w:rsidRPr="006B5B15" w:rsidRDefault="002759E4" w:rsidP="00492FA0">
      <w:pPr>
        <w:pStyle w:val="BodyText"/>
        <w:ind w:right="119"/>
        <w:jc w:val="both"/>
      </w:pPr>
    </w:p>
    <w:p w14:paraId="79101ACB" w14:textId="77777777" w:rsidR="002759E4" w:rsidRPr="006B5B15" w:rsidRDefault="002759E4">
      <w:pPr>
        <w:pStyle w:val="Heading1"/>
      </w:pPr>
    </w:p>
    <w:p w14:paraId="79E0E703" w14:textId="77777777" w:rsidR="008F7C1F" w:rsidRPr="006B5B15" w:rsidRDefault="008F7C1F" w:rsidP="00F87C07">
      <w:pPr>
        <w:pStyle w:val="BodyText"/>
        <w:spacing w:before="1"/>
        <w:ind w:left="131"/>
        <w:rPr>
          <w:b/>
          <w:lang w:val="en-US"/>
        </w:rPr>
      </w:pPr>
    </w:p>
    <w:p w14:paraId="440B554D" w14:textId="77777777" w:rsidR="008F7C1F" w:rsidRPr="006B5B15" w:rsidRDefault="008F7C1F" w:rsidP="00F87C07">
      <w:pPr>
        <w:pStyle w:val="BodyText"/>
        <w:spacing w:before="1"/>
        <w:ind w:left="131"/>
        <w:rPr>
          <w:b/>
          <w:lang w:val="en-US"/>
        </w:rPr>
      </w:pPr>
    </w:p>
    <w:p w14:paraId="01D44484" w14:textId="77777777" w:rsidR="00F87C07" w:rsidRPr="006B5B15" w:rsidRDefault="00F87C07" w:rsidP="00F87C07">
      <w:pPr>
        <w:pStyle w:val="BodyText"/>
        <w:spacing w:before="1"/>
        <w:ind w:left="131"/>
        <w:rPr>
          <w:b/>
          <w:lang w:val="en-US"/>
        </w:rPr>
      </w:pPr>
      <w:r w:rsidRPr="006B5B15">
        <w:rPr>
          <w:b/>
          <w:lang w:val="en-US"/>
        </w:rPr>
        <w:lastRenderedPageBreak/>
        <w:t xml:space="preserve">Prosedur Penelitian </w:t>
      </w:r>
    </w:p>
    <w:p w14:paraId="475531C0" w14:textId="58FC6E83" w:rsidR="0046599D" w:rsidRPr="006B5B15" w:rsidRDefault="0082350A" w:rsidP="00D33D7D">
      <w:pPr>
        <w:pStyle w:val="BodyText"/>
        <w:ind w:left="130" w:firstLine="590"/>
        <w:jc w:val="both"/>
      </w:pPr>
      <w:r w:rsidRPr="006B5B15">
        <w:rPr>
          <w:lang w:val="en-US"/>
        </w:rPr>
        <w:t>Penelitian ini menggunakan metode s</w:t>
      </w:r>
      <w:r w:rsidR="00D33D7D">
        <w:rPr>
          <w:lang w:val="en-US"/>
        </w:rPr>
        <w:t>tudi kasus</w:t>
      </w:r>
      <w:r w:rsidRPr="006B5B15">
        <w:rPr>
          <w:lang w:val="en-US"/>
        </w:rPr>
        <w:t xml:space="preserve"> </w:t>
      </w:r>
      <w:r w:rsidR="00D33D7D">
        <w:rPr>
          <w:lang w:val="en-US"/>
        </w:rPr>
        <w:t>dengan analisis</w:t>
      </w:r>
      <w:r w:rsidRPr="006B5B15">
        <w:rPr>
          <w:lang w:val="en-US"/>
        </w:rPr>
        <w:t xml:space="preserve"> deskriptif. </w:t>
      </w:r>
      <w:r w:rsidR="00A16AFD" w:rsidRPr="006B5B15">
        <w:rPr>
          <w:lang w:val="en-US"/>
        </w:rPr>
        <w:t xml:space="preserve">Menurut </w:t>
      </w:r>
      <w:r w:rsidR="00472EEB">
        <w:rPr>
          <w:lang w:val="en-US"/>
        </w:rPr>
        <w:t xml:space="preserve">Wagiran (2019), </w:t>
      </w:r>
      <w:r w:rsidR="00962CD2" w:rsidRPr="006B5B15">
        <w:rPr>
          <w:lang w:val="en-US"/>
        </w:rPr>
        <w:t>penelitian deskriptif memiliki tujuan untuk memberikan gambaran secara sistematis dan akurat terkait kondisi kualitas air di perairan Pantai Wates.</w:t>
      </w:r>
      <w:r w:rsidR="00D33D7D">
        <w:rPr>
          <w:lang w:val="en-US"/>
        </w:rPr>
        <w:t xml:space="preserve"> Metode studi</w:t>
      </w:r>
      <w:r w:rsidR="00962CD2" w:rsidRPr="006B5B15">
        <w:rPr>
          <w:lang w:val="en-US"/>
        </w:rPr>
        <w:t xml:space="preserve"> </w:t>
      </w:r>
      <w:r w:rsidR="00D33D7D">
        <w:rPr>
          <w:lang w:val="en-US"/>
        </w:rPr>
        <w:t xml:space="preserve">kasus digunakan untuk menganalisis suatu permasalahan dalam jangka waktu yang singkat. </w:t>
      </w:r>
      <w:r w:rsidR="00472EEB" w:rsidRPr="00472EEB">
        <w:rPr>
          <w:lang w:val="en-US"/>
        </w:rPr>
        <w:t>Sampling</w:t>
      </w:r>
      <w:r w:rsidR="00D33D7D">
        <w:rPr>
          <w:strike/>
          <w:color w:val="FF0000"/>
          <w:lang w:val="en-US"/>
        </w:rPr>
        <w:t xml:space="preserve"> </w:t>
      </w:r>
      <w:r w:rsidR="00962CD2" w:rsidRPr="006B5B15">
        <w:rPr>
          <w:lang w:val="en-US"/>
        </w:rPr>
        <w:t xml:space="preserve">dilakukan dengan metode </w:t>
      </w:r>
      <w:r w:rsidR="00962CD2" w:rsidRPr="006B5B15">
        <w:rPr>
          <w:i/>
        </w:rPr>
        <w:t>purposive sampling</w:t>
      </w:r>
      <w:r w:rsidR="00962CD2" w:rsidRPr="006B5B15">
        <w:t xml:space="preserve"> yang merupakan cara penentuan pengambilan sampel air dengan melihat pertimbangan-pertimbanga</w:t>
      </w:r>
      <w:r w:rsidR="0046599D" w:rsidRPr="006B5B15">
        <w:t>n yang dilakukan oleh peneliti.</w:t>
      </w:r>
      <w:r w:rsidR="0046599D" w:rsidRPr="006B5B15">
        <w:rPr>
          <w:lang w:val="en-US"/>
        </w:rPr>
        <w:t xml:space="preserve"> </w:t>
      </w:r>
      <w:r w:rsidR="0046599D" w:rsidRPr="006B5B15">
        <w:t>M</w:t>
      </w:r>
      <w:r w:rsidR="00962CD2" w:rsidRPr="006B5B15">
        <w:t xml:space="preserve">etode </w:t>
      </w:r>
      <w:r w:rsidR="00962CD2" w:rsidRPr="006B5B15">
        <w:rPr>
          <w:i/>
        </w:rPr>
        <w:t>purposive sampling</w:t>
      </w:r>
      <w:r w:rsidR="00962CD2" w:rsidRPr="006B5B15">
        <w:t xml:space="preserve"> adalah metode pengambilan sampel yang </w:t>
      </w:r>
      <w:r w:rsidR="0046599D" w:rsidRPr="006B5B15">
        <w:rPr>
          <w:lang w:val="en-US"/>
        </w:rPr>
        <w:t xml:space="preserve">memiliki bahan kajian berupa kondisi status suatu wilayah, kondisi geografis dan keanekaragaman hayati pada suatu wilayah dengan pertimbangan yang ilmiah dan logis (Fuad </w:t>
      </w:r>
      <w:r w:rsidR="006B6E2F" w:rsidRPr="006B6E2F">
        <w:rPr>
          <w:i/>
          <w:lang w:val="en-US"/>
        </w:rPr>
        <w:t>et al</w:t>
      </w:r>
      <w:r w:rsidR="006B6E2F">
        <w:rPr>
          <w:lang w:val="en-US"/>
        </w:rPr>
        <w:t>.,</w:t>
      </w:r>
      <w:r w:rsidR="0046599D" w:rsidRPr="006B5B15">
        <w:rPr>
          <w:lang w:val="en-US"/>
        </w:rPr>
        <w:t xml:space="preserve"> 2019)</w:t>
      </w:r>
      <w:r w:rsidR="00962CD2" w:rsidRPr="006B5B15">
        <w:t>. Pada penelitian ini pengambilan sampel didasarkan pada sumber pencemaran yang dapat menurunkan kualitas air perairan Pantai Wates.</w:t>
      </w:r>
    </w:p>
    <w:p w14:paraId="2A627CA1" w14:textId="77777777" w:rsidR="0046599D" w:rsidRPr="006B5B15" w:rsidRDefault="004C65E4" w:rsidP="00D33D7D">
      <w:pPr>
        <w:pStyle w:val="BodyText"/>
        <w:ind w:left="130" w:firstLine="590"/>
        <w:jc w:val="both"/>
        <w:rPr>
          <w:lang w:val="en-US"/>
        </w:rPr>
      </w:pPr>
      <w:r w:rsidRPr="006B5B15">
        <w:rPr>
          <w:lang w:val="en-US"/>
        </w:rPr>
        <w:t xml:space="preserve">Pengambilan sampel dilakukan pada tiga stasiun yaitu stasiun A, B dan C. </w:t>
      </w:r>
      <w:r w:rsidR="00270BA0" w:rsidRPr="006B5B15">
        <w:rPr>
          <w:lang w:val="en-US"/>
        </w:rPr>
        <w:t xml:space="preserve"> </w:t>
      </w:r>
      <w:r w:rsidRPr="006B5B15">
        <w:rPr>
          <w:lang w:val="en-US"/>
        </w:rPr>
        <w:t xml:space="preserve">Stasiun A merupakan area sebelum adanya industri perikanan, stasiun B merupakan area industri perikanan dan area C adalah area setelah industri perikanan. pengambilan sampel dilakukan ketika siang hari, hal tersebut dikarenakan berdasarkan informasi dari masyarakat dapat diketahui bahwa pembuangan limbah oleh industri perikanan dilakukan ketika siang hari. </w:t>
      </w:r>
      <w:r w:rsidR="00C93A6A" w:rsidRPr="006B5B15">
        <w:rPr>
          <w:lang w:val="en-US"/>
        </w:rPr>
        <w:t xml:space="preserve">Sampel air disimpan pada botol polietilen. </w:t>
      </w:r>
    </w:p>
    <w:p w14:paraId="1F53E9DB" w14:textId="77777777" w:rsidR="00C93A6A" w:rsidRPr="006B5B15" w:rsidRDefault="00C93A6A" w:rsidP="00D33D7D">
      <w:pPr>
        <w:pStyle w:val="BodyText"/>
        <w:ind w:left="130" w:firstLine="590"/>
        <w:jc w:val="both"/>
        <w:rPr>
          <w:lang w:val="en-US"/>
        </w:rPr>
      </w:pPr>
      <w:r w:rsidRPr="006B5B15">
        <w:rPr>
          <w:lang w:val="en-US"/>
        </w:rPr>
        <w:t xml:space="preserve">Metode yang digunakan dalam uji konsentrasi TSS yaitu </w:t>
      </w:r>
      <w:r w:rsidR="00F45A2C" w:rsidRPr="006B5B15">
        <w:rPr>
          <w:lang w:val="en-US"/>
        </w:rPr>
        <w:t>metode SNI 989.3:2019 yang digunakan untuk menentukan residu tersuspensi yang terdapat pada contoh uji air secara gravimetri dengan penimbangan padatan terlarut total tidak boleh lebih dari 200 mg. prinsip dari metode ini adalah contoh uji yang telah homogen kemudian disaring menggunakan media penyaring yang telah ditimbang dan residu yang tertahan pada media saring akan dikeringkan pada suhu berkisar 103</w:t>
      </w:r>
      <w:r w:rsidR="006B6E2F">
        <w:rPr>
          <w:lang w:val="en-US"/>
        </w:rPr>
        <w:t xml:space="preserve"> </w:t>
      </w:r>
      <w:r w:rsidR="00F45A2C" w:rsidRPr="006B5B15">
        <w:rPr>
          <w:lang w:val="en-US"/>
        </w:rPr>
        <w:t>-</w:t>
      </w:r>
      <w:r w:rsidR="006B6E2F">
        <w:rPr>
          <w:lang w:val="en-US"/>
        </w:rPr>
        <w:t xml:space="preserve"> </w:t>
      </w:r>
      <w:r w:rsidR="00F45A2C" w:rsidRPr="006B5B15">
        <w:rPr>
          <w:lang w:val="en-US"/>
        </w:rPr>
        <w:t>105</w:t>
      </w:r>
      <w:r w:rsidR="006B6E2F" w:rsidRPr="006B5B15">
        <w:rPr>
          <w:sz w:val="18"/>
        </w:rPr>
        <w:t>℃</w:t>
      </w:r>
      <w:r w:rsidR="00F45A2C" w:rsidRPr="006B5B15">
        <w:rPr>
          <w:lang w:val="en-US"/>
        </w:rPr>
        <w:t xml:space="preserve"> hingga mencapai berat tetap. Kenaikan dari berat saringan mewakili TSS. </w:t>
      </w:r>
    </w:p>
    <w:p w14:paraId="713F4754" w14:textId="77777777" w:rsidR="00E41FB7" w:rsidRPr="006B5B15" w:rsidRDefault="00E41FB7" w:rsidP="00D33D7D">
      <w:pPr>
        <w:pStyle w:val="BodyText"/>
        <w:ind w:left="130" w:firstLine="590"/>
        <w:jc w:val="both"/>
        <w:rPr>
          <w:lang w:val="en-US"/>
        </w:rPr>
      </w:pPr>
      <w:r w:rsidRPr="006B5B15">
        <w:rPr>
          <w:lang w:val="en-US"/>
        </w:rPr>
        <w:t>Pengukuran BOD dilakukan berdasarkan metode SNI 6989</w:t>
      </w:r>
      <w:r w:rsidR="00030A81" w:rsidRPr="006B5B15">
        <w:rPr>
          <w:lang w:val="en-US"/>
        </w:rPr>
        <w:t xml:space="preserve">.72:2009. Cara uji ini digunakan untuk mengetahui jumlah oksigen terlarut yang dibutuhkan oleh mikroba </w:t>
      </w:r>
      <w:r w:rsidR="0064389A" w:rsidRPr="006B5B15">
        <w:rPr>
          <w:lang w:val="en-US"/>
        </w:rPr>
        <w:t>aerobik untuk mengoksidasi bahan organik karbon dalam contoh uji air tercemar yang tidak mengandung atau sudah d</w:t>
      </w:r>
      <w:r w:rsidR="005E7A6E">
        <w:rPr>
          <w:lang w:val="en-US"/>
        </w:rPr>
        <w:t>i</w:t>
      </w:r>
      <w:r w:rsidR="0064389A" w:rsidRPr="006B5B15">
        <w:rPr>
          <w:lang w:val="en-US"/>
        </w:rPr>
        <w:t>hilangkan zat-zat toksik dan zat pengganggu lainnya. Uji ini dilakukan pada suhu 20</w:t>
      </w:r>
      <w:r w:rsidR="0064389A" w:rsidRPr="006B5B15">
        <w:t>◦C</w:t>
      </w:r>
      <w:r w:rsidR="0064389A" w:rsidRPr="006B5B15">
        <w:rPr>
          <w:lang w:val="en-US"/>
        </w:rPr>
        <w:t xml:space="preserve"> ± 1</w:t>
      </w:r>
      <w:r w:rsidR="006B6E2F" w:rsidRPr="006B5B15">
        <w:rPr>
          <w:sz w:val="18"/>
        </w:rPr>
        <w:t>℃</w:t>
      </w:r>
      <w:r w:rsidR="006B6E2F">
        <w:rPr>
          <w:sz w:val="18"/>
          <w:lang w:val="en-US"/>
        </w:rPr>
        <w:t xml:space="preserve"> </w:t>
      </w:r>
      <w:r w:rsidR="0064389A" w:rsidRPr="006B5B15">
        <w:rPr>
          <w:lang w:val="en-US"/>
        </w:rPr>
        <w:t xml:space="preserve">selama 5 hari ± 6 jam. Prinsip dari metode ini yaitu </w:t>
      </w:r>
      <w:r w:rsidR="00970507" w:rsidRPr="006B5B15">
        <w:rPr>
          <w:lang w:val="en-US"/>
        </w:rPr>
        <w:t>sejumlah contoh uji ditambahkan ke dalam larutan pengencer jenuh oksigen yang telah ditamb</w:t>
      </w:r>
      <w:r w:rsidR="005E7A6E">
        <w:rPr>
          <w:lang w:val="en-US"/>
        </w:rPr>
        <w:t>ah larutan nutrisi dan bibit mi</w:t>
      </w:r>
      <w:r w:rsidR="00970507" w:rsidRPr="006B5B15">
        <w:rPr>
          <w:lang w:val="en-US"/>
        </w:rPr>
        <w:t>k</w:t>
      </w:r>
      <w:r w:rsidR="005E7A6E">
        <w:rPr>
          <w:lang w:val="en-US"/>
        </w:rPr>
        <w:t>r</w:t>
      </w:r>
      <w:r w:rsidR="00970507" w:rsidRPr="006B5B15">
        <w:rPr>
          <w:lang w:val="en-US"/>
        </w:rPr>
        <w:t>oba, kemudian diinkubasi dalam ruang gelap pada suhu 20</w:t>
      </w:r>
      <w:r w:rsidR="006B6E2F" w:rsidRPr="006B5B15">
        <w:rPr>
          <w:sz w:val="18"/>
        </w:rPr>
        <w:t>℃</w:t>
      </w:r>
      <w:r w:rsidR="006B6E2F">
        <w:rPr>
          <w:sz w:val="18"/>
          <w:lang w:val="en-US"/>
        </w:rPr>
        <w:t xml:space="preserve"> </w:t>
      </w:r>
      <w:r w:rsidR="00970507" w:rsidRPr="006B5B15">
        <w:rPr>
          <w:lang w:val="en-US"/>
        </w:rPr>
        <w:t>± 1</w:t>
      </w:r>
      <w:r w:rsidR="006B6E2F" w:rsidRPr="006B5B15">
        <w:rPr>
          <w:sz w:val="18"/>
        </w:rPr>
        <w:t>℃</w:t>
      </w:r>
      <w:r w:rsidR="00970507" w:rsidRPr="006B5B15">
        <w:rPr>
          <w:lang w:val="en-US"/>
        </w:rPr>
        <w:t xml:space="preserve"> selama 5 hari. Nilai BOD dihitung berdasarkan selisih konsentrasi oksigen terlarut </w:t>
      </w:r>
      <w:r w:rsidR="00993347" w:rsidRPr="006B5B15">
        <w:rPr>
          <w:lang w:val="en-US"/>
        </w:rPr>
        <w:t xml:space="preserve">0 dan 5 </w:t>
      </w:r>
      <w:r w:rsidR="00970507" w:rsidRPr="006B5B15">
        <w:rPr>
          <w:lang w:val="en-US"/>
        </w:rPr>
        <w:t>hari. B</w:t>
      </w:r>
      <w:r w:rsidR="005E7A6E">
        <w:rPr>
          <w:lang w:val="en-US"/>
        </w:rPr>
        <w:t>ahan k</w:t>
      </w:r>
      <w:r w:rsidR="00970507" w:rsidRPr="006B5B15">
        <w:rPr>
          <w:lang w:val="en-US"/>
        </w:rPr>
        <w:t xml:space="preserve">ontrol standar dalam uji BOD digunakan larutan glukosa-asam glutamat. </w:t>
      </w:r>
    </w:p>
    <w:p w14:paraId="23A05A61" w14:textId="77777777" w:rsidR="00D03C92" w:rsidRPr="006B5B15" w:rsidRDefault="00E16F91" w:rsidP="00D33D7D">
      <w:pPr>
        <w:pStyle w:val="BodyText"/>
        <w:ind w:left="130" w:firstLine="590"/>
        <w:jc w:val="both"/>
        <w:rPr>
          <w:lang w:val="en-US"/>
        </w:rPr>
      </w:pPr>
      <w:r w:rsidRPr="006B5B15">
        <w:rPr>
          <w:lang w:val="en-US"/>
        </w:rPr>
        <w:t>Uji COD dilakukan dengan metode SNI 6989.2:2019</w:t>
      </w:r>
      <w:r w:rsidR="0064004F" w:rsidRPr="006B5B15">
        <w:rPr>
          <w:lang w:val="en-US"/>
        </w:rPr>
        <w:t>, metode ini digunakan untuk pengujian kebutuhan oksigen kimiawi dalam air dan air limbah menggunakan oksidator Cr</w:t>
      </w:r>
      <w:r w:rsidR="0064004F" w:rsidRPr="006B6E2F">
        <w:rPr>
          <w:vertAlign w:val="subscript"/>
          <w:lang w:val="en-US"/>
        </w:rPr>
        <w:t>2</w:t>
      </w:r>
      <w:r w:rsidR="0064004F" w:rsidRPr="006B5B15">
        <w:rPr>
          <w:lang w:val="en-US"/>
        </w:rPr>
        <w:t>O</w:t>
      </w:r>
      <w:r w:rsidR="0064004F" w:rsidRPr="006B6E2F">
        <w:rPr>
          <w:vertAlign w:val="subscript"/>
          <w:lang w:val="en-US"/>
        </w:rPr>
        <w:t>7</w:t>
      </w:r>
      <w:r w:rsidR="0064004F" w:rsidRPr="006B5B15">
        <w:rPr>
          <w:lang w:val="en-US"/>
        </w:rPr>
        <w:t xml:space="preserve"> dengan refluks tertutup dan diukur secara spektrofotometri. </w:t>
      </w:r>
      <w:r w:rsidRPr="006B5B15">
        <w:rPr>
          <w:lang w:val="en-US"/>
        </w:rPr>
        <w:t xml:space="preserve"> </w:t>
      </w:r>
      <w:r w:rsidR="0064004F" w:rsidRPr="006B5B15">
        <w:rPr>
          <w:lang w:val="en-US"/>
        </w:rPr>
        <w:t>Senyawa bahan organik dan anorganik, terutama organik dalam contoh uji dioksidasi oleh Cr</w:t>
      </w:r>
      <w:r w:rsidR="0064004F" w:rsidRPr="006B6E2F">
        <w:rPr>
          <w:vertAlign w:val="subscript"/>
          <w:lang w:val="en-US"/>
        </w:rPr>
        <w:t>2</w:t>
      </w:r>
      <w:r w:rsidR="0064004F" w:rsidRPr="006B5B15">
        <w:rPr>
          <w:lang w:val="en-US"/>
        </w:rPr>
        <w:t>O</w:t>
      </w:r>
      <w:r w:rsidR="0064004F" w:rsidRPr="006B6E2F">
        <w:rPr>
          <w:vertAlign w:val="subscript"/>
          <w:lang w:val="en-US"/>
        </w:rPr>
        <w:t>7</w:t>
      </w:r>
      <w:r w:rsidR="00D03C92" w:rsidRPr="006B6E2F">
        <w:rPr>
          <w:vertAlign w:val="superscript"/>
          <w:lang w:val="en-US"/>
        </w:rPr>
        <w:t>2-</w:t>
      </w:r>
      <w:r w:rsidR="00D03C92" w:rsidRPr="006B5B15">
        <w:rPr>
          <w:lang w:val="en-US"/>
        </w:rPr>
        <w:t xml:space="preserve"> dalam refluks tertutup selama </w:t>
      </w:r>
      <w:r w:rsidR="00D03C92" w:rsidRPr="006B5B15">
        <w:rPr>
          <w:lang w:val="en-US"/>
        </w:rPr>
        <w:lastRenderedPageBreak/>
        <w:t>2 jam menghasilkan Cr</w:t>
      </w:r>
      <w:r w:rsidR="006B6E2F">
        <w:rPr>
          <w:vertAlign w:val="superscript"/>
          <w:lang w:val="en-US"/>
        </w:rPr>
        <w:t>2+</w:t>
      </w:r>
      <w:r w:rsidR="006B6E2F">
        <w:rPr>
          <w:lang w:val="en-US"/>
        </w:rPr>
        <w:t xml:space="preserve">. </w:t>
      </w:r>
      <w:r w:rsidR="00D03C92" w:rsidRPr="006B5B15">
        <w:rPr>
          <w:lang w:val="en-US"/>
        </w:rPr>
        <w:t>Jumlah oksigen yang dibutuhkan dinyatakan dalam ekuivalen oksigen (O</w:t>
      </w:r>
      <w:r w:rsidR="00D03C92" w:rsidRPr="00232968">
        <w:rPr>
          <w:vertAlign w:val="superscript"/>
          <w:lang w:val="en-US"/>
        </w:rPr>
        <w:t xml:space="preserve">2 </w:t>
      </w:r>
      <w:r w:rsidR="00D03C92" w:rsidRPr="006B5B15">
        <w:rPr>
          <w:lang w:val="en-US"/>
        </w:rPr>
        <w:t>mg/L) diukur secara spektrofotometri sinar tampak. Cr</w:t>
      </w:r>
      <w:r w:rsidR="00D03C92" w:rsidRPr="00232968">
        <w:rPr>
          <w:vertAlign w:val="subscript"/>
          <w:lang w:val="en-US"/>
        </w:rPr>
        <w:t>2</w:t>
      </w:r>
      <w:r w:rsidR="00D03C92" w:rsidRPr="006B5B15">
        <w:rPr>
          <w:lang w:val="en-US"/>
        </w:rPr>
        <w:t>O</w:t>
      </w:r>
      <w:r w:rsidR="00D03C92" w:rsidRPr="00232968">
        <w:rPr>
          <w:vertAlign w:val="subscript"/>
          <w:lang w:val="en-US"/>
        </w:rPr>
        <w:t>7</w:t>
      </w:r>
      <w:r w:rsidR="00D03C92" w:rsidRPr="00232968">
        <w:rPr>
          <w:vertAlign w:val="superscript"/>
          <w:lang w:val="en-US"/>
        </w:rPr>
        <w:t>2-</w:t>
      </w:r>
      <w:r w:rsidR="005E7A6E">
        <w:rPr>
          <w:lang w:val="en-US"/>
        </w:rPr>
        <w:t xml:space="preserve"> kuat mengabsor</w:t>
      </w:r>
      <w:r w:rsidR="00D03C92" w:rsidRPr="006B5B15">
        <w:rPr>
          <w:lang w:val="en-US"/>
        </w:rPr>
        <w:t>psi pada panjang gelombang 420 nm dan Cr</w:t>
      </w:r>
      <w:r w:rsidR="00D03C92" w:rsidRPr="00232968">
        <w:rPr>
          <w:vertAlign w:val="superscript"/>
          <w:lang w:val="en-US"/>
        </w:rPr>
        <w:t>3+</w:t>
      </w:r>
      <w:r w:rsidR="00D03C92" w:rsidRPr="006B5B15">
        <w:rPr>
          <w:lang w:val="en-US"/>
        </w:rPr>
        <w:t xml:space="preserve"> kuat mengabsorpsi pada panjang gelombang 600 nm</w:t>
      </w:r>
    </w:p>
    <w:p w14:paraId="59B7EE43" w14:textId="77777777" w:rsidR="00A55023" w:rsidRPr="006B5B15" w:rsidRDefault="00945B5E" w:rsidP="00D33D7D">
      <w:pPr>
        <w:pStyle w:val="BodyText"/>
        <w:ind w:left="130" w:firstLine="590"/>
        <w:jc w:val="both"/>
        <w:rPr>
          <w:lang w:val="en-US"/>
        </w:rPr>
      </w:pPr>
      <w:r w:rsidRPr="006B5B15">
        <w:rPr>
          <w:lang w:val="en-US"/>
        </w:rPr>
        <w:t>Metode yang d</w:t>
      </w:r>
      <w:r w:rsidR="005E7A6E">
        <w:rPr>
          <w:lang w:val="en-US"/>
        </w:rPr>
        <w:t>igunakan pada uji konsentrasi a</w:t>
      </w:r>
      <w:r w:rsidRPr="006B5B15">
        <w:rPr>
          <w:lang w:val="en-US"/>
        </w:rPr>
        <w:t xml:space="preserve">monia yaitu SNI </w:t>
      </w:r>
      <w:r w:rsidR="00A55023" w:rsidRPr="006B5B15">
        <w:rPr>
          <w:lang w:val="en-US"/>
        </w:rPr>
        <w:t>6989.30:2005</w:t>
      </w:r>
      <w:r w:rsidR="00D03C92" w:rsidRPr="006B5B15">
        <w:rPr>
          <w:lang w:val="en-US"/>
        </w:rPr>
        <w:t>.</w:t>
      </w:r>
      <w:r w:rsidR="00A55023" w:rsidRPr="006B5B15">
        <w:rPr>
          <w:lang w:val="en-US"/>
        </w:rPr>
        <w:t xml:space="preserve"> Cara uji ini di</w:t>
      </w:r>
      <w:r w:rsidR="005E7A6E">
        <w:rPr>
          <w:lang w:val="en-US"/>
        </w:rPr>
        <w:t>gunakan untuk penentuan kadar a</w:t>
      </w:r>
      <w:r w:rsidR="00F36484">
        <w:rPr>
          <w:lang w:val="en-US"/>
        </w:rPr>
        <w:t>monia menggunakan</w:t>
      </w:r>
      <w:r w:rsidR="00A55023" w:rsidRPr="006B5B15">
        <w:rPr>
          <w:lang w:val="en-US"/>
        </w:rPr>
        <w:t xml:space="preserve"> spektrofotometer secara fenat dalam contoh air dan air limbah pada kisaran kadar 0,1 mg/L sampai dengan 0,6 mg/L NH</w:t>
      </w:r>
      <w:r w:rsidR="00A55023" w:rsidRPr="00232968">
        <w:rPr>
          <w:vertAlign w:val="subscript"/>
          <w:lang w:val="en-US"/>
        </w:rPr>
        <w:t>3</w:t>
      </w:r>
      <w:r w:rsidR="00A55023" w:rsidRPr="006B5B15">
        <w:rPr>
          <w:lang w:val="en-US"/>
        </w:rPr>
        <w:t xml:space="preserve">-N pada panjang gelombang 640 nm. </w:t>
      </w:r>
      <w:r w:rsidR="005E7A6E">
        <w:rPr>
          <w:lang w:val="en-US"/>
        </w:rPr>
        <w:t>Prinsip dari metode ini yaitu a</w:t>
      </w:r>
      <w:r w:rsidR="00A55023" w:rsidRPr="006B5B15">
        <w:rPr>
          <w:lang w:val="en-US"/>
        </w:rPr>
        <w:t xml:space="preserve">monia bereaksi dengan hipoklorit dan fenol yang dikatalisis oleh natrium nitroprusida membentuk senyawa biru indofenol. </w:t>
      </w:r>
    </w:p>
    <w:p w14:paraId="003C74EF" w14:textId="77777777" w:rsidR="00A55023" w:rsidRPr="006B5B15" w:rsidRDefault="00A55023" w:rsidP="00D33D7D">
      <w:pPr>
        <w:pStyle w:val="BodyText"/>
        <w:ind w:left="130" w:firstLine="590"/>
        <w:jc w:val="both"/>
        <w:rPr>
          <w:lang w:val="en-US"/>
        </w:rPr>
      </w:pPr>
      <w:r w:rsidRPr="006B5B15">
        <w:rPr>
          <w:lang w:val="en-US"/>
        </w:rPr>
        <w:t>Uji minyak dan lemak menggunakan metode SNI 6989.10:2004</w:t>
      </w:r>
      <w:r w:rsidR="0074253B" w:rsidRPr="006B5B15">
        <w:rPr>
          <w:lang w:val="en-US"/>
        </w:rPr>
        <w:t>. Metode ini digunakan untuk menentukan minyak dan lemak dalam contoh uji air dan air limbah secara gravimetri. Prinsip dari metode ini yaitu minyak dan lemak dalam contoh uji air diekstraksi dengan pelarut organik dalam corong pisah dan untuk menghilangkan air yang masih tersisa digunakan Na</w:t>
      </w:r>
      <w:r w:rsidR="0074253B" w:rsidRPr="00232968">
        <w:rPr>
          <w:vertAlign w:val="subscript"/>
          <w:lang w:val="en-US"/>
        </w:rPr>
        <w:t>2</w:t>
      </w:r>
      <w:r w:rsidR="0074253B" w:rsidRPr="006B5B15">
        <w:rPr>
          <w:lang w:val="en-US"/>
        </w:rPr>
        <w:t>SO</w:t>
      </w:r>
      <w:r w:rsidR="0074253B" w:rsidRPr="00232968">
        <w:rPr>
          <w:vertAlign w:val="subscript"/>
          <w:lang w:val="en-US"/>
        </w:rPr>
        <w:t>4</w:t>
      </w:r>
      <w:r w:rsidR="0074253B" w:rsidRPr="006B5B15">
        <w:rPr>
          <w:lang w:val="en-US"/>
        </w:rPr>
        <w:t xml:space="preserve"> anhidrat. Ekstrak minyak dan lemak dipisahkan dari pelarut organik secara destilasi. Residu yang tertinggal pada labu destilasi ditimbang sebagai minyak dan lemak. </w:t>
      </w:r>
    </w:p>
    <w:p w14:paraId="2A5E9A37" w14:textId="77777777" w:rsidR="00E748B4" w:rsidRPr="006B5B15" w:rsidRDefault="00404CB5" w:rsidP="00D33D7D">
      <w:pPr>
        <w:pStyle w:val="BodyText"/>
        <w:ind w:left="130" w:firstLine="590"/>
        <w:jc w:val="both"/>
        <w:rPr>
          <w:lang w:val="en-US"/>
        </w:rPr>
      </w:pPr>
      <w:r w:rsidRPr="006B5B15">
        <w:t xml:space="preserve">Hasil pengukuran dari variabel yang diukur selanjutnya dibandingkan dengan baku mutu yang bertujuan untuk mengetahui variabel yang sesuai dengan baku mutu atau yang sudah melebihi baku mutu yang digunakan yaitu </w:t>
      </w:r>
      <w:r w:rsidR="00E748B4" w:rsidRPr="006B5B15">
        <w:rPr>
          <w:lang w:val="en-US"/>
        </w:rPr>
        <w:t>Peraturan Pemerintah (</w:t>
      </w:r>
      <w:r w:rsidRPr="006B5B15">
        <w:t>PP</w:t>
      </w:r>
      <w:r w:rsidR="00E748B4" w:rsidRPr="006B5B15">
        <w:rPr>
          <w:lang w:val="en-US"/>
        </w:rPr>
        <w:t xml:space="preserve">) </w:t>
      </w:r>
      <w:r w:rsidRPr="006B5B15">
        <w:t xml:space="preserve"> Nomor 22 Tahun 2021 tentang Penyelenggaraan Perlindungan dan Pengelolaan Lingkungan Hidup</w:t>
      </w:r>
      <w:r w:rsidR="00E748B4" w:rsidRPr="006B5B15">
        <w:rPr>
          <w:lang w:val="en-US"/>
        </w:rPr>
        <w:t xml:space="preserve"> untuk wisata bahari</w:t>
      </w:r>
      <w:r w:rsidRPr="006B5B15">
        <w:rPr>
          <w:lang w:val="en-US"/>
        </w:rPr>
        <w:t xml:space="preserve">. </w:t>
      </w:r>
    </w:p>
    <w:p w14:paraId="0A4EFBF6" w14:textId="77777777" w:rsidR="00CF37BB" w:rsidRPr="006B5B15" w:rsidRDefault="008A68E5" w:rsidP="00D33D7D">
      <w:pPr>
        <w:pStyle w:val="BodyText"/>
        <w:ind w:left="130" w:firstLine="590"/>
        <w:jc w:val="both"/>
        <w:rPr>
          <w:rFonts w:eastAsiaTheme="minorEastAsia"/>
          <w:lang w:val="en-US"/>
        </w:rPr>
      </w:pPr>
      <w:r w:rsidRPr="006B5B15">
        <w:rPr>
          <w:lang w:val="en-US"/>
        </w:rPr>
        <w:t xml:space="preserve">Metode yang digunakan untuk mengetahui </w:t>
      </w:r>
      <w:r w:rsidR="00CF37BB" w:rsidRPr="006B5B15">
        <w:rPr>
          <w:lang w:val="en-US"/>
        </w:rPr>
        <w:t xml:space="preserve">status pencemaran di perairan Pantai Wates yaitu Indeks Pencemaran (IP) berdasarkan </w:t>
      </w:r>
      <w:r w:rsidR="000F2EEE" w:rsidRPr="006B5B15">
        <w:rPr>
          <w:rFonts w:eastAsiaTheme="minorEastAsia"/>
          <w:lang w:val="id-ID"/>
        </w:rPr>
        <w:t xml:space="preserve">KEPMEN </w:t>
      </w:r>
      <w:r w:rsidR="000F2EEE" w:rsidRPr="006B5B15">
        <w:rPr>
          <w:rFonts w:eastAsiaTheme="minorEastAsia"/>
        </w:rPr>
        <w:t>LH No 115 Tahun 2003</w:t>
      </w:r>
      <w:r w:rsidR="000F2EEE" w:rsidRPr="006B5B15">
        <w:rPr>
          <w:rFonts w:eastAsiaTheme="minorEastAsia"/>
          <w:lang w:val="en-US"/>
        </w:rPr>
        <w:t xml:space="preserve"> tentang Pedoman Penentuan Status Mutu Air </w:t>
      </w:r>
      <w:r w:rsidRPr="006B5B15">
        <w:rPr>
          <w:rFonts w:eastAsiaTheme="minorEastAsia"/>
          <w:lang w:val="en-US"/>
        </w:rPr>
        <w:t>dengan rumus sebagai berikut:</w:t>
      </w:r>
    </w:p>
    <w:p w14:paraId="1324D547" w14:textId="77777777" w:rsidR="00164C8D" w:rsidRPr="006B5B15" w:rsidRDefault="00164C8D" w:rsidP="00D33D7D">
      <w:pPr>
        <w:pStyle w:val="BodyText"/>
        <w:ind w:left="130" w:firstLine="590"/>
        <w:jc w:val="both"/>
        <w:rPr>
          <w:rFonts w:eastAsiaTheme="minorEastAsia"/>
          <w:lang w:val="en-US"/>
        </w:rPr>
      </w:pPr>
    </w:p>
    <w:p w14:paraId="0716AE28" w14:textId="77777777" w:rsidR="008A68E5" w:rsidRPr="006B5B15" w:rsidRDefault="00164C8D" w:rsidP="00D33D7D">
      <w:pPr>
        <w:pStyle w:val="ListParagraph"/>
        <w:tabs>
          <w:tab w:val="left" w:pos="5760"/>
        </w:tabs>
        <w:jc w:val="both"/>
        <w:rPr>
          <w:rFonts w:eastAsiaTheme="minorEastAsia"/>
          <w:i/>
          <w:sz w:val="20"/>
          <w:szCs w:val="20"/>
        </w:rPr>
      </w:pPr>
      <m:oMathPara>
        <m:oMath>
          <m:r>
            <m:rPr>
              <m:nor/>
            </m:rPr>
            <w:rPr>
              <w:sz w:val="20"/>
              <w:szCs w:val="20"/>
            </w:rPr>
            <m:t>PIj=</m:t>
          </m:r>
          <m:rad>
            <m:radPr>
              <m:degHide m:val="1"/>
              <m:ctrlPr>
                <w:rPr>
                  <w:rFonts w:ascii="Cambria Math" w:hAnsi="Cambria Math"/>
                  <w:sz w:val="20"/>
                  <w:szCs w:val="20"/>
                </w:rPr>
              </m:ctrlPr>
            </m:radPr>
            <m:deg/>
            <m:e>
              <m:f>
                <m:fPr>
                  <m:ctrlPr>
                    <w:rPr>
                      <w:rFonts w:ascii="Cambria Math" w:hAnsi="Cambria Math"/>
                      <w:sz w:val="20"/>
                      <w:szCs w:val="20"/>
                    </w:rPr>
                  </m:ctrlPr>
                </m:fPr>
                <m:num>
                  <m:sSubSup>
                    <m:sSubSupPr>
                      <m:ctrlPr>
                        <w:rPr>
                          <w:rFonts w:ascii="Cambria Math" w:hAnsi="Cambria Math"/>
                          <w:sz w:val="20"/>
                          <w:szCs w:val="20"/>
                        </w:rPr>
                      </m:ctrlPr>
                    </m:sSubSupPr>
                    <m:e>
                      <m:r>
                        <m:rPr>
                          <m:nor/>
                        </m:rPr>
                        <w:rPr>
                          <w:sz w:val="20"/>
                          <w:szCs w:val="20"/>
                        </w:rPr>
                        <m:t>(Ci/Lij)</m:t>
                      </m:r>
                    </m:e>
                    <m:sub>
                      <m:r>
                        <m:rPr>
                          <m:nor/>
                        </m:rPr>
                        <w:rPr>
                          <w:sz w:val="20"/>
                          <w:szCs w:val="20"/>
                        </w:rPr>
                        <m:t>M</m:t>
                      </m:r>
                    </m:sub>
                    <m:sup>
                      <m:r>
                        <m:rPr>
                          <m:nor/>
                        </m:rPr>
                        <w:rPr>
                          <w:sz w:val="20"/>
                          <w:szCs w:val="20"/>
                        </w:rPr>
                        <m:t>2</m:t>
                      </m:r>
                    </m:sup>
                  </m:sSubSup>
                  <m:r>
                    <m:rPr>
                      <m:nor/>
                    </m:rPr>
                    <w:rPr>
                      <w:sz w:val="20"/>
                      <w:szCs w:val="20"/>
                    </w:rPr>
                    <m:t xml:space="preserve"> + </m:t>
                  </m:r>
                  <m:sSubSup>
                    <m:sSubSupPr>
                      <m:ctrlPr>
                        <w:rPr>
                          <w:rFonts w:ascii="Cambria Math" w:hAnsi="Cambria Math"/>
                          <w:sz w:val="20"/>
                          <w:szCs w:val="20"/>
                        </w:rPr>
                      </m:ctrlPr>
                    </m:sSubSupPr>
                    <m:e>
                      <m:r>
                        <m:rPr>
                          <m:nor/>
                        </m:rPr>
                        <w:rPr>
                          <w:sz w:val="20"/>
                          <w:szCs w:val="20"/>
                        </w:rPr>
                        <m:t>(Ci/Lij)</m:t>
                      </m:r>
                    </m:e>
                    <m:sub>
                      <m:r>
                        <m:rPr>
                          <m:nor/>
                        </m:rPr>
                        <w:rPr>
                          <w:sz w:val="20"/>
                          <w:szCs w:val="20"/>
                        </w:rPr>
                        <m:t>R</m:t>
                      </m:r>
                    </m:sub>
                    <m:sup>
                      <m:r>
                        <m:rPr>
                          <m:nor/>
                        </m:rPr>
                        <w:rPr>
                          <w:sz w:val="20"/>
                          <w:szCs w:val="20"/>
                        </w:rPr>
                        <m:t>2</m:t>
                      </m:r>
                    </m:sup>
                  </m:sSubSup>
                </m:num>
                <m:den>
                  <m:r>
                    <m:rPr>
                      <m:nor/>
                    </m:rPr>
                    <w:rPr>
                      <w:sz w:val="20"/>
                      <w:szCs w:val="20"/>
                    </w:rPr>
                    <m:t>2</m:t>
                  </m:r>
                </m:den>
              </m:f>
            </m:e>
          </m:rad>
        </m:oMath>
      </m:oMathPara>
    </w:p>
    <w:p w14:paraId="0C23F233" w14:textId="77777777" w:rsidR="00164C8D" w:rsidRPr="006B5B15" w:rsidRDefault="0081536E" w:rsidP="00D33D7D">
      <w:pPr>
        <w:pStyle w:val="ListParagraph"/>
        <w:tabs>
          <w:tab w:val="left" w:pos="5760"/>
        </w:tabs>
        <w:ind w:left="426" w:hanging="426"/>
        <w:jc w:val="both"/>
        <w:rPr>
          <w:rFonts w:eastAsiaTheme="minorEastAsia"/>
          <w:sz w:val="20"/>
          <w:szCs w:val="20"/>
        </w:rPr>
      </w:pPr>
      <w:r w:rsidRPr="006B5B15">
        <w:rPr>
          <w:sz w:val="20"/>
          <w:szCs w:val="20"/>
          <w:lang w:val="en-US"/>
        </w:rPr>
        <w:t xml:space="preserve"> </w:t>
      </w:r>
      <w:r w:rsidR="00D03C92" w:rsidRPr="006B5B15">
        <w:rPr>
          <w:sz w:val="20"/>
          <w:szCs w:val="20"/>
          <w:lang w:val="en-US"/>
        </w:rPr>
        <w:t xml:space="preserve"> </w:t>
      </w:r>
      <w:r w:rsidR="00164C8D" w:rsidRPr="006B5B15">
        <w:rPr>
          <w:rFonts w:eastAsiaTheme="minorEastAsia"/>
          <w:sz w:val="20"/>
          <w:szCs w:val="20"/>
        </w:rPr>
        <w:t>Keterangan:</w:t>
      </w:r>
    </w:p>
    <w:p w14:paraId="5A0F54CF" w14:textId="77777777" w:rsidR="00164C8D" w:rsidRPr="006B5B15" w:rsidRDefault="00164C8D" w:rsidP="00D33D7D">
      <w:pPr>
        <w:pStyle w:val="ListParagraph"/>
        <w:tabs>
          <w:tab w:val="left" w:pos="990"/>
        </w:tabs>
        <w:ind w:left="1100" w:hanging="990"/>
        <w:jc w:val="both"/>
        <w:rPr>
          <w:rFonts w:eastAsiaTheme="minorEastAsia"/>
          <w:sz w:val="20"/>
          <w:szCs w:val="20"/>
        </w:rPr>
      </w:pPr>
      <w:r w:rsidRPr="006B5B15">
        <w:rPr>
          <w:rFonts w:eastAsiaTheme="minorEastAsia"/>
          <w:sz w:val="20"/>
          <w:szCs w:val="20"/>
        </w:rPr>
        <w:t>Lij</w:t>
      </w:r>
      <w:r w:rsidRPr="006B5B15">
        <w:rPr>
          <w:rFonts w:eastAsiaTheme="minorEastAsia"/>
          <w:sz w:val="20"/>
          <w:szCs w:val="20"/>
        </w:rPr>
        <w:tab/>
      </w:r>
      <w:r w:rsidR="0081536E" w:rsidRPr="006B5B15">
        <w:rPr>
          <w:rFonts w:eastAsiaTheme="minorEastAsia"/>
          <w:sz w:val="20"/>
          <w:szCs w:val="20"/>
        </w:rPr>
        <w:t xml:space="preserve">: </w:t>
      </w:r>
      <w:r w:rsidRPr="006B5B15">
        <w:rPr>
          <w:rFonts w:eastAsiaTheme="minorEastAsia"/>
          <w:sz w:val="20"/>
          <w:szCs w:val="20"/>
        </w:rPr>
        <w:t>Konsentrasi parameter kualitas air yang dicantumkan dalam baku mutu sesuai peruntukan air</w:t>
      </w:r>
    </w:p>
    <w:p w14:paraId="19357194" w14:textId="77777777" w:rsidR="00164C8D" w:rsidRPr="006B5B15" w:rsidRDefault="0081536E" w:rsidP="00D33D7D">
      <w:pPr>
        <w:pStyle w:val="ListParagraph"/>
        <w:tabs>
          <w:tab w:val="left" w:pos="990"/>
        </w:tabs>
        <w:ind w:left="1100" w:hanging="1100"/>
        <w:jc w:val="both"/>
        <w:rPr>
          <w:rFonts w:eastAsiaTheme="minorEastAsia"/>
          <w:sz w:val="20"/>
          <w:szCs w:val="20"/>
        </w:rPr>
      </w:pPr>
      <w:r w:rsidRPr="006B5B15">
        <w:rPr>
          <w:rFonts w:eastAsiaTheme="minorEastAsia"/>
          <w:sz w:val="20"/>
          <w:szCs w:val="20"/>
          <w:lang w:val="en-US"/>
        </w:rPr>
        <w:t xml:space="preserve">  </w:t>
      </w:r>
      <w:r w:rsidR="00B451FF" w:rsidRPr="006B5B15">
        <w:rPr>
          <w:rFonts w:eastAsiaTheme="minorEastAsia"/>
          <w:sz w:val="20"/>
          <w:szCs w:val="20"/>
        </w:rPr>
        <w:t>Ci</w:t>
      </w:r>
      <w:r w:rsidR="00B451FF" w:rsidRPr="006B5B15">
        <w:rPr>
          <w:rFonts w:eastAsiaTheme="minorEastAsia"/>
          <w:sz w:val="20"/>
          <w:szCs w:val="20"/>
        </w:rPr>
        <w:tab/>
      </w:r>
      <w:r w:rsidR="00B451FF" w:rsidRPr="006B5B15">
        <w:rPr>
          <w:rFonts w:eastAsiaTheme="minorEastAsia"/>
          <w:sz w:val="20"/>
          <w:szCs w:val="20"/>
          <w:lang w:val="en-US"/>
        </w:rPr>
        <w:t xml:space="preserve">: </w:t>
      </w:r>
      <w:r w:rsidR="00164C8D" w:rsidRPr="006B5B15">
        <w:rPr>
          <w:rFonts w:eastAsiaTheme="minorEastAsia"/>
          <w:sz w:val="20"/>
          <w:szCs w:val="20"/>
        </w:rPr>
        <w:t>Konsentrasi parameter kualitas air yang diperoleh dari hasil analisis</w:t>
      </w:r>
    </w:p>
    <w:p w14:paraId="3252EF37" w14:textId="77777777" w:rsidR="00164C8D" w:rsidRPr="006B5B15" w:rsidRDefault="0081536E" w:rsidP="00D33D7D">
      <w:pPr>
        <w:pStyle w:val="ListParagraph"/>
        <w:tabs>
          <w:tab w:val="left" w:pos="660"/>
        </w:tabs>
        <w:ind w:left="990" w:hanging="990"/>
        <w:jc w:val="both"/>
        <w:rPr>
          <w:rFonts w:eastAsiaTheme="minorEastAsia"/>
          <w:sz w:val="20"/>
          <w:szCs w:val="20"/>
        </w:rPr>
      </w:pPr>
      <w:r w:rsidRPr="006B5B15">
        <w:rPr>
          <w:rFonts w:eastAsiaTheme="minorEastAsia"/>
          <w:sz w:val="20"/>
          <w:szCs w:val="20"/>
          <w:lang w:val="en-US"/>
        </w:rPr>
        <w:t xml:space="preserve">  </w:t>
      </w:r>
      <w:r w:rsidR="00164C8D" w:rsidRPr="006B5B15">
        <w:rPr>
          <w:rFonts w:eastAsiaTheme="minorEastAsia"/>
          <w:sz w:val="20"/>
          <w:szCs w:val="20"/>
        </w:rPr>
        <w:t>PIj</w:t>
      </w:r>
      <w:r w:rsidR="00164C8D" w:rsidRPr="006B5B15">
        <w:rPr>
          <w:rFonts w:eastAsiaTheme="minorEastAsia"/>
          <w:sz w:val="20"/>
          <w:szCs w:val="20"/>
        </w:rPr>
        <w:tab/>
      </w:r>
      <w:r w:rsidR="00164C8D" w:rsidRPr="006B5B15">
        <w:rPr>
          <w:rFonts w:eastAsiaTheme="minorEastAsia"/>
          <w:sz w:val="20"/>
          <w:szCs w:val="20"/>
        </w:rPr>
        <w:tab/>
        <w:t>: Indeks pencemaran bagi peruntukannya</w:t>
      </w:r>
    </w:p>
    <w:p w14:paraId="32AFF084" w14:textId="77777777" w:rsidR="00164C8D" w:rsidRPr="006B5B15" w:rsidRDefault="0081536E" w:rsidP="00D33D7D">
      <w:pPr>
        <w:pStyle w:val="ListParagraph"/>
        <w:tabs>
          <w:tab w:val="left" w:pos="1134"/>
          <w:tab w:val="left" w:pos="1701"/>
        </w:tabs>
        <w:ind w:left="990" w:hanging="990"/>
        <w:jc w:val="both"/>
        <w:rPr>
          <w:rFonts w:eastAsiaTheme="minorEastAsia"/>
          <w:sz w:val="20"/>
          <w:szCs w:val="20"/>
        </w:rPr>
      </w:pPr>
      <w:r w:rsidRPr="006B5B15">
        <w:rPr>
          <w:rFonts w:eastAsiaTheme="minorEastAsia"/>
          <w:sz w:val="20"/>
          <w:szCs w:val="20"/>
          <w:lang w:val="en-US"/>
        </w:rPr>
        <w:t xml:space="preserve">  </w:t>
      </w:r>
      <w:r w:rsidR="00164C8D" w:rsidRPr="006B5B15">
        <w:rPr>
          <w:rFonts w:eastAsiaTheme="minorEastAsia"/>
          <w:sz w:val="20"/>
          <w:szCs w:val="20"/>
        </w:rPr>
        <w:t>(Ci/Lij) M</w:t>
      </w:r>
      <w:r w:rsidR="00164C8D" w:rsidRPr="006B5B15">
        <w:rPr>
          <w:rFonts w:eastAsiaTheme="minorEastAsia"/>
          <w:sz w:val="20"/>
          <w:szCs w:val="20"/>
        </w:rPr>
        <w:tab/>
        <w:t>: Nilai Ci/Li maksimum</w:t>
      </w:r>
    </w:p>
    <w:p w14:paraId="22AAC222" w14:textId="77777777" w:rsidR="00164C8D" w:rsidRPr="006B5B15" w:rsidRDefault="0081536E" w:rsidP="00D33D7D">
      <w:pPr>
        <w:pStyle w:val="ListParagraph"/>
        <w:tabs>
          <w:tab w:val="left" w:pos="1134"/>
          <w:tab w:val="left" w:pos="1701"/>
        </w:tabs>
        <w:ind w:left="990" w:hanging="990"/>
        <w:jc w:val="both"/>
        <w:rPr>
          <w:rFonts w:eastAsiaTheme="minorEastAsia"/>
          <w:sz w:val="20"/>
          <w:szCs w:val="20"/>
        </w:rPr>
      </w:pPr>
      <w:r w:rsidRPr="006B5B15">
        <w:rPr>
          <w:rFonts w:eastAsiaTheme="minorEastAsia"/>
          <w:sz w:val="20"/>
          <w:szCs w:val="20"/>
          <w:lang w:val="en-US"/>
        </w:rPr>
        <w:t xml:space="preserve">  </w:t>
      </w:r>
      <w:r w:rsidR="00164C8D" w:rsidRPr="006B5B15">
        <w:rPr>
          <w:rFonts w:eastAsiaTheme="minorEastAsia"/>
          <w:sz w:val="20"/>
          <w:szCs w:val="20"/>
        </w:rPr>
        <w:t>(Ci/Lij) R</w:t>
      </w:r>
      <w:r w:rsidR="00164C8D" w:rsidRPr="006B5B15">
        <w:rPr>
          <w:rFonts w:eastAsiaTheme="minorEastAsia"/>
          <w:sz w:val="20"/>
          <w:szCs w:val="20"/>
        </w:rPr>
        <w:tab/>
        <w:t>: Nilai Ci/Li rata-rata</w:t>
      </w:r>
    </w:p>
    <w:p w14:paraId="0BE66573" w14:textId="77777777" w:rsidR="0081536E" w:rsidRPr="006B5B15" w:rsidRDefault="0081536E" w:rsidP="00D33D7D">
      <w:pPr>
        <w:pStyle w:val="ListParagraph"/>
        <w:tabs>
          <w:tab w:val="left" w:pos="1134"/>
          <w:tab w:val="left" w:pos="1701"/>
        </w:tabs>
        <w:ind w:left="990" w:hanging="880"/>
        <w:jc w:val="both"/>
        <w:rPr>
          <w:rFonts w:eastAsiaTheme="minorEastAsia"/>
          <w:sz w:val="20"/>
          <w:szCs w:val="20"/>
          <w:lang w:val="en-US"/>
        </w:rPr>
      </w:pPr>
      <w:r w:rsidRPr="006B5B15">
        <w:rPr>
          <w:rFonts w:eastAsiaTheme="minorEastAsia"/>
          <w:sz w:val="20"/>
          <w:szCs w:val="20"/>
          <w:lang w:val="en-US"/>
        </w:rPr>
        <w:t xml:space="preserve"> </w:t>
      </w:r>
    </w:p>
    <w:p w14:paraId="20CEB11D" w14:textId="77777777" w:rsidR="0081536E" w:rsidRPr="006B5B15" w:rsidRDefault="0081536E" w:rsidP="00D33D7D">
      <w:pPr>
        <w:pStyle w:val="ListParagraph"/>
        <w:ind w:left="110" w:hanging="2"/>
        <w:jc w:val="both"/>
        <w:rPr>
          <w:rFonts w:ascii="Times New Roman" w:eastAsiaTheme="minorEastAsia" w:hAnsi="Times New Roman" w:cs="Times New Roman"/>
          <w:sz w:val="24"/>
          <w:szCs w:val="24"/>
        </w:rPr>
      </w:pPr>
      <w:r w:rsidRPr="006B5B15">
        <w:rPr>
          <w:rFonts w:eastAsiaTheme="minorEastAsia"/>
          <w:sz w:val="20"/>
          <w:szCs w:val="20"/>
        </w:rPr>
        <w:tab/>
      </w:r>
      <w:r w:rsidRPr="006B5B15">
        <w:rPr>
          <w:rFonts w:eastAsiaTheme="minorEastAsia"/>
          <w:sz w:val="20"/>
          <w:szCs w:val="20"/>
        </w:rPr>
        <w:tab/>
        <w:t xml:space="preserve">Kriteria indeks pencemaran berdasarkan Keputusan Menteri Lingkungan Hidup Nomor 115 Tahun 2003 akan disajikan pada </w:t>
      </w:r>
      <w:r w:rsidRPr="006B5B15">
        <w:rPr>
          <w:rFonts w:eastAsiaTheme="minorEastAsia"/>
          <w:sz w:val="20"/>
          <w:szCs w:val="20"/>
          <w:lang w:val="id-ID"/>
        </w:rPr>
        <w:t>T</w:t>
      </w:r>
      <w:r w:rsidRPr="006B5B15">
        <w:rPr>
          <w:rFonts w:eastAsiaTheme="minorEastAsia"/>
          <w:sz w:val="20"/>
          <w:szCs w:val="20"/>
        </w:rPr>
        <w:t>abel 1</w:t>
      </w:r>
      <w:r w:rsidRPr="006B5B15">
        <w:rPr>
          <w:rFonts w:ascii="Times New Roman" w:eastAsiaTheme="minorEastAsia" w:hAnsi="Times New Roman" w:cs="Times New Roman"/>
          <w:sz w:val="24"/>
          <w:szCs w:val="24"/>
        </w:rPr>
        <w:t>.</w:t>
      </w:r>
    </w:p>
    <w:p w14:paraId="346D7230" w14:textId="77777777" w:rsidR="0081536E" w:rsidRPr="006B5B15" w:rsidRDefault="0081536E" w:rsidP="00D33D7D">
      <w:pPr>
        <w:pStyle w:val="ListParagraph"/>
        <w:ind w:left="110" w:hanging="2"/>
        <w:jc w:val="both"/>
        <w:rPr>
          <w:rFonts w:ascii="Times New Roman" w:eastAsiaTheme="minorEastAsia" w:hAnsi="Times New Roman" w:cs="Times New Roman"/>
          <w:sz w:val="24"/>
          <w:szCs w:val="24"/>
        </w:rPr>
      </w:pPr>
    </w:p>
    <w:p w14:paraId="65C26E4E" w14:textId="77777777" w:rsidR="0081536E" w:rsidRPr="006B5B15" w:rsidRDefault="0081536E" w:rsidP="00D33D7D">
      <w:pPr>
        <w:pStyle w:val="ListParagraph"/>
        <w:ind w:left="110" w:hanging="2"/>
        <w:jc w:val="both"/>
        <w:rPr>
          <w:rFonts w:eastAsiaTheme="minorEastAsia"/>
          <w:sz w:val="20"/>
          <w:szCs w:val="20"/>
          <w:lang w:val="en-US"/>
        </w:rPr>
      </w:pPr>
      <w:r w:rsidRPr="006B5B15">
        <w:rPr>
          <w:rFonts w:eastAsiaTheme="minorEastAsia"/>
          <w:b/>
          <w:sz w:val="20"/>
          <w:szCs w:val="20"/>
          <w:lang w:val="en-US"/>
        </w:rPr>
        <w:t>Tabel 1</w:t>
      </w:r>
      <w:r w:rsidRPr="006B5B15">
        <w:rPr>
          <w:rFonts w:eastAsiaTheme="minorEastAsia"/>
          <w:sz w:val="20"/>
          <w:szCs w:val="20"/>
          <w:lang w:val="en-US"/>
        </w:rPr>
        <w:t>. Kriteria Indeks Pencemaran</w:t>
      </w:r>
    </w:p>
    <w:tbl>
      <w:tblPr>
        <w:tblStyle w:val="TableGrid"/>
        <w:tblW w:w="4835" w:type="dxa"/>
        <w:tblInd w:w="1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1650"/>
        <w:gridCol w:w="2530"/>
      </w:tblGrid>
      <w:tr w:rsidR="006B5B15" w:rsidRPr="006B5B15" w14:paraId="7D376158" w14:textId="77777777" w:rsidTr="005B103D">
        <w:tc>
          <w:tcPr>
            <w:tcW w:w="655" w:type="dxa"/>
            <w:tcBorders>
              <w:top w:val="single" w:sz="4" w:space="0" w:color="auto"/>
              <w:bottom w:val="single" w:sz="4" w:space="0" w:color="auto"/>
            </w:tcBorders>
          </w:tcPr>
          <w:p w14:paraId="6F0EA27D" w14:textId="77777777" w:rsidR="0081536E" w:rsidRPr="006B5B15" w:rsidRDefault="0081536E" w:rsidP="00D33D7D">
            <w:pPr>
              <w:pStyle w:val="ListParagraph"/>
              <w:jc w:val="center"/>
              <w:rPr>
                <w:rFonts w:eastAsiaTheme="minorEastAsia"/>
                <w:sz w:val="20"/>
                <w:szCs w:val="20"/>
                <w:lang w:val="en-US"/>
              </w:rPr>
            </w:pPr>
            <w:r w:rsidRPr="006B5B15">
              <w:rPr>
                <w:rFonts w:eastAsiaTheme="minorEastAsia"/>
                <w:sz w:val="20"/>
                <w:szCs w:val="20"/>
                <w:lang w:val="en-US"/>
              </w:rPr>
              <w:t>No</w:t>
            </w:r>
          </w:p>
        </w:tc>
        <w:tc>
          <w:tcPr>
            <w:tcW w:w="1650" w:type="dxa"/>
            <w:tcBorders>
              <w:top w:val="single" w:sz="4" w:space="0" w:color="auto"/>
              <w:bottom w:val="single" w:sz="4" w:space="0" w:color="auto"/>
            </w:tcBorders>
          </w:tcPr>
          <w:p w14:paraId="1F7C94CA" w14:textId="77777777" w:rsidR="0081536E" w:rsidRPr="006B5B15" w:rsidRDefault="0081536E" w:rsidP="00D33D7D">
            <w:pPr>
              <w:pStyle w:val="ListParagraph"/>
              <w:jc w:val="center"/>
              <w:rPr>
                <w:rFonts w:eastAsiaTheme="minorEastAsia"/>
                <w:sz w:val="20"/>
                <w:szCs w:val="20"/>
                <w:lang w:val="en-US"/>
              </w:rPr>
            </w:pPr>
            <w:r w:rsidRPr="006B5B15">
              <w:rPr>
                <w:rFonts w:eastAsiaTheme="minorEastAsia"/>
                <w:sz w:val="20"/>
                <w:szCs w:val="20"/>
                <w:lang w:val="en-US"/>
              </w:rPr>
              <w:t>Nilai PIj</w:t>
            </w:r>
          </w:p>
        </w:tc>
        <w:tc>
          <w:tcPr>
            <w:tcW w:w="2530" w:type="dxa"/>
            <w:tcBorders>
              <w:top w:val="single" w:sz="4" w:space="0" w:color="auto"/>
              <w:bottom w:val="single" w:sz="4" w:space="0" w:color="auto"/>
            </w:tcBorders>
          </w:tcPr>
          <w:p w14:paraId="0964DB22" w14:textId="77777777" w:rsidR="0081536E" w:rsidRPr="006B5B15" w:rsidRDefault="0081536E" w:rsidP="00D33D7D">
            <w:pPr>
              <w:pStyle w:val="ListParagraph"/>
              <w:jc w:val="center"/>
              <w:rPr>
                <w:rFonts w:eastAsiaTheme="minorEastAsia"/>
                <w:sz w:val="20"/>
                <w:szCs w:val="20"/>
                <w:lang w:val="en-US"/>
              </w:rPr>
            </w:pPr>
            <w:r w:rsidRPr="006B5B15">
              <w:rPr>
                <w:rFonts w:eastAsiaTheme="minorEastAsia"/>
                <w:sz w:val="20"/>
                <w:szCs w:val="20"/>
                <w:lang w:val="en-US"/>
              </w:rPr>
              <w:t>Kelas</w:t>
            </w:r>
          </w:p>
        </w:tc>
      </w:tr>
      <w:tr w:rsidR="006B5B15" w:rsidRPr="006B5B15" w14:paraId="73805CC4" w14:textId="77777777" w:rsidTr="005B103D">
        <w:tc>
          <w:tcPr>
            <w:tcW w:w="655" w:type="dxa"/>
            <w:tcBorders>
              <w:top w:val="single" w:sz="4" w:space="0" w:color="auto"/>
            </w:tcBorders>
          </w:tcPr>
          <w:p w14:paraId="509E5D6F" w14:textId="77777777" w:rsidR="0081536E" w:rsidRPr="006B5B15" w:rsidRDefault="005B103D" w:rsidP="00D33D7D">
            <w:pPr>
              <w:pStyle w:val="ListParagraph"/>
              <w:jc w:val="center"/>
              <w:rPr>
                <w:rFonts w:eastAsiaTheme="minorEastAsia"/>
                <w:sz w:val="20"/>
                <w:szCs w:val="20"/>
                <w:lang w:val="en-US"/>
              </w:rPr>
            </w:pPr>
            <w:r w:rsidRPr="006B5B15">
              <w:rPr>
                <w:rFonts w:eastAsiaTheme="minorEastAsia"/>
                <w:sz w:val="20"/>
                <w:szCs w:val="20"/>
                <w:lang w:val="en-US"/>
              </w:rPr>
              <w:t>1</w:t>
            </w:r>
          </w:p>
        </w:tc>
        <w:tc>
          <w:tcPr>
            <w:tcW w:w="1650" w:type="dxa"/>
            <w:tcBorders>
              <w:top w:val="single" w:sz="4" w:space="0" w:color="auto"/>
            </w:tcBorders>
            <w:vAlign w:val="center"/>
          </w:tcPr>
          <w:p w14:paraId="66735DE3"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0 ≤ PIj ≤ 1,0</w:t>
            </w:r>
          </w:p>
        </w:tc>
        <w:tc>
          <w:tcPr>
            <w:tcW w:w="2530" w:type="dxa"/>
            <w:tcBorders>
              <w:top w:val="single" w:sz="4" w:space="0" w:color="auto"/>
            </w:tcBorders>
            <w:vAlign w:val="center"/>
          </w:tcPr>
          <w:p w14:paraId="72E5C340"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Memenuhi baku mutu (kondisi baik)</w:t>
            </w:r>
          </w:p>
        </w:tc>
      </w:tr>
      <w:tr w:rsidR="006B5B15" w:rsidRPr="006B5B15" w14:paraId="566B5669" w14:textId="77777777" w:rsidTr="005B103D">
        <w:tc>
          <w:tcPr>
            <w:tcW w:w="655" w:type="dxa"/>
          </w:tcPr>
          <w:p w14:paraId="1E73C869" w14:textId="77777777" w:rsidR="0081536E" w:rsidRPr="006B5B15" w:rsidRDefault="005B103D" w:rsidP="00D33D7D">
            <w:pPr>
              <w:pStyle w:val="ListParagraph"/>
              <w:jc w:val="center"/>
              <w:rPr>
                <w:rFonts w:eastAsiaTheme="minorEastAsia"/>
                <w:sz w:val="20"/>
                <w:szCs w:val="20"/>
                <w:lang w:val="en-US"/>
              </w:rPr>
            </w:pPr>
            <w:r w:rsidRPr="006B5B15">
              <w:rPr>
                <w:rFonts w:eastAsiaTheme="minorEastAsia"/>
                <w:sz w:val="20"/>
                <w:szCs w:val="20"/>
                <w:lang w:val="en-US"/>
              </w:rPr>
              <w:t>2</w:t>
            </w:r>
          </w:p>
        </w:tc>
        <w:tc>
          <w:tcPr>
            <w:tcW w:w="1650" w:type="dxa"/>
            <w:vAlign w:val="center"/>
          </w:tcPr>
          <w:p w14:paraId="5ADC2BB3"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1,0 ≤ PIj ≤ 5,0</w:t>
            </w:r>
          </w:p>
        </w:tc>
        <w:tc>
          <w:tcPr>
            <w:tcW w:w="2530" w:type="dxa"/>
            <w:vAlign w:val="center"/>
          </w:tcPr>
          <w:p w14:paraId="4B855DC6"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Cemar ringan</w:t>
            </w:r>
          </w:p>
        </w:tc>
      </w:tr>
      <w:tr w:rsidR="006B5B15" w:rsidRPr="006B5B15" w14:paraId="31D9901D" w14:textId="77777777" w:rsidTr="005B103D">
        <w:tc>
          <w:tcPr>
            <w:tcW w:w="655" w:type="dxa"/>
          </w:tcPr>
          <w:p w14:paraId="6EDEE00B" w14:textId="77777777" w:rsidR="0081536E" w:rsidRPr="006B5B15" w:rsidRDefault="005B103D" w:rsidP="00D33D7D">
            <w:pPr>
              <w:pStyle w:val="ListParagraph"/>
              <w:jc w:val="center"/>
              <w:rPr>
                <w:rFonts w:eastAsiaTheme="minorEastAsia"/>
                <w:sz w:val="20"/>
                <w:szCs w:val="20"/>
                <w:lang w:val="en-US"/>
              </w:rPr>
            </w:pPr>
            <w:r w:rsidRPr="006B5B15">
              <w:rPr>
                <w:rFonts w:eastAsiaTheme="minorEastAsia"/>
                <w:sz w:val="20"/>
                <w:szCs w:val="20"/>
                <w:lang w:val="en-US"/>
              </w:rPr>
              <w:t>3</w:t>
            </w:r>
          </w:p>
        </w:tc>
        <w:tc>
          <w:tcPr>
            <w:tcW w:w="1650" w:type="dxa"/>
            <w:vAlign w:val="center"/>
          </w:tcPr>
          <w:p w14:paraId="77460765"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5,0 ≤ PIj ≤10</w:t>
            </w:r>
          </w:p>
        </w:tc>
        <w:tc>
          <w:tcPr>
            <w:tcW w:w="2530" w:type="dxa"/>
            <w:vAlign w:val="center"/>
          </w:tcPr>
          <w:p w14:paraId="5496A234"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Cemar sedang</w:t>
            </w:r>
          </w:p>
        </w:tc>
      </w:tr>
      <w:tr w:rsidR="0081536E" w:rsidRPr="006B5B15" w14:paraId="138546FB" w14:textId="77777777" w:rsidTr="005B103D">
        <w:tc>
          <w:tcPr>
            <w:tcW w:w="655" w:type="dxa"/>
          </w:tcPr>
          <w:p w14:paraId="027A7F9B" w14:textId="77777777" w:rsidR="0081536E" w:rsidRPr="006B5B15" w:rsidRDefault="005B103D" w:rsidP="00D33D7D">
            <w:pPr>
              <w:pStyle w:val="ListParagraph"/>
              <w:jc w:val="center"/>
              <w:rPr>
                <w:rFonts w:eastAsiaTheme="minorEastAsia"/>
                <w:sz w:val="20"/>
                <w:szCs w:val="20"/>
                <w:lang w:val="en-US"/>
              </w:rPr>
            </w:pPr>
            <w:r w:rsidRPr="006B5B15">
              <w:rPr>
                <w:rFonts w:eastAsiaTheme="minorEastAsia"/>
                <w:sz w:val="20"/>
                <w:szCs w:val="20"/>
                <w:lang w:val="en-US"/>
              </w:rPr>
              <w:t>4</w:t>
            </w:r>
          </w:p>
        </w:tc>
        <w:tc>
          <w:tcPr>
            <w:tcW w:w="1650" w:type="dxa"/>
            <w:vAlign w:val="center"/>
          </w:tcPr>
          <w:p w14:paraId="307E1355"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PIj &gt; 10</w:t>
            </w:r>
          </w:p>
        </w:tc>
        <w:tc>
          <w:tcPr>
            <w:tcW w:w="2530" w:type="dxa"/>
            <w:vAlign w:val="center"/>
          </w:tcPr>
          <w:p w14:paraId="6FB87C4B" w14:textId="77777777" w:rsidR="0081536E" w:rsidRPr="006B5B15" w:rsidRDefault="0081536E" w:rsidP="00D33D7D">
            <w:pPr>
              <w:tabs>
                <w:tab w:val="left" w:pos="1134"/>
                <w:tab w:val="left" w:pos="1701"/>
              </w:tabs>
              <w:jc w:val="center"/>
              <w:rPr>
                <w:rFonts w:eastAsiaTheme="minorEastAsia"/>
                <w:sz w:val="20"/>
                <w:szCs w:val="20"/>
              </w:rPr>
            </w:pPr>
            <w:r w:rsidRPr="006B5B15">
              <w:rPr>
                <w:rFonts w:eastAsiaTheme="minorEastAsia"/>
                <w:sz w:val="20"/>
                <w:szCs w:val="20"/>
              </w:rPr>
              <w:t>Cemar berat</w:t>
            </w:r>
          </w:p>
        </w:tc>
      </w:tr>
    </w:tbl>
    <w:p w14:paraId="36A90016" w14:textId="23E8E5BE" w:rsidR="002759E4" w:rsidRPr="006B5B15" w:rsidRDefault="00023CD8" w:rsidP="00D33D7D">
      <w:pPr>
        <w:pStyle w:val="Heading1"/>
        <w:ind w:left="110"/>
      </w:pPr>
      <w:r w:rsidRPr="006B5B15">
        <w:lastRenderedPageBreak/>
        <w:t>HASIL</w:t>
      </w:r>
      <w:r w:rsidRPr="006B5B15">
        <w:rPr>
          <w:spacing w:val="-6"/>
        </w:rPr>
        <w:t xml:space="preserve"> </w:t>
      </w:r>
      <w:r w:rsidRPr="006B5B15">
        <w:t>DAN</w:t>
      </w:r>
      <w:r w:rsidRPr="006B5B15">
        <w:rPr>
          <w:spacing w:val="-3"/>
        </w:rPr>
        <w:t xml:space="preserve"> </w:t>
      </w:r>
      <w:r w:rsidRPr="006B5B15">
        <w:t>PEMBAHASAN</w:t>
      </w:r>
    </w:p>
    <w:p w14:paraId="0C75278F" w14:textId="77777777" w:rsidR="00A34512" w:rsidRPr="006B5B15" w:rsidRDefault="00A34512" w:rsidP="00D33D7D">
      <w:pPr>
        <w:pStyle w:val="Heading1"/>
      </w:pPr>
    </w:p>
    <w:p w14:paraId="057B4B15" w14:textId="77777777" w:rsidR="009C477A" w:rsidRPr="006B5B15" w:rsidRDefault="00A34512" w:rsidP="00D33D7D">
      <w:pPr>
        <w:pStyle w:val="BodyText"/>
        <w:ind w:left="110" w:right="115"/>
        <w:jc w:val="both"/>
        <w:rPr>
          <w:b/>
          <w:lang w:val="en-US"/>
        </w:rPr>
      </w:pPr>
      <w:r w:rsidRPr="006B5B15">
        <w:rPr>
          <w:b/>
          <w:lang w:val="en-US"/>
        </w:rPr>
        <w:t xml:space="preserve">Kualitas Air di Perairan </w:t>
      </w:r>
      <w:r w:rsidR="00443520" w:rsidRPr="006B5B15">
        <w:rPr>
          <w:b/>
          <w:lang w:val="en-US"/>
        </w:rPr>
        <w:t>Pantai Wates</w:t>
      </w:r>
    </w:p>
    <w:p w14:paraId="65FC0598" w14:textId="77777777" w:rsidR="002759E4" w:rsidRDefault="00404CB5" w:rsidP="00D33D7D">
      <w:pPr>
        <w:pStyle w:val="BodyText"/>
        <w:ind w:left="131" w:right="115" w:firstLine="639"/>
        <w:jc w:val="both"/>
        <w:rPr>
          <w:lang w:val="en-US"/>
        </w:rPr>
      </w:pPr>
      <w:r w:rsidRPr="006B5B15">
        <w:rPr>
          <w:lang w:val="en-US"/>
        </w:rPr>
        <w:t>Hasil pengukuran kualitas air laut yang dilakukan pada tanggal 2 dan 16 Februari akan disajikan pada tabel 2.</w:t>
      </w:r>
    </w:p>
    <w:p w14:paraId="106F956D" w14:textId="77777777" w:rsidR="006B41B0" w:rsidRDefault="006B41B0" w:rsidP="00D33D7D">
      <w:pPr>
        <w:pStyle w:val="BodyText"/>
        <w:ind w:left="131" w:right="115" w:firstLine="639"/>
        <w:jc w:val="both"/>
        <w:rPr>
          <w:lang w:val="en-US"/>
        </w:rPr>
      </w:pPr>
    </w:p>
    <w:p w14:paraId="23C43E15" w14:textId="3E119BC8" w:rsidR="00384599" w:rsidRDefault="00384599" w:rsidP="00D33D7D">
      <w:pPr>
        <w:pStyle w:val="BodyText"/>
        <w:ind w:left="110" w:right="115"/>
        <w:jc w:val="both"/>
        <w:rPr>
          <w:lang w:val="en-US"/>
        </w:rPr>
      </w:pPr>
      <w:r w:rsidRPr="00384599">
        <w:rPr>
          <w:b/>
          <w:lang w:val="en-US"/>
        </w:rPr>
        <w:t>Tabel 2</w:t>
      </w:r>
      <w:r>
        <w:rPr>
          <w:lang w:val="en-US"/>
        </w:rPr>
        <w:t xml:space="preserve">. </w:t>
      </w:r>
      <w:r w:rsidR="007970B3">
        <w:rPr>
          <w:lang w:val="en-US"/>
        </w:rPr>
        <w:t xml:space="preserve">Kualitas Air </w:t>
      </w:r>
      <w:r>
        <w:rPr>
          <w:lang w:val="en-US"/>
        </w:rPr>
        <w:t>di Perairan Pantai Wates</w:t>
      </w:r>
    </w:p>
    <w:tbl>
      <w:tblPr>
        <w:tblStyle w:val="TableGrid"/>
        <w:tblW w:w="4705" w:type="dxa"/>
        <w:tblInd w:w="110" w:type="dxa"/>
        <w:tblBorders>
          <w:left w:val="none" w:sz="0" w:space="0" w:color="auto"/>
          <w:right w:val="none" w:sz="0" w:space="0" w:color="auto"/>
          <w:insideV w:val="none" w:sz="0" w:space="0" w:color="auto"/>
        </w:tblBorders>
        <w:tblLook w:val="04A0" w:firstRow="1" w:lastRow="0" w:firstColumn="1" w:lastColumn="0" w:noHBand="0" w:noVBand="1"/>
      </w:tblPr>
      <w:tblGrid>
        <w:gridCol w:w="1294"/>
        <w:gridCol w:w="1368"/>
        <w:gridCol w:w="681"/>
        <w:gridCol w:w="681"/>
        <w:gridCol w:w="681"/>
      </w:tblGrid>
      <w:tr w:rsidR="00384599" w14:paraId="3E08ECBB" w14:textId="77777777" w:rsidTr="007970B3">
        <w:tc>
          <w:tcPr>
            <w:tcW w:w="1303" w:type="dxa"/>
            <w:vMerge w:val="restart"/>
            <w:vAlign w:val="center"/>
          </w:tcPr>
          <w:p w14:paraId="3A8E6A0B" w14:textId="77777777" w:rsidR="00384599" w:rsidRPr="00D55F3B" w:rsidRDefault="00384599" w:rsidP="00D33D7D">
            <w:pPr>
              <w:pStyle w:val="BodyText"/>
              <w:ind w:right="115"/>
              <w:jc w:val="center"/>
              <w:rPr>
                <w:b/>
                <w:lang w:val="en-US"/>
              </w:rPr>
            </w:pPr>
            <w:r w:rsidRPr="00D55F3B">
              <w:rPr>
                <w:b/>
                <w:lang w:val="en-US"/>
              </w:rPr>
              <w:t>Sampling</w:t>
            </w:r>
          </w:p>
        </w:tc>
        <w:tc>
          <w:tcPr>
            <w:tcW w:w="1447" w:type="dxa"/>
            <w:vMerge w:val="restart"/>
            <w:vAlign w:val="center"/>
          </w:tcPr>
          <w:p w14:paraId="04870D9A" w14:textId="77777777" w:rsidR="00384599" w:rsidRPr="00D55F3B" w:rsidRDefault="00384599" w:rsidP="00D33D7D">
            <w:pPr>
              <w:pStyle w:val="BodyText"/>
              <w:ind w:right="115"/>
              <w:jc w:val="center"/>
              <w:rPr>
                <w:b/>
                <w:lang w:val="en-US"/>
              </w:rPr>
            </w:pPr>
            <w:r w:rsidRPr="00D55F3B">
              <w:rPr>
                <w:b/>
                <w:lang w:val="en-US"/>
              </w:rPr>
              <w:t>Variabel</w:t>
            </w:r>
          </w:p>
        </w:tc>
        <w:tc>
          <w:tcPr>
            <w:tcW w:w="1955" w:type="dxa"/>
            <w:gridSpan w:val="3"/>
            <w:vAlign w:val="center"/>
          </w:tcPr>
          <w:p w14:paraId="4C218C1C" w14:textId="77777777" w:rsidR="00384599" w:rsidRPr="00D55F3B" w:rsidRDefault="00384599" w:rsidP="00D33D7D">
            <w:pPr>
              <w:pStyle w:val="BodyText"/>
              <w:ind w:right="115"/>
              <w:jc w:val="center"/>
              <w:rPr>
                <w:b/>
                <w:lang w:val="en-US"/>
              </w:rPr>
            </w:pPr>
            <w:r w:rsidRPr="00D55F3B">
              <w:rPr>
                <w:b/>
                <w:lang w:val="en-US"/>
              </w:rPr>
              <w:t>Stasiun</w:t>
            </w:r>
          </w:p>
        </w:tc>
      </w:tr>
      <w:tr w:rsidR="00384599" w14:paraId="2EDE6A45" w14:textId="77777777" w:rsidTr="007970B3">
        <w:tc>
          <w:tcPr>
            <w:tcW w:w="1303" w:type="dxa"/>
            <w:vMerge/>
            <w:vAlign w:val="center"/>
          </w:tcPr>
          <w:p w14:paraId="776EA49C" w14:textId="77777777" w:rsidR="00384599" w:rsidRPr="00D55F3B" w:rsidRDefault="00384599" w:rsidP="00D33D7D">
            <w:pPr>
              <w:pStyle w:val="BodyText"/>
              <w:ind w:right="115"/>
              <w:jc w:val="center"/>
              <w:rPr>
                <w:b/>
                <w:lang w:val="en-US"/>
              </w:rPr>
            </w:pPr>
          </w:p>
        </w:tc>
        <w:tc>
          <w:tcPr>
            <w:tcW w:w="1447" w:type="dxa"/>
            <w:vMerge/>
            <w:vAlign w:val="center"/>
          </w:tcPr>
          <w:p w14:paraId="6AADFD57" w14:textId="77777777" w:rsidR="00384599" w:rsidRPr="00D55F3B" w:rsidRDefault="00384599" w:rsidP="00D33D7D">
            <w:pPr>
              <w:pStyle w:val="BodyText"/>
              <w:ind w:right="115"/>
              <w:jc w:val="center"/>
              <w:rPr>
                <w:b/>
                <w:lang w:val="en-US"/>
              </w:rPr>
            </w:pPr>
          </w:p>
        </w:tc>
        <w:tc>
          <w:tcPr>
            <w:tcW w:w="593" w:type="dxa"/>
            <w:vAlign w:val="center"/>
          </w:tcPr>
          <w:p w14:paraId="2FDCD86F" w14:textId="77777777" w:rsidR="00384599" w:rsidRPr="00D55F3B" w:rsidRDefault="00384599" w:rsidP="00D33D7D">
            <w:pPr>
              <w:pStyle w:val="BodyText"/>
              <w:ind w:right="115"/>
              <w:jc w:val="center"/>
              <w:rPr>
                <w:b/>
                <w:lang w:val="en-US"/>
              </w:rPr>
            </w:pPr>
            <w:r w:rsidRPr="00D55F3B">
              <w:rPr>
                <w:b/>
                <w:lang w:val="en-US"/>
              </w:rPr>
              <w:t>A</w:t>
            </w:r>
          </w:p>
        </w:tc>
        <w:tc>
          <w:tcPr>
            <w:tcW w:w="681" w:type="dxa"/>
            <w:vAlign w:val="center"/>
          </w:tcPr>
          <w:p w14:paraId="4667EE65" w14:textId="77777777" w:rsidR="00384599" w:rsidRPr="00D55F3B" w:rsidRDefault="00384599" w:rsidP="00D33D7D">
            <w:pPr>
              <w:pStyle w:val="BodyText"/>
              <w:ind w:right="115"/>
              <w:jc w:val="center"/>
              <w:rPr>
                <w:b/>
                <w:lang w:val="en-US"/>
              </w:rPr>
            </w:pPr>
            <w:r w:rsidRPr="00D55F3B">
              <w:rPr>
                <w:b/>
                <w:lang w:val="en-US"/>
              </w:rPr>
              <w:t>B</w:t>
            </w:r>
          </w:p>
        </w:tc>
        <w:tc>
          <w:tcPr>
            <w:tcW w:w="681" w:type="dxa"/>
            <w:vAlign w:val="center"/>
          </w:tcPr>
          <w:p w14:paraId="1C316AE4" w14:textId="77777777" w:rsidR="00384599" w:rsidRPr="00D55F3B" w:rsidRDefault="00384599" w:rsidP="00D33D7D">
            <w:pPr>
              <w:pStyle w:val="BodyText"/>
              <w:ind w:right="115"/>
              <w:jc w:val="center"/>
              <w:rPr>
                <w:b/>
                <w:lang w:val="en-US"/>
              </w:rPr>
            </w:pPr>
            <w:r w:rsidRPr="00D55F3B">
              <w:rPr>
                <w:b/>
                <w:lang w:val="en-US"/>
              </w:rPr>
              <w:t>C</w:t>
            </w:r>
          </w:p>
        </w:tc>
      </w:tr>
      <w:tr w:rsidR="00384599" w14:paraId="7E5E0E4B" w14:textId="77777777" w:rsidTr="007970B3">
        <w:tc>
          <w:tcPr>
            <w:tcW w:w="1303" w:type="dxa"/>
            <w:vMerge w:val="restart"/>
            <w:vAlign w:val="center"/>
          </w:tcPr>
          <w:p w14:paraId="259FB0CF" w14:textId="77777777" w:rsidR="00384599" w:rsidRDefault="00384599" w:rsidP="00D33D7D">
            <w:pPr>
              <w:pStyle w:val="BodyText"/>
              <w:ind w:right="115"/>
              <w:jc w:val="center"/>
              <w:rPr>
                <w:lang w:val="en-US"/>
              </w:rPr>
            </w:pPr>
            <w:r>
              <w:rPr>
                <w:lang w:val="en-US"/>
              </w:rPr>
              <w:t>1</w:t>
            </w:r>
          </w:p>
        </w:tc>
        <w:tc>
          <w:tcPr>
            <w:tcW w:w="1447" w:type="dxa"/>
            <w:vAlign w:val="center"/>
          </w:tcPr>
          <w:p w14:paraId="7A4EC392" w14:textId="77777777" w:rsidR="00384599" w:rsidRPr="006B5B15" w:rsidRDefault="00384599" w:rsidP="00D33D7D">
            <w:pPr>
              <w:pStyle w:val="TableParagraph"/>
              <w:spacing w:before="0" w:line="217" w:lineRule="exact"/>
              <w:ind w:left="8"/>
              <w:rPr>
                <w:sz w:val="18"/>
              </w:rPr>
            </w:pPr>
            <w:r w:rsidRPr="006B5B15">
              <w:rPr>
                <w:sz w:val="18"/>
              </w:rPr>
              <w:t>Suhu</w:t>
            </w:r>
            <w:r w:rsidRPr="006B5B15">
              <w:rPr>
                <w:sz w:val="18"/>
                <w:lang w:val="en-US"/>
              </w:rPr>
              <w:t xml:space="preserve"> </w:t>
            </w:r>
            <w:r w:rsidRPr="006B5B15">
              <w:rPr>
                <w:sz w:val="18"/>
              </w:rPr>
              <w:t>(℃)</w:t>
            </w:r>
          </w:p>
        </w:tc>
        <w:tc>
          <w:tcPr>
            <w:tcW w:w="593" w:type="dxa"/>
            <w:vAlign w:val="center"/>
          </w:tcPr>
          <w:p w14:paraId="3AB1B818" w14:textId="77777777" w:rsidR="00384599" w:rsidRPr="006B5B15" w:rsidRDefault="00384599" w:rsidP="00D33D7D">
            <w:pPr>
              <w:jc w:val="center"/>
              <w:rPr>
                <w:sz w:val="18"/>
                <w:szCs w:val="18"/>
              </w:rPr>
            </w:pPr>
            <w:r w:rsidRPr="006B5B15">
              <w:rPr>
                <w:sz w:val="18"/>
                <w:szCs w:val="18"/>
              </w:rPr>
              <w:t>30</w:t>
            </w:r>
          </w:p>
        </w:tc>
        <w:tc>
          <w:tcPr>
            <w:tcW w:w="681" w:type="dxa"/>
            <w:vAlign w:val="center"/>
          </w:tcPr>
          <w:p w14:paraId="4EF03487" w14:textId="77777777" w:rsidR="00384599" w:rsidRPr="006B5B15" w:rsidRDefault="00384599" w:rsidP="00D33D7D">
            <w:pPr>
              <w:jc w:val="center"/>
              <w:rPr>
                <w:sz w:val="18"/>
                <w:szCs w:val="18"/>
              </w:rPr>
            </w:pPr>
            <w:r w:rsidRPr="006B5B15">
              <w:rPr>
                <w:sz w:val="18"/>
                <w:szCs w:val="18"/>
              </w:rPr>
              <w:t>30</w:t>
            </w:r>
          </w:p>
        </w:tc>
        <w:tc>
          <w:tcPr>
            <w:tcW w:w="681" w:type="dxa"/>
            <w:vAlign w:val="center"/>
          </w:tcPr>
          <w:p w14:paraId="701C07A4" w14:textId="77777777" w:rsidR="00384599" w:rsidRPr="006B5B15" w:rsidRDefault="00384599" w:rsidP="00D33D7D">
            <w:pPr>
              <w:jc w:val="center"/>
              <w:rPr>
                <w:sz w:val="18"/>
                <w:szCs w:val="18"/>
              </w:rPr>
            </w:pPr>
            <w:r w:rsidRPr="006B5B15">
              <w:rPr>
                <w:sz w:val="18"/>
                <w:szCs w:val="18"/>
              </w:rPr>
              <w:t>31</w:t>
            </w:r>
          </w:p>
        </w:tc>
      </w:tr>
      <w:tr w:rsidR="00384599" w14:paraId="666CD246" w14:textId="77777777" w:rsidTr="007970B3">
        <w:tc>
          <w:tcPr>
            <w:tcW w:w="1303" w:type="dxa"/>
            <w:vMerge/>
            <w:vAlign w:val="center"/>
          </w:tcPr>
          <w:p w14:paraId="79574CDA" w14:textId="77777777" w:rsidR="00384599" w:rsidRDefault="00384599" w:rsidP="00D33D7D">
            <w:pPr>
              <w:pStyle w:val="BodyText"/>
              <w:ind w:right="115"/>
              <w:jc w:val="center"/>
              <w:rPr>
                <w:lang w:val="en-US"/>
              </w:rPr>
            </w:pPr>
          </w:p>
        </w:tc>
        <w:tc>
          <w:tcPr>
            <w:tcW w:w="1447" w:type="dxa"/>
            <w:vAlign w:val="center"/>
          </w:tcPr>
          <w:p w14:paraId="252C3FE8" w14:textId="77777777" w:rsidR="00384599" w:rsidRPr="006B5B15" w:rsidRDefault="00384599" w:rsidP="00D33D7D">
            <w:pPr>
              <w:pStyle w:val="TableParagraph"/>
              <w:spacing w:before="0"/>
              <w:ind w:right="434"/>
              <w:rPr>
                <w:sz w:val="18"/>
                <w:lang w:val="en-US"/>
              </w:rPr>
            </w:pPr>
            <w:r w:rsidRPr="006B5B15">
              <w:rPr>
                <w:sz w:val="18"/>
                <w:lang w:val="en-US"/>
              </w:rPr>
              <w:t>pH</w:t>
            </w:r>
          </w:p>
        </w:tc>
        <w:tc>
          <w:tcPr>
            <w:tcW w:w="593" w:type="dxa"/>
            <w:vAlign w:val="center"/>
          </w:tcPr>
          <w:p w14:paraId="2D9C72BC" w14:textId="77777777" w:rsidR="00384599" w:rsidRPr="006B5B15" w:rsidRDefault="00384599" w:rsidP="00D33D7D">
            <w:pPr>
              <w:jc w:val="center"/>
              <w:rPr>
                <w:sz w:val="18"/>
                <w:szCs w:val="18"/>
              </w:rPr>
            </w:pPr>
            <w:r w:rsidRPr="006B5B15">
              <w:rPr>
                <w:sz w:val="18"/>
                <w:szCs w:val="18"/>
              </w:rPr>
              <w:t>8,03</w:t>
            </w:r>
          </w:p>
        </w:tc>
        <w:tc>
          <w:tcPr>
            <w:tcW w:w="681" w:type="dxa"/>
            <w:vAlign w:val="center"/>
          </w:tcPr>
          <w:p w14:paraId="65EA6CC3" w14:textId="77777777" w:rsidR="00384599" w:rsidRPr="006B5B15" w:rsidRDefault="00384599" w:rsidP="00D33D7D">
            <w:pPr>
              <w:jc w:val="center"/>
              <w:rPr>
                <w:sz w:val="18"/>
                <w:szCs w:val="18"/>
              </w:rPr>
            </w:pPr>
            <w:r w:rsidRPr="006B5B15">
              <w:rPr>
                <w:sz w:val="18"/>
                <w:szCs w:val="18"/>
              </w:rPr>
              <w:t>7,83</w:t>
            </w:r>
          </w:p>
        </w:tc>
        <w:tc>
          <w:tcPr>
            <w:tcW w:w="681" w:type="dxa"/>
            <w:vAlign w:val="center"/>
          </w:tcPr>
          <w:p w14:paraId="6D5B6634" w14:textId="77777777" w:rsidR="00384599" w:rsidRPr="006B5B15" w:rsidRDefault="00384599" w:rsidP="00D33D7D">
            <w:pPr>
              <w:jc w:val="center"/>
              <w:rPr>
                <w:sz w:val="18"/>
                <w:szCs w:val="18"/>
              </w:rPr>
            </w:pPr>
            <w:r w:rsidRPr="006B5B15">
              <w:rPr>
                <w:sz w:val="18"/>
                <w:szCs w:val="18"/>
              </w:rPr>
              <w:t>7,75</w:t>
            </w:r>
          </w:p>
        </w:tc>
      </w:tr>
      <w:tr w:rsidR="00384599" w14:paraId="4C880DF0" w14:textId="77777777" w:rsidTr="007970B3">
        <w:tc>
          <w:tcPr>
            <w:tcW w:w="1303" w:type="dxa"/>
            <w:vMerge/>
            <w:vAlign w:val="center"/>
          </w:tcPr>
          <w:p w14:paraId="77CBAB28" w14:textId="77777777" w:rsidR="00384599" w:rsidRDefault="00384599" w:rsidP="00D33D7D">
            <w:pPr>
              <w:pStyle w:val="BodyText"/>
              <w:ind w:right="115"/>
              <w:jc w:val="center"/>
              <w:rPr>
                <w:lang w:val="en-US"/>
              </w:rPr>
            </w:pPr>
          </w:p>
        </w:tc>
        <w:tc>
          <w:tcPr>
            <w:tcW w:w="1447" w:type="dxa"/>
            <w:vAlign w:val="center"/>
          </w:tcPr>
          <w:p w14:paraId="5B7214AA" w14:textId="77777777" w:rsidR="00384599" w:rsidRPr="006B5B15" w:rsidRDefault="00384599" w:rsidP="00D33D7D">
            <w:pPr>
              <w:pStyle w:val="TableParagraph"/>
              <w:spacing w:before="0" w:line="217" w:lineRule="exact"/>
              <w:ind w:left="8" w:right="134"/>
              <w:rPr>
                <w:sz w:val="18"/>
              </w:rPr>
            </w:pPr>
            <w:r w:rsidRPr="006B5B15">
              <w:rPr>
                <w:sz w:val="18"/>
              </w:rPr>
              <w:t>Salinitas</w:t>
            </w:r>
            <w:r w:rsidRPr="006B5B15">
              <w:rPr>
                <w:sz w:val="18"/>
                <w:lang w:val="en-US"/>
              </w:rPr>
              <w:t xml:space="preserve"> </w:t>
            </w:r>
            <w:r w:rsidRPr="006B5B15">
              <w:rPr>
                <w:sz w:val="18"/>
              </w:rPr>
              <w:t>(‰)</w:t>
            </w:r>
          </w:p>
        </w:tc>
        <w:tc>
          <w:tcPr>
            <w:tcW w:w="593" w:type="dxa"/>
            <w:vAlign w:val="center"/>
          </w:tcPr>
          <w:p w14:paraId="428FB6C4" w14:textId="77777777" w:rsidR="00384599" w:rsidRPr="006B5B15" w:rsidRDefault="00384599" w:rsidP="00D33D7D">
            <w:pPr>
              <w:jc w:val="center"/>
              <w:rPr>
                <w:sz w:val="18"/>
                <w:szCs w:val="18"/>
              </w:rPr>
            </w:pPr>
            <w:r w:rsidRPr="006B5B15">
              <w:rPr>
                <w:sz w:val="18"/>
                <w:szCs w:val="18"/>
              </w:rPr>
              <w:t>31</w:t>
            </w:r>
          </w:p>
        </w:tc>
        <w:tc>
          <w:tcPr>
            <w:tcW w:w="681" w:type="dxa"/>
            <w:vAlign w:val="center"/>
          </w:tcPr>
          <w:p w14:paraId="1E636475" w14:textId="77777777" w:rsidR="00384599" w:rsidRPr="006B5B15" w:rsidRDefault="00384599" w:rsidP="00D33D7D">
            <w:pPr>
              <w:jc w:val="center"/>
              <w:rPr>
                <w:sz w:val="18"/>
                <w:szCs w:val="18"/>
              </w:rPr>
            </w:pPr>
            <w:r w:rsidRPr="006B5B15">
              <w:rPr>
                <w:sz w:val="18"/>
                <w:szCs w:val="18"/>
              </w:rPr>
              <w:t>30</w:t>
            </w:r>
          </w:p>
        </w:tc>
        <w:tc>
          <w:tcPr>
            <w:tcW w:w="681" w:type="dxa"/>
            <w:vAlign w:val="center"/>
          </w:tcPr>
          <w:p w14:paraId="66119B84" w14:textId="77777777" w:rsidR="00384599" w:rsidRPr="006B5B15" w:rsidRDefault="00384599" w:rsidP="00D33D7D">
            <w:pPr>
              <w:jc w:val="center"/>
              <w:rPr>
                <w:sz w:val="18"/>
                <w:szCs w:val="18"/>
              </w:rPr>
            </w:pPr>
            <w:r w:rsidRPr="006B5B15">
              <w:rPr>
                <w:sz w:val="18"/>
                <w:szCs w:val="18"/>
              </w:rPr>
              <w:t>25</w:t>
            </w:r>
          </w:p>
        </w:tc>
      </w:tr>
      <w:tr w:rsidR="00384599" w14:paraId="6B03E20B" w14:textId="77777777" w:rsidTr="007970B3">
        <w:tc>
          <w:tcPr>
            <w:tcW w:w="1303" w:type="dxa"/>
            <w:vMerge/>
            <w:vAlign w:val="center"/>
          </w:tcPr>
          <w:p w14:paraId="1A8B9B1D" w14:textId="77777777" w:rsidR="00384599" w:rsidRDefault="00384599" w:rsidP="00D33D7D">
            <w:pPr>
              <w:pStyle w:val="BodyText"/>
              <w:ind w:right="115"/>
              <w:jc w:val="center"/>
              <w:rPr>
                <w:lang w:val="en-US"/>
              </w:rPr>
            </w:pPr>
          </w:p>
        </w:tc>
        <w:tc>
          <w:tcPr>
            <w:tcW w:w="1447" w:type="dxa"/>
            <w:vAlign w:val="center"/>
          </w:tcPr>
          <w:p w14:paraId="78CA62BA" w14:textId="77777777" w:rsidR="00384599" w:rsidRPr="006B5B15" w:rsidRDefault="00384599" w:rsidP="00D33D7D">
            <w:pPr>
              <w:pStyle w:val="TableParagraph"/>
              <w:spacing w:before="0"/>
              <w:ind w:right="155"/>
              <w:rPr>
                <w:sz w:val="18"/>
                <w:lang w:val="en-US"/>
              </w:rPr>
            </w:pPr>
            <w:r w:rsidRPr="006B5B15">
              <w:rPr>
                <w:sz w:val="18"/>
                <w:lang w:val="en-US"/>
              </w:rPr>
              <w:t>DO (mg/L)</w:t>
            </w:r>
          </w:p>
        </w:tc>
        <w:tc>
          <w:tcPr>
            <w:tcW w:w="593" w:type="dxa"/>
            <w:vAlign w:val="center"/>
          </w:tcPr>
          <w:p w14:paraId="073A6672" w14:textId="77777777" w:rsidR="00384599" w:rsidRPr="006B5B15" w:rsidRDefault="00384599" w:rsidP="00D33D7D">
            <w:pPr>
              <w:jc w:val="center"/>
              <w:rPr>
                <w:sz w:val="18"/>
                <w:szCs w:val="18"/>
              </w:rPr>
            </w:pPr>
            <w:r w:rsidRPr="006B5B15">
              <w:rPr>
                <w:sz w:val="18"/>
                <w:szCs w:val="18"/>
              </w:rPr>
              <w:t>6,18</w:t>
            </w:r>
          </w:p>
        </w:tc>
        <w:tc>
          <w:tcPr>
            <w:tcW w:w="681" w:type="dxa"/>
            <w:vAlign w:val="center"/>
          </w:tcPr>
          <w:p w14:paraId="6678D40A" w14:textId="77777777" w:rsidR="00384599" w:rsidRPr="006B5B15" w:rsidRDefault="00384599" w:rsidP="00D33D7D">
            <w:pPr>
              <w:jc w:val="center"/>
              <w:rPr>
                <w:sz w:val="18"/>
                <w:szCs w:val="18"/>
              </w:rPr>
            </w:pPr>
            <w:r w:rsidRPr="006B5B15">
              <w:rPr>
                <w:sz w:val="18"/>
                <w:szCs w:val="18"/>
              </w:rPr>
              <w:t>7,10</w:t>
            </w:r>
          </w:p>
        </w:tc>
        <w:tc>
          <w:tcPr>
            <w:tcW w:w="681" w:type="dxa"/>
            <w:vAlign w:val="center"/>
          </w:tcPr>
          <w:p w14:paraId="446B7F6A" w14:textId="77777777" w:rsidR="00384599" w:rsidRPr="006B5B15" w:rsidRDefault="00384599" w:rsidP="00D33D7D">
            <w:pPr>
              <w:jc w:val="center"/>
              <w:rPr>
                <w:sz w:val="18"/>
                <w:szCs w:val="18"/>
              </w:rPr>
            </w:pPr>
            <w:r w:rsidRPr="006B5B15">
              <w:rPr>
                <w:sz w:val="18"/>
                <w:szCs w:val="18"/>
              </w:rPr>
              <w:t>6,70</w:t>
            </w:r>
          </w:p>
        </w:tc>
      </w:tr>
      <w:tr w:rsidR="00384599" w14:paraId="5581F4F2" w14:textId="77777777" w:rsidTr="007970B3">
        <w:tc>
          <w:tcPr>
            <w:tcW w:w="1303" w:type="dxa"/>
            <w:vMerge w:val="restart"/>
            <w:vAlign w:val="center"/>
          </w:tcPr>
          <w:p w14:paraId="7278E803" w14:textId="77777777" w:rsidR="00384599" w:rsidRDefault="00384599" w:rsidP="00D33D7D">
            <w:pPr>
              <w:pStyle w:val="BodyText"/>
              <w:ind w:right="115"/>
              <w:jc w:val="center"/>
              <w:rPr>
                <w:lang w:val="en-US"/>
              </w:rPr>
            </w:pPr>
            <w:r>
              <w:rPr>
                <w:lang w:val="en-US"/>
              </w:rPr>
              <w:t>2</w:t>
            </w:r>
          </w:p>
        </w:tc>
        <w:tc>
          <w:tcPr>
            <w:tcW w:w="1447" w:type="dxa"/>
            <w:vAlign w:val="center"/>
          </w:tcPr>
          <w:p w14:paraId="2369B766" w14:textId="77777777" w:rsidR="00384599" w:rsidRPr="006B5B15" w:rsidRDefault="00384599" w:rsidP="00D33D7D">
            <w:pPr>
              <w:pStyle w:val="TableParagraph"/>
              <w:spacing w:before="0" w:line="217" w:lineRule="exact"/>
              <w:ind w:left="8"/>
              <w:rPr>
                <w:sz w:val="18"/>
              </w:rPr>
            </w:pPr>
            <w:r w:rsidRPr="006B5B15">
              <w:rPr>
                <w:sz w:val="18"/>
              </w:rPr>
              <w:t>Suhu</w:t>
            </w:r>
            <w:r w:rsidRPr="006B5B15">
              <w:rPr>
                <w:sz w:val="18"/>
                <w:lang w:val="en-US"/>
              </w:rPr>
              <w:t xml:space="preserve"> </w:t>
            </w:r>
            <w:r w:rsidRPr="006B5B15">
              <w:rPr>
                <w:sz w:val="18"/>
              </w:rPr>
              <w:t>(℃)</w:t>
            </w:r>
          </w:p>
        </w:tc>
        <w:tc>
          <w:tcPr>
            <w:tcW w:w="593" w:type="dxa"/>
            <w:vAlign w:val="center"/>
          </w:tcPr>
          <w:p w14:paraId="29AD84B8" w14:textId="77777777" w:rsidR="00384599" w:rsidRPr="006B5B15" w:rsidRDefault="00384599" w:rsidP="00D33D7D">
            <w:pPr>
              <w:jc w:val="center"/>
              <w:rPr>
                <w:sz w:val="18"/>
                <w:szCs w:val="18"/>
              </w:rPr>
            </w:pPr>
            <w:r w:rsidRPr="006B5B15">
              <w:rPr>
                <w:sz w:val="18"/>
                <w:szCs w:val="18"/>
              </w:rPr>
              <w:t>29</w:t>
            </w:r>
          </w:p>
        </w:tc>
        <w:tc>
          <w:tcPr>
            <w:tcW w:w="681" w:type="dxa"/>
            <w:vAlign w:val="center"/>
          </w:tcPr>
          <w:p w14:paraId="00C95752" w14:textId="77777777" w:rsidR="00384599" w:rsidRPr="006B5B15" w:rsidRDefault="00384599" w:rsidP="00D33D7D">
            <w:pPr>
              <w:jc w:val="center"/>
              <w:rPr>
                <w:sz w:val="18"/>
                <w:szCs w:val="18"/>
              </w:rPr>
            </w:pPr>
            <w:r w:rsidRPr="006B5B15">
              <w:rPr>
                <w:sz w:val="18"/>
                <w:szCs w:val="18"/>
              </w:rPr>
              <w:t>29</w:t>
            </w:r>
          </w:p>
        </w:tc>
        <w:tc>
          <w:tcPr>
            <w:tcW w:w="681" w:type="dxa"/>
            <w:vAlign w:val="center"/>
          </w:tcPr>
          <w:p w14:paraId="47279B69" w14:textId="77777777" w:rsidR="00384599" w:rsidRPr="006B5B15" w:rsidRDefault="00384599" w:rsidP="00D33D7D">
            <w:pPr>
              <w:jc w:val="center"/>
              <w:rPr>
                <w:sz w:val="18"/>
                <w:szCs w:val="18"/>
              </w:rPr>
            </w:pPr>
            <w:r w:rsidRPr="006B5B15">
              <w:rPr>
                <w:sz w:val="18"/>
                <w:szCs w:val="18"/>
              </w:rPr>
              <w:t>30</w:t>
            </w:r>
          </w:p>
        </w:tc>
      </w:tr>
      <w:tr w:rsidR="00384599" w14:paraId="68F45111" w14:textId="77777777" w:rsidTr="007970B3">
        <w:tc>
          <w:tcPr>
            <w:tcW w:w="1303" w:type="dxa"/>
            <w:vMerge/>
            <w:vAlign w:val="center"/>
          </w:tcPr>
          <w:p w14:paraId="4981344E" w14:textId="77777777" w:rsidR="00384599" w:rsidRDefault="00384599" w:rsidP="00D33D7D">
            <w:pPr>
              <w:pStyle w:val="BodyText"/>
              <w:ind w:right="115"/>
              <w:jc w:val="center"/>
              <w:rPr>
                <w:lang w:val="en-US"/>
              </w:rPr>
            </w:pPr>
          </w:p>
        </w:tc>
        <w:tc>
          <w:tcPr>
            <w:tcW w:w="1447" w:type="dxa"/>
            <w:vAlign w:val="center"/>
          </w:tcPr>
          <w:p w14:paraId="7CC07537" w14:textId="033A66D0" w:rsidR="00384599" w:rsidRPr="006B5B15" w:rsidRDefault="00472EEB" w:rsidP="00D33D7D">
            <w:pPr>
              <w:pStyle w:val="TableParagraph"/>
              <w:spacing w:before="0"/>
              <w:ind w:right="155"/>
              <w:rPr>
                <w:sz w:val="18"/>
                <w:lang w:val="en-US"/>
              </w:rPr>
            </w:pPr>
            <w:r>
              <w:rPr>
                <w:sz w:val="18"/>
                <w:lang w:val="en-US"/>
              </w:rPr>
              <w:t>pH</w:t>
            </w:r>
          </w:p>
        </w:tc>
        <w:tc>
          <w:tcPr>
            <w:tcW w:w="593" w:type="dxa"/>
            <w:vAlign w:val="center"/>
          </w:tcPr>
          <w:p w14:paraId="7E5DB9DC" w14:textId="3F3537B4" w:rsidR="00384599" w:rsidRPr="006B5B15" w:rsidRDefault="00472EEB" w:rsidP="00D33D7D">
            <w:pPr>
              <w:jc w:val="center"/>
              <w:rPr>
                <w:sz w:val="18"/>
                <w:szCs w:val="18"/>
              </w:rPr>
            </w:pPr>
            <w:r>
              <w:rPr>
                <w:sz w:val="18"/>
                <w:szCs w:val="18"/>
              </w:rPr>
              <w:t>7,87</w:t>
            </w:r>
          </w:p>
        </w:tc>
        <w:tc>
          <w:tcPr>
            <w:tcW w:w="681" w:type="dxa"/>
            <w:vAlign w:val="center"/>
          </w:tcPr>
          <w:p w14:paraId="6CB028ED" w14:textId="674C5891" w:rsidR="00384599" w:rsidRPr="006B5B15" w:rsidRDefault="00472EEB" w:rsidP="00D33D7D">
            <w:pPr>
              <w:jc w:val="center"/>
              <w:rPr>
                <w:sz w:val="18"/>
                <w:szCs w:val="18"/>
              </w:rPr>
            </w:pPr>
            <w:r>
              <w:rPr>
                <w:sz w:val="18"/>
                <w:szCs w:val="18"/>
              </w:rPr>
              <w:t>7,71</w:t>
            </w:r>
          </w:p>
        </w:tc>
        <w:tc>
          <w:tcPr>
            <w:tcW w:w="681" w:type="dxa"/>
            <w:vAlign w:val="center"/>
          </w:tcPr>
          <w:p w14:paraId="3D1EFD9D" w14:textId="4326CAA8" w:rsidR="00384599" w:rsidRPr="00472EEB" w:rsidRDefault="00472EEB" w:rsidP="00D33D7D">
            <w:pPr>
              <w:jc w:val="center"/>
              <w:rPr>
                <w:sz w:val="18"/>
                <w:szCs w:val="18"/>
                <w:lang w:val="en-US"/>
              </w:rPr>
            </w:pPr>
            <w:r>
              <w:rPr>
                <w:sz w:val="18"/>
                <w:szCs w:val="18"/>
              </w:rPr>
              <w:t>7,</w:t>
            </w:r>
            <w:r>
              <w:rPr>
                <w:sz w:val="18"/>
                <w:szCs w:val="18"/>
                <w:lang w:val="en-US"/>
              </w:rPr>
              <w:t>94</w:t>
            </w:r>
          </w:p>
        </w:tc>
      </w:tr>
      <w:tr w:rsidR="00472EEB" w14:paraId="626F080A" w14:textId="77777777" w:rsidTr="007970B3">
        <w:tc>
          <w:tcPr>
            <w:tcW w:w="1303" w:type="dxa"/>
            <w:vMerge/>
            <w:vAlign w:val="center"/>
          </w:tcPr>
          <w:p w14:paraId="7FD6DBA1" w14:textId="77777777" w:rsidR="00472EEB" w:rsidRDefault="00472EEB" w:rsidP="00D33D7D">
            <w:pPr>
              <w:pStyle w:val="BodyText"/>
              <w:ind w:right="115"/>
              <w:jc w:val="center"/>
              <w:rPr>
                <w:lang w:val="en-US"/>
              </w:rPr>
            </w:pPr>
          </w:p>
        </w:tc>
        <w:tc>
          <w:tcPr>
            <w:tcW w:w="1447" w:type="dxa"/>
            <w:vAlign w:val="center"/>
          </w:tcPr>
          <w:p w14:paraId="70B4A340" w14:textId="0CE3A126" w:rsidR="00472EEB" w:rsidRPr="006B5B15" w:rsidRDefault="00472EEB" w:rsidP="00D33D7D">
            <w:pPr>
              <w:pStyle w:val="TableParagraph"/>
              <w:spacing w:before="0"/>
              <w:ind w:right="155"/>
              <w:rPr>
                <w:sz w:val="18"/>
                <w:lang w:val="en-US"/>
              </w:rPr>
            </w:pPr>
            <w:r>
              <w:rPr>
                <w:sz w:val="18"/>
                <w:lang w:val="en-US"/>
              </w:rPr>
              <w:t>Salinitas</w:t>
            </w:r>
            <w:r w:rsidR="007970B3">
              <w:rPr>
                <w:sz w:val="18"/>
                <w:lang w:val="en-US"/>
              </w:rPr>
              <w:t xml:space="preserve"> </w:t>
            </w:r>
            <w:r w:rsidR="007970B3" w:rsidRPr="006B5B15">
              <w:rPr>
                <w:sz w:val="18"/>
              </w:rPr>
              <w:t>(‰)</w:t>
            </w:r>
          </w:p>
        </w:tc>
        <w:tc>
          <w:tcPr>
            <w:tcW w:w="593" w:type="dxa"/>
            <w:vAlign w:val="center"/>
          </w:tcPr>
          <w:p w14:paraId="5CE7C084" w14:textId="66A62527" w:rsidR="00472EEB" w:rsidRPr="006B5B15" w:rsidRDefault="00472EEB" w:rsidP="00D33D7D">
            <w:pPr>
              <w:jc w:val="center"/>
              <w:rPr>
                <w:sz w:val="18"/>
                <w:szCs w:val="18"/>
              </w:rPr>
            </w:pPr>
            <w:r>
              <w:rPr>
                <w:sz w:val="18"/>
                <w:szCs w:val="18"/>
              </w:rPr>
              <w:t>33</w:t>
            </w:r>
          </w:p>
        </w:tc>
        <w:tc>
          <w:tcPr>
            <w:tcW w:w="681" w:type="dxa"/>
            <w:vAlign w:val="center"/>
          </w:tcPr>
          <w:p w14:paraId="41D161F1" w14:textId="5B15DF20" w:rsidR="00472EEB" w:rsidRPr="006B5B15" w:rsidRDefault="00472EEB" w:rsidP="00D33D7D">
            <w:pPr>
              <w:jc w:val="center"/>
              <w:rPr>
                <w:sz w:val="18"/>
                <w:szCs w:val="18"/>
              </w:rPr>
            </w:pPr>
            <w:r>
              <w:rPr>
                <w:sz w:val="18"/>
                <w:szCs w:val="18"/>
              </w:rPr>
              <w:t>32</w:t>
            </w:r>
          </w:p>
        </w:tc>
        <w:tc>
          <w:tcPr>
            <w:tcW w:w="681" w:type="dxa"/>
            <w:vAlign w:val="center"/>
          </w:tcPr>
          <w:p w14:paraId="18A73A29" w14:textId="769BAB4B" w:rsidR="00472EEB" w:rsidRPr="006B5B15" w:rsidRDefault="00472EEB" w:rsidP="00D33D7D">
            <w:pPr>
              <w:jc w:val="center"/>
              <w:rPr>
                <w:sz w:val="18"/>
                <w:szCs w:val="18"/>
              </w:rPr>
            </w:pPr>
            <w:r>
              <w:rPr>
                <w:sz w:val="18"/>
                <w:szCs w:val="18"/>
              </w:rPr>
              <w:t>33</w:t>
            </w:r>
          </w:p>
        </w:tc>
      </w:tr>
      <w:tr w:rsidR="00472EEB" w14:paraId="428958B0" w14:textId="77777777" w:rsidTr="007970B3">
        <w:tc>
          <w:tcPr>
            <w:tcW w:w="1303" w:type="dxa"/>
            <w:vMerge/>
            <w:vAlign w:val="center"/>
          </w:tcPr>
          <w:p w14:paraId="58945CF8" w14:textId="77777777" w:rsidR="00472EEB" w:rsidRDefault="00472EEB" w:rsidP="00D33D7D">
            <w:pPr>
              <w:pStyle w:val="BodyText"/>
              <w:ind w:right="115"/>
              <w:jc w:val="center"/>
              <w:rPr>
                <w:lang w:val="en-US"/>
              </w:rPr>
            </w:pPr>
          </w:p>
        </w:tc>
        <w:tc>
          <w:tcPr>
            <w:tcW w:w="1447" w:type="dxa"/>
            <w:vAlign w:val="center"/>
          </w:tcPr>
          <w:p w14:paraId="4EBF812A" w14:textId="72764566" w:rsidR="00472EEB" w:rsidRDefault="00472EEB" w:rsidP="00D33D7D">
            <w:pPr>
              <w:pStyle w:val="BodyText"/>
              <w:ind w:right="115"/>
              <w:rPr>
                <w:lang w:val="en-US"/>
              </w:rPr>
            </w:pPr>
            <w:r w:rsidRPr="006B5B15">
              <w:rPr>
                <w:sz w:val="18"/>
                <w:lang w:val="en-US"/>
              </w:rPr>
              <w:t>DO (mg/L)</w:t>
            </w:r>
          </w:p>
        </w:tc>
        <w:tc>
          <w:tcPr>
            <w:tcW w:w="593" w:type="dxa"/>
            <w:vAlign w:val="center"/>
          </w:tcPr>
          <w:p w14:paraId="23CB17C1" w14:textId="4E48F274" w:rsidR="00472EEB" w:rsidRDefault="00472EEB" w:rsidP="00D33D7D">
            <w:pPr>
              <w:pStyle w:val="BodyText"/>
              <w:ind w:right="115"/>
              <w:jc w:val="center"/>
              <w:rPr>
                <w:lang w:val="en-US"/>
              </w:rPr>
            </w:pPr>
            <w:r w:rsidRPr="006B5B15">
              <w:rPr>
                <w:sz w:val="18"/>
                <w:szCs w:val="18"/>
              </w:rPr>
              <w:t>6,29</w:t>
            </w:r>
          </w:p>
        </w:tc>
        <w:tc>
          <w:tcPr>
            <w:tcW w:w="681" w:type="dxa"/>
            <w:vAlign w:val="center"/>
          </w:tcPr>
          <w:p w14:paraId="415B0561" w14:textId="5501DBC6" w:rsidR="00472EEB" w:rsidRDefault="00472EEB" w:rsidP="00D33D7D">
            <w:pPr>
              <w:pStyle w:val="BodyText"/>
              <w:ind w:right="115"/>
              <w:jc w:val="center"/>
              <w:rPr>
                <w:lang w:val="en-US"/>
              </w:rPr>
            </w:pPr>
            <w:r w:rsidRPr="006B5B15">
              <w:rPr>
                <w:sz w:val="18"/>
                <w:szCs w:val="18"/>
              </w:rPr>
              <w:t>7,74</w:t>
            </w:r>
          </w:p>
        </w:tc>
        <w:tc>
          <w:tcPr>
            <w:tcW w:w="681" w:type="dxa"/>
            <w:vAlign w:val="center"/>
          </w:tcPr>
          <w:p w14:paraId="5BEA31E7" w14:textId="4B987A13" w:rsidR="00472EEB" w:rsidRDefault="00472EEB" w:rsidP="00D33D7D">
            <w:pPr>
              <w:pStyle w:val="BodyText"/>
              <w:ind w:right="115"/>
              <w:jc w:val="center"/>
              <w:rPr>
                <w:lang w:val="en-US"/>
              </w:rPr>
            </w:pPr>
            <w:r w:rsidRPr="006B5B15">
              <w:rPr>
                <w:sz w:val="18"/>
                <w:szCs w:val="18"/>
              </w:rPr>
              <w:t>7,18</w:t>
            </w:r>
          </w:p>
        </w:tc>
      </w:tr>
    </w:tbl>
    <w:p w14:paraId="2A1C35C0" w14:textId="77777777" w:rsidR="00AD5DFB" w:rsidRPr="006B5B15" w:rsidRDefault="00AD5DFB" w:rsidP="00D33D7D">
      <w:pPr>
        <w:ind w:left="220"/>
        <w:rPr>
          <w:sz w:val="18"/>
          <w:lang w:val="en-US"/>
        </w:rPr>
      </w:pPr>
    </w:p>
    <w:p w14:paraId="1746CA1D" w14:textId="77777777" w:rsidR="00C1153C" w:rsidRDefault="00E10622" w:rsidP="00D33D7D">
      <w:pPr>
        <w:ind w:left="220" w:firstLine="550"/>
        <w:jc w:val="both"/>
        <w:rPr>
          <w:sz w:val="20"/>
          <w:szCs w:val="20"/>
        </w:rPr>
      </w:pPr>
      <w:r w:rsidRPr="006B5B15">
        <w:rPr>
          <w:sz w:val="20"/>
          <w:szCs w:val="20"/>
        </w:rPr>
        <w:t>Berdasarkan PP Nomor 22 Tahun 2021, kisaran suhu yang diperbolehkan untuk wisata bahari dan biota laut berkisar 28</w:t>
      </w:r>
      <w:r w:rsidRPr="006B5B15">
        <w:rPr>
          <w:sz w:val="20"/>
          <w:szCs w:val="20"/>
          <w:lang w:val="id-ID"/>
        </w:rPr>
        <w:t xml:space="preserve"> </w:t>
      </w:r>
      <w:r w:rsidRPr="006B5B15">
        <w:rPr>
          <w:sz w:val="20"/>
          <w:szCs w:val="20"/>
        </w:rPr>
        <w:t>-</w:t>
      </w:r>
      <w:r w:rsidRPr="006B5B15">
        <w:rPr>
          <w:sz w:val="20"/>
          <w:szCs w:val="20"/>
          <w:lang w:val="id-ID"/>
        </w:rPr>
        <w:t xml:space="preserve"> </w:t>
      </w:r>
      <w:r w:rsidRPr="006B5B15">
        <w:rPr>
          <w:sz w:val="20"/>
          <w:szCs w:val="20"/>
        </w:rPr>
        <w:t>32</w:t>
      </w:r>
      <w:r w:rsidRPr="006B5B15">
        <w:rPr>
          <w:sz w:val="20"/>
          <w:szCs w:val="20"/>
          <w:vertAlign w:val="superscript"/>
        </w:rPr>
        <w:t>◦</w:t>
      </w:r>
      <w:r w:rsidRPr="006B5B15">
        <w:rPr>
          <w:sz w:val="20"/>
          <w:szCs w:val="20"/>
        </w:rPr>
        <w:t>C, maka suhu perairan laut di Pantai Wates masih berada dalam batas normal dan sesuai dengan kebutuhan untuk wisata bahari dan biota laut.</w:t>
      </w:r>
      <w:r w:rsidRPr="006B5B15">
        <w:rPr>
          <w:sz w:val="20"/>
          <w:szCs w:val="20"/>
          <w:lang w:val="en-US"/>
        </w:rPr>
        <w:t xml:space="preserve"> </w:t>
      </w:r>
      <w:r w:rsidRPr="006B5B15">
        <w:rPr>
          <w:sz w:val="20"/>
          <w:szCs w:val="20"/>
        </w:rPr>
        <w:t xml:space="preserve">Pengambilan sampel dilakukan pada saat terjadi angin muson barat. Angin muson barat mengakibatkan arus bergerak dari arah barat laut menuju ke tenggara dengan kecepatan arus permukaan pada saat pengambilan sampel berkisar 0,41 - 1,04 m/s dengan kecepatan angin sebesar 2 - 15 knots (BMKG,2022). Menurut Fadika </w:t>
      </w:r>
      <w:r w:rsidR="006B6E2F">
        <w:rPr>
          <w:i/>
          <w:sz w:val="20"/>
          <w:szCs w:val="20"/>
        </w:rPr>
        <w:t>et al.,</w:t>
      </w:r>
      <w:r w:rsidRPr="006B5B15">
        <w:rPr>
          <w:sz w:val="20"/>
          <w:szCs w:val="20"/>
        </w:rPr>
        <w:t xml:space="preserve"> (2014)</w:t>
      </w:r>
      <w:r w:rsidRPr="006B5B15">
        <w:rPr>
          <w:sz w:val="20"/>
          <w:szCs w:val="20"/>
          <w:lang w:val="en-US"/>
        </w:rPr>
        <w:t xml:space="preserve"> bahwa </w:t>
      </w:r>
      <w:r w:rsidRPr="006B5B15">
        <w:rPr>
          <w:sz w:val="20"/>
          <w:szCs w:val="20"/>
        </w:rPr>
        <w:t>suhu permukaan laut cenderung lebih tinggi pada saat terjadi angin muson barat, hal tersebut disebabkan karena suhu permukaan laut cenderung bergerak ke arah darat. Terlihat bahwa perairan Pantai Wates yang dangkal dan dekat dengan daratan maka suhu permukaan laut pada saat penelitian cenderung lebih tinggi dibandingkan dengan laut lepas. Suhu sangat berpengaruh terhadap kehidupan organisme laut dikarenakan organisme laut bersifat poikilotermik atau tidak dapat mengatur suhu tubuhnya. Aktivitas metabolisme dan distribusi organisme dipengaruhi oleh suhu perairan. Oleh karena itu, apabila terjadi perubahan suhu yang ekstrim dapat mengganggu kehidupan organisme bahkan dapat menyebabkan kematian (Schaduw, 2018).</w:t>
      </w:r>
    </w:p>
    <w:p w14:paraId="11C47954" w14:textId="77777777" w:rsidR="00C1153C" w:rsidRDefault="006B5B15" w:rsidP="00D33D7D">
      <w:pPr>
        <w:ind w:left="220" w:firstLine="550"/>
        <w:jc w:val="both"/>
        <w:rPr>
          <w:sz w:val="20"/>
          <w:szCs w:val="20"/>
        </w:rPr>
      </w:pPr>
      <w:r w:rsidRPr="006B5B15">
        <w:rPr>
          <w:sz w:val="20"/>
          <w:szCs w:val="20"/>
        </w:rPr>
        <w:t>Salinitas yang didapatkan pada saat pengambilan sampel pertama dan kedua berkisar 25 - 33 ppt. Nilai tersebut masih sesuai dengan baku mutu yang ditetapkan oleh PP Nomor 22 Tahun 2021 tentang Penyelenggaraan Perlindungan dan Pengelolaan Hidup mengenai baku mutu untuk wisata bahari dimana nilai salinitas berdasarkan keadaan alaminya.</w:t>
      </w:r>
      <w:r w:rsidRPr="006B5B15">
        <w:rPr>
          <w:sz w:val="20"/>
          <w:szCs w:val="20"/>
          <w:lang w:val="en-US"/>
        </w:rPr>
        <w:t xml:space="preserve"> </w:t>
      </w:r>
      <w:r w:rsidR="00A366C7">
        <w:rPr>
          <w:sz w:val="20"/>
          <w:szCs w:val="20"/>
          <w:lang w:val="en-US"/>
        </w:rPr>
        <w:t xml:space="preserve">Menurut Patty </w:t>
      </w:r>
      <w:r w:rsidR="00A366C7">
        <w:rPr>
          <w:sz w:val="20"/>
          <w:szCs w:val="20"/>
        </w:rPr>
        <w:t>(2013), s</w:t>
      </w:r>
      <w:r w:rsidRPr="006B5B15">
        <w:rPr>
          <w:sz w:val="20"/>
          <w:szCs w:val="20"/>
        </w:rPr>
        <w:t>alinitas di perairan Indonesia umumnya berkisar antara 30</w:t>
      </w:r>
      <w:r w:rsidRPr="006B5B15">
        <w:rPr>
          <w:sz w:val="20"/>
          <w:szCs w:val="20"/>
          <w:vertAlign w:val="superscript"/>
        </w:rPr>
        <w:t xml:space="preserve"> o</w:t>
      </w:r>
      <w:r w:rsidRPr="006B5B15">
        <w:rPr>
          <w:sz w:val="20"/>
          <w:szCs w:val="20"/>
        </w:rPr>
        <w:t>/</w:t>
      </w:r>
      <w:r w:rsidRPr="006B5B15">
        <w:rPr>
          <w:sz w:val="20"/>
          <w:szCs w:val="20"/>
          <w:vertAlign w:val="subscript"/>
        </w:rPr>
        <w:t>oo</w:t>
      </w:r>
      <w:r w:rsidRPr="006B5B15">
        <w:rPr>
          <w:sz w:val="20"/>
          <w:szCs w:val="20"/>
          <w:lang w:val="id-ID"/>
        </w:rPr>
        <w:t xml:space="preserve"> </w:t>
      </w:r>
      <w:r w:rsidRPr="006B5B15">
        <w:rPr>
          <w:sz w:val="20"/>
          <w:szCs w:val="20"/>
        </w:rPr>
        <w:t>sampai</w:t>
      </w:r>
      <w:r w:rsidRPr="006B5B15">
        <w:rPr>
          <w:sz w:val="20"/>
          <w:szCs w:val="20"/>
          <w:lang w:val="id-ID"/>
        </w:rPr>
        <w:t xml:space="preserve"> </w:t>
      </w:r>
      <w:r w:rsidRPr="006B5B15">
        <w:rPr>
          <w:sz w:val="20"/>
          <w:szCs w:val="20"/>
        </w:rPr>
        <w:t>35</w:t>
      </w:r>
      <w:r w:rsidRPr="006B5B15">
        <w:rPr>
          <w:sz w:val="20"/>
          <w:szCs w:val="20"/>
          <w:vertAlign w:val="superscript"/>
        </w:rPr>
        <w:t xml:space="preserve"> o</w:t>
      </w:r>
      <w:r w:rsidRPr="006B5B15">
        <w:rPr>
          <w:sz w:val="20"/>
          <w:szCs w:val="20"/>
        </w:rPr>
        <w:t>/</w:t>
      </w:r>
      <w:r w:rsidR="00A366C7">
        <w:rPr>
          <w:sz w:val="20"/>
          <w:szCs w:val="20"/>
          <w:vertAlign w:val="subscript"/>
        </w:rPr>
        <w:t>oo.</w:t>
      </w:r>
      <w:r w:rsidR="00A366C7">
        <w:rPr>
          <w:sz w:val="20"/>
          <w:szCs w:val="20"/>
          <w:vertAlign w:val="subscript"/>
          <w:lang w:val="en-US"/>
        </w:rPr>
        <w:t xml:space="preserve"> </w:t>
      </w:r>
      <w:r w:rsidR="00A366C7" w:rsidRPr="006B5B15">
        <w:rPr>
          <w:sz w:val="20"/>
          <w:szCs w:val="20"/>
        </w:rPr>
        <w:t>N</w:t>
      </w:r>
      <w:r w:rsidR="00822EC2" w:rsidRPr="006B5B15">
        <w:rPr>
          <w:sz w:val="20"/>
          <w:szCs w:val="20"/>
        </w:rPr>
        <w:t>ilai salinitas terendah yaitu 25 ppt yang terjadi di stasiun C</w:t>
      </w:r>
      <w:r w:rsidR="00A366C7">
        <w:rPr>
          <w:sz w:val="20"/>
          <w:szCs w:val="20"/>
          <w:lang w:val="en-US"/>
        </w:rPr>
        <w:t xml:space="preserve"> saat sampling pertama</w:t>
      </w:r>
      <w:r w:rsidR="00822EC2" w:rsidRPr="006B5B15">
        <w:rPr>
          <w:sz w:val="20"/>
          <w:szCs w:val="20"/>
        </w:rPr>
        <w:t xml:space="preserve">. Hal tersebut disebabkan pada saat pengambilan sampel terjadi hujan dengan intensitas yang rendah yang mengakibatkan masuknya air tawar ke Pantai Wates. Perbedaan salinitas terjadi akibat perbedaan kedalaman dan pengaruh cuaca pada saat </w:t>
      </w:r>
      <w:r w:rsidR="00822EC2" w:rsidRPr="006B5B15">
        <w:rPr>
          <w:sz w:val="20"/>
          <w:szCs w:val="20"/>
        </w:rPr>
        <w:lastRenderedPageBreak/>
        <w:t xml:space="preserve">pengambilan sampel. </w:t>
      </w:r>
      <w:r w:rsidR="00A366C7" w:rsidRPr="006B5B15">
        <w:rPr>
          <w:sz w:val="20"/>
          <w:szCs w:val="20"/>
        </w:rPr>
        <w:t>F</w:t>
      </w:r>
      <w:r w:rsidR="00822EC2" w:rsidRPr="006B5B15">
        <w:rPr>
          <w:sz w:val="20"/>
          <w:szCs w:val="20"/>
        </w:rPr>
        <w:t>aktor-faktor yang mempengaruhi sebaran salinitas suatu perairan yaitu curah hujan, aliran sunga</w:t>
      </w:r>
      <w:r w:rsidR="00A366C7">
        <w:rPr>
          <w:sz w:val="20"/>
          <w:szCs w:val="20"/>
        </w:rPr>
        <w:t xml:space="preserve">i, sirkulasi air dan penguapan </w:t>
      </w:r>
      <w:r w:rsidR="00A366C7">
        <w:rPr>
          <w:sz w:val="20"/>
          <w:szCs w:val="20"/>
          <w:lang w:val="en-US"/>
        </w:rPr>
        <w:t>(Simbolon, 2016).</w:t>
      </w:r>
    </w:p>
    <w:p w14:paraId="396F473C" w14:textId="286399E7" w:rsidR="007A23C2" w:rsidRDefault="006551E7" w:rsidP="00D33D7D">
      <w:pPr>
        <w:ind w:left="220" w:firstLine="550"/>
        <w:jc w:val="both"/>
        <w:rPr>
          <w:sz w:val="20"/>
          <w:szCs w:val="20"/>
        </w:rPr>
      </w:pPr>
      <w:r w:rsidRPr="006551E7">
        <w:rPr>
          <w:color w:val="0D0D0D" w:themeColor="text1" w:themeTint="F2"/>
          <w:sz w:val="20"/>
          <w:szCs w:val="20"/>
        </w:rPr>
        <w:t>Kecepatan arus pada saat pengambilan sampel pertama di stasiun A, B dan C berkisar antara 0,41 - 0,5 m/s, sedangkan pada pengambilan sampel yang kedua memiliki nilai kecepatan arus yang lebih tinggi yaitu berkisar 0,86 - 1,04 m/s dengan arah arus pada saat sampling pertama maupun kedua berasal dari barat laut menuju arah tenggara. Tingginya kecepatan arus pada saat sampling kedua disebabkan karena pengambilan sampel dila</w:t>
      </w:r>
      <w:r w:rsidR="00D33D7D">
        <w:rPr>
          <w:color w:val="0D0D0D" w:themeColor="text1" w:themeTint="F2"/>
          <w:sz w:val="20"/>
          <w:szCs w:val="20"/>
        </w:rPr>
        <w:t xml:space="preserve">kukan pada saat pasang </w:t>
      </w:r>
      <w:r w:rsidRPr="006551E7">
        <w:rPr>
          <w:color w:val="0D0D0D" w:themeColor="text1" w:themeTint="F2"/>
          <w:sz w:val="20"/>
          <w:szCs w:val="20"/>
        </w:rPr>
        <w:t xml:space="preserve"> </w:t>
      </w:r>
      <w:r w:rsidR="00D130CB">
        <w:rPr>
          <w:color w:val="0D0D0D" w:themeColor="text1" w:themeTint="F2"/>
          <w:sz w:val="20"/>
          <w:szCs w:val="20"/>
        </w:rPr>
        <w:t>bulan purnama</w:t>
      </w:r>
      <w:r w:rsidR="00D33D7D">
        <w:rPr>
          <w:color w:val="0D0D0D" w:themeColor="text1" w:themeTint="F2"/>
          <w:sz w:val="20"/>
          <w:szCs w:val="20"/>
          <w:lang w:val="en-US"/>
        </w:rPr>
        <w:t xml:space="preserve"> (</w:t>
      </w:r>
      <w:r w:rsidR="00D33D7D" w:rsidRPr="00D33D7D">
        <w:rPr>
          <w:i/>
          <w:color w:val="0D0D0D" w:themeColor="text1" w:themeTint="F2"/>
          <w:sz w:val="20"/>
          <w:szCs w:val="20"/>
          <w:lang w:val="en-US"/>
        </w:rPr>
        <w:t>spring tide</w:t>
      </w:r>
      <w:r w:rsidR="00D33D7D">
        <w:rPr>
          <w:color w:val="0D0D0D" w:themeColor="text1" w:themeTint="F2"/>
          <w:sz w:val="20"/>
          <w:szCs w:val="20"/>
          <w:lang w:val="en-US"/>
        </w:rPr>
        <w:t>)</w:t>
      </w:r>
      <w:r w:rsidR="00D130CB">
        <w:rPr>
          <w:color w:val="0D0D0D" w:themeColor="text1" w:themeTint="F2"/>
          <w:sz w:val="20"/>
          <w:szCs w:val="20"/>
        </w:rPr>
        <w:t xml:space="preserve">. </w:t>
      </w:r>
      <w:r w:rsidRPr="006551E7">
        <w:rPr>
          <w:sz w:val="20"/>
          <w:szCs w:val="20"/>
        </w:rPr>
        <w:t xml:space="preserve">Menurut Tanto </w:t>
      </w:r>
      <w:r w:rsidR="006B6E2F">
        <w:rPr>
          <w:i/>
          <w:sz w:val="20"/>
          <w:szCs w:val="20"/>
        </w:rPr>
        <w:t>et al.,</w:t>
      </w:r>
      <w:r w:rsidRPr="006551E7">
        <w:rPr>
          <w:sz w:val="20"/>
          <w:szCs w:val="20"/>
        </w:rPr>
        <w:t xml:space="preserve"> (2017), kecepatan arus cenderung lebih tinggi pada saat terjadi bulan purnama dibanding pada saat posisi bulan separuh atau kuarter pertama maupun ketiga</w:t>
      </w:r>
      <w:r w:rsidRPr="006551E7">
        <w:rPr>
          <w:color w:val="0D0D0D" w:themeColor="text1" w:themeTint="F2"/>
          <w:sz w:val="20"/>
          <w:szCs w:val="20"/>
        </w:rPr>
        <w:t>. Perbedaan kecepatan arus tersebut diakibatkan karena perbedaan interval elevasi pasut yang besar yang terjadi pada kondisi purnama maupun perbani, dimana interval elevasi yang besar akan menciptakan arus yang lebih kuat dan sebaliknya. Kecepatan arus yang tinggi pada saat pasut purnama (</w:t>
      </w:r>
      <w:r w:rsidRPr="006551E7">
        <w:rPr>
          <w:i/>
          <w:color w:val="0D0D0D" w:themeColor="text1" w:themeTint="F2"/>
          <w:sz w:val="20"/>
          <w:szCs w:val="20"/>
        </w:rPr>
        <w:t>spring</w:t>
      </w:r>
      <w:r w:rsidR="00C50C3D">
        <w:rPr>
          <w:i/>
          <w:color w:val="0D0D0D" w:themeColor="text1" w:themeTint="F2"/>
          <w:sz w:val="20"/>
          <w:szCs w:val="20"/>
          <w:lang w:val="en-US"/>
        </w:rPr>
        <w:t xml:space="preserve"> </w:t>
      </w:r>
      <w:r w:rsidRPr="006551E7">
        <w:rPr>
          <w:i/>
          <w:color w:val="0D0D0D" w:themeColor="text1" w:themeTint="F2"/>
          <w:sz w:val="20"/>
          <w:szCs w:val="20"/>
        </w:rPr>
        <w:t>tide</w:t>
      </w:r>
      <w:r w:rsidRPr="006551E7">
        <w:rPr>
          <w:color w:val="0D0D0D" w:themeColor="text1" w:themeTint="F2"/>
          <w:sz w:val="20"/>
          <w:szCs w:val="20"/>
        </w:rPr>
        <w:t xml:space="preserve">) diakibatkan posisi bulan dan matahari berada pada posisi yang sejajar dengan bumi sehingga gaya tarik bulan dan matahari mencapai titik </w:t>
      </w:r>
      <w:r w:rsidRPr="00D130CB">
        <w:rPr>
          <w:color w:val="0D0D0D" w:themeColor="text1" w:themeTint="F2"/>
          <w:sz w:val="20"/>
          <w:szCs w:val="20"/>
        </w:rPr>
        <w:t xml:space="preserve">maksimum yang mengakibatkan kenaikan tertinggi pada muka air laut. Kecepatan arus laut berpengaruh terhadap persebaran salinitas dan bahan organik lainnya (Sidauruk </w:t>
      </w:r>
      <w:r w:rsidR="006B6E2F">
        <w:rPr>
          <w:i/>
          <w:color w:val="0D0D0D" w:themeColor="text1" w:themeTint="F2"/>
          <w:sz w:val="20"/>
          <w:szCs w:val="20"/>
        </w:rPr>
        <w:t>et al.,</w:t>
      </w:r>
      <w:r w:rsidRPr="00D130CB">
        <w:rPr>
          <w:color w:val="0D0D0D" w:themeColor="text1" w:themeTint="F2"/>
          <w:sz w:val="20"/>
          <w:szCs w:val="20"/>
        </w:rPr>
        <w:t xml:space="preserve"> (2015).</w:t>
      </w:r>
    </w:p>
    <w:p w14:paraId="7D0C99B7" w14:textId="77777777" w:rsidR="007A23C2" w:rsidRDefault="00D130CB" w:rsidP="00D33D7D">
      <w:pPr>
        <w:ind w:left="220" w:firstLine="550"/>
        <w:jc w:val="both"/>
        <w:rPr>
          <w:sz w:val="20"/>
          <w:szCs w:val="20"/>
        </w:rPr>
      </w:pPr>
      <w:r w:rsidRPr="00D130CB">
        <w:rPr>
          <w:color w:val="0D0D0D" w:themeColor="text1" w:themeTint="F2"/>
          <w:sz w:val="20"/>
          <w:szCs w:val="20"/>
        </w:rPr>
        <w:t xml:space="preserve">Nilai pH sangat erat kaitannya dengan kehidupan organisme perairan dimana apabila kondisi perairan terlalu asam maupun basa maka dapat menyebabkan terganggunya sistem metabolisme dan respirasi. </w:t>
      </w:r>
      <w:r>
        <w:rPr>
          <w:color w:val="0D0D0D" w:themeColor="text1" w:themeTint="F2"/>
          <w:sz w:val="20"/>
          <w:szCs w:val="20"/>
          <w:lang w:val="en-US"/>
        </w:rPr>
        <w:t xml:space="preserve">Pengukuran </w:t>
      </w:r>
      <w:r w:rsidR="004B6020">
        <w:rPr>
          <w:color w:val="0D0D0D" w:themeColor="text1" w:themeTint="F2"/>
          <w:sz w:val="20"/>
          <w:szCs w:val="20"/>
          <w:lang w:val="en-US"/>
        </w:rPr>
        <w:t>pH</w:t>
      </w:r>
      <w:r>
        <w:rPr>
          <w:color w:val="0D0D0D" w:themeColor="text1" w:themeTint="F2"/>
          <w:sz w:val="20"/>
          <w:szCs w:val="20"/>
          <w:lang w:val="en-US"/>
        </w:rPr>
        <w:t xml:space="preserve"> </w:t>
      </w:r>
      <w:r w:rsidR="004B6020">
        <w:rPr>
          <w:color w:val="0D0D0D" w:themeColor="text1" w:themeTint="F2"/>
          <w:sz w:val="20"/>
          <w:szCs w:val="20"/>
          <w:lang w:val="en-US"/>
        </w:rPr>
        <w:t xml:space="preserve">secara langsung </w:t>
      </w:r>
      <w:r w:rsidRPr="00D130CB">
        <w:rPr>
          <w:color w:val="0D0D0D" w:themeColor="text1" w:themeTint="F2"/>
          <w:sz w:val="20"/>
          <w:szCs w:val="20"/>
        </w:rPr>
        <w:t xml:space="preserve">pada sampling pertama di stasiun A, B dan C memiliki angka pH berkisar 7,75 - 8,03 dan sampling kedua berkisar 7,7 -7,94. </w:t>
      </w:r>
      <w:r w:rsidR="004B6020">
        <w:rPr>
          <w:color w:val="0D0D0D" w:themeColor="text1" w:themeTint="F2"/>
          <w:sz w:val="20"/>
          <w:szCs w:val="20"/>
          <w:lang w:val="en-US"/>
        </w:rPr>
        <w:t xml:space="preserve">Nilai pH tertinggi terjadi pada sampling pertama di stasiun A. Berdasarkan hasil pengukuran </w:t>
      </w:r>
      <w:r w:rsidRPr="00D130CB">
        <w:rPr>
          <w:color w:val="0D0D0D" w:themeColor="text1" w:themeTint="F2"/>
          <w:sz w:val="20"/>
          <w:szCs w:val="20"/>
        </w:rPr>
        <w:t xml:space="preserve">menunjukkan bahwa angka pH perairan Pantai Wates masih berada pada baku mutu untuk wisata bahari dan biota laut yang ditetapkan oleh PP Nomor 22 Tahun 2021 yaitu sebesar 7 - 8,5. Perbedaan nilai pH disebabkan karena berbagai faktor seperti masuknya limbah organik maupun anorganik, suhu dan salinitas. Perubahan pH sedikit saja dari pH alami </w:t>
      </w:r>
      <w:r w:rsidRPr="004B6020">
        <w:rPr>
          <w:color w:val="0D0D0D" w:themeColor="text1" w:themeTint="F2"/>
          <w:sz w:val="20"/>
          <w:szCs w:val="20"/>
        </w:rPr>
        <w:t xml:space="preserve">menunjukkan bahwa terganggunya sistem penyangga air laut yang dapat menimbulkan perubahan dan ketidakseimbangan kadar CO2 yang dapat membahayakan biota laut (Rukminasari </w:t>
      </w:r>
      <w:r w:rsidR="006B6E2F">
        <w:rPr>
          <w:i/>
          <w:color w:val="0D0D0D" w:themeColor="text1" w:themeTint="F2"/>
          <w:sz w:val="20"/>
          <w:szCs w:val="20"/>
        </w:rPr>
        <w:t>et al.,</w:t>
      </w:r>
      <w:r w:rsidRPr="004B6020">
        <w:rPr>
          <w:color w:val="0D0D0D" w:themeColor="text1" w:themeTint="F2"/>
          <w:sz w:val="20"/>
          <w:szCs w:val="20"/>
        </w:rPr>
        <w:t xml:space="preserve"> 2014).</w:t>
      </w:r>
    </w:p>
    <w:p w14:paraId="67720846" w14:textId="77777777" w:rsidR="007A23C2" w:rsidRDefault="007A23C2" w:rsidP="00D33D7D">
      <w:pPr>
        <w:ind w:left="220" w:firstLine="550"/>
        <w:jc w:val="both"/>
        <w:rPr>
          <w:color w:val="0D0D0D" w:themeColor="text1" w:themeTint="F2"/>
          <w:sz w:val="20"/>
          <w:szCs w:val="20"/>
        </w:rPr>
      </w:pPr>
      <w:r w:rsidRPr="007A23C2">
        <w:rPr>
          <w:color w:val="0D0D0D" w:themeColor="text1" w:themeTint="F2"/>
          <w:sz w:val="20"/>
          <w:szCs w:val="20"/>
        </w:rPr>
        <w:t xml:space="preserve">Hasil pengukuran DO pada saat dilakukan pengambilan sampel pertama berkisar 6,18 - 7,10 mg/L dan pada saat pengambilan sampel kedua memiliki angka DO berkisar 6,29 - 7,74 mg/L, hal tersebut menunjukkan bahwa angka DO masih berada pada baku mutu yang ditetapkan oleh PP Nomor 22 Tahun 2021 tentang Penyelenggaraan Perlindungan </w:t>
      </w:r>
      <w:r w:rsidR="006B41B0">
        <w:rPr>
          <w:color w:val="0D0D0D" w:themeColor="text1" w:themeTint="F2"/>
          <w:sz w:val="20"/>
          <w:szCs w:val="20"/>
        </w:rPr>
        <w:t xml:space="preserve">dan Pengelolaan Hidup </w:t>
      </w:r>
      <w:r w:rsidR="006B41B0">
        <w:rPr>
          <w:color w:val="0D0D0D" w:themeColor="text1" w:themeTint="F2"/>
          <w:sz w:val="20"/>
          <w:szCs w:val="20"/>
          <w:lang w:val="en-US"/>
        </w:rPr>
        <w:t xml:space="preserve">sebesar &gt;5 mg/L. </w:t>
      </w:r>
      <w:r w:rsidRPr="007A23C2">
        <w:rPr>
          <w:color w:val="0D0D0D" w:themeColor="text1" w:themeTint="F2"/>
          <w:sz w:val="20"/>
          <w:szCs w:val="20"/>
        </w:rPr>
        <w:t>DO (</w:t>
      </w:r>
      <w:r w:rsidRPr="007A23C2">
        <w:rPr>
          <w:i/>
          <w:color w:val="0D0D0D" w:themeColor="text1" w:themeTint="F2"/>
          <w:sz w:val="20"/>
          <w:szCs w:val="20"/>
        </w:rPr>
        <w:t>Dissolved Oxygen</w:t>
      </w:r>
      <w:r w:rsidRPr="007A23C2">
        <w:rPr>
          <w:color w:val="0D0D0D" w:themeColor="text1" w:themeTint="F2"/>
          <w:sz w:val="20"/>
          <w:szCs w:val="20"/>
        </w:rPr>
        <w:t xml:space="preserve">) diperlukan oleh semua organisme perairan untuk mengatur metabolisme tubuh agar dapat berkembang biak. Tingginya kadar oksigen terlarut pada saat pengambilan sampel disebabkan karena proses fotosintesis, kedalaman, waktu pengambilan sampel dan pertukaran gas antara </w:t>
      </w:r>
      <w:r w:rsidR="00964108">
        <w:rPr>
          <w:color w:val="0D0D0D" w:themeColor="text1" w:themeTint="F2"/>
          <w:sz w:val="20"/>
          <w:szCs w:val="20"/>
        </w:rPr>
        <w:t xml:space="preserve">air dan </w:t>
      </w:r>
      <w:r w:rsidR="00964108">
        <w:rPr>
          <w:color w:val="0D0D0D" w:themeColor="text1" w:themeTint="F2"/>
          <w:sz w:val="20"/>
          <w:szCs w:val="20"/>
        </w:rPr>
        <w:lastRenderedPageBreak/>
        <w:t>udara. Menurut Indrayana</w:t>
      </w:r>
      <w:r w:rsidRPr="007A23C2">
        <w:rPr>
          <w:color w:val="0D0D0D" w:themeColor="text1" w:themeTint="F2"/>
          <w:sz w:val="20"/>
          <w:szCs w:val="20"/>
        </w:rPr>
        <w:t xml:space="preserve"> </w:t>
      </w:r>
      <w:r w:rsidR="006B6E2F">
        <w:rPr>
          <w:i/>
          <w:color w:val="0D0D0D" w:themeColor="text1" w:themeTint="F2"/>
          <w:sz w:val="20"/>
          <w:szCs w:val="20"/>
        </w:rPr>
        <w:t>et al.,</w:t>
      </w:r>
      <w:r w:rsidR="00D55F3B">
        <w:rPr>
          <w:i/>
          <w:color w:val="0D0D0D" w:themeColor="text1" w:themeTint="F2"/>
          <w:sz w:val="20"/>
          <w:szCs w:val="20"/>
        </w:rPr>
        <w:t xml:space="preserve"> </w:t>
      </w:r>
      <w:r w:rsidRPr="007A23C2">
        <w:rPr>
          <w:color w:val="0D0D0D" w:themeColor="text1" w:themeTint="F2"/>
          <w:sz w:val="20"/>
          <w:szCs w:val="20"/>
        </w:rPr>
        <w:t>(2014), persebaran konsentrasi DO pada daerah dekat pantai memiliki angka DO yang tinggi, hal tersebut disebabkan pada daerah dekat pantai memiliki salinitas yang rendah. Apabila kadar oksigen terlarut rendah maka dapat menyebabk</w:t>
      </w:r>
      <w:r w:rsidR="006B41B0">
        <w:rPr>
          <w:color w:val="0D0D0D" w:themeColor="text1" w:themeTint="F2"/>
          <w:sz w:val="20"/>
          <w:szCs w:val="20"/>
        </w:rPr>
        <w:t xml:space="preserve">an kematian pada organisme air. </w:t>
      </w:r>
      <w:r w:rsidR="006B41B0" w:rsidRPr="007A23C2">
        <w:rPr>
          <w:color w:val="0D0D0D" w:themeColor="text1" w:themeTint="F2"/>
          <w:sz w:val="20"/>
          <w:szCs w:val="20"/>
        </w:rPr>
        <w:t>R</w:t>
      </w:r>
      <w:r w:rsidRPr="007A23C2">
        <w:rPr>
          <w:color w:val="0D0D0D" w:themeColor="text1" w:themeTint="F2"/>
          <w:sz w:val="20"/>
          <w:szCs w:val="20"/>
        </w:rPr>
        <w:t xml:space="preserve">endahnya kadar oksigen terlarut disebabkan karena adanya pembusukan dan respirasi di dasar perairan (Mubarak </w:t>
      </w:r>
      <w:r w:rsidR="006B6E2F">
        <w:rPr>
          <w:i/>
          <w:color w:val="0D0D0D" w:themeColor="text1" w:themeTint="F2"/>
          <w:sz w:val="20"/>
          <w:szCs w:val="20"/>
        </w:rPr>
        <w:t>et al.,</w:t>
      </w:r>
      <w:r w:rsidRPr="007A23C2">
        <w:rPr>
          <w:color w:val="0D0D0D" w:themeColor="text1" w:themeTint="F2"/>
          <w:sz w:val="20"/>
          <w:szCs w:val="20"/>
        </w:rPr>
        <w:t xml:space="preserve"> 2010).</w:t>
      </w:r>
    </w:p>
    <w:p w14:paraId="1CB45CF1" w14:textId="77777777" w:rsidR="006B41B0" w:rsidRDefault="005900D0" w:rsidP="00D33D7D">
      <w:pPr>
        <w:ind w:left="220" w:firstLine="550"/>
        <w:jc w:val="both"/>
        <w:rPr>
          <w:sz w:val="20"/>
          <w:szCs w:val="20"/>
          <w:lang w:val="en-US"/>
        </w:rPr>
      </w:pPr>
      <w:r>
        <w:rPr>
          <w:sz w:val="20"/>
          <w:szCs w:val="20"/>
          <w:lang w:val="en-US"/>
        </w:rPr>
        <w:t xml:space="preserve">Kedalaman perairan Pantai Wates berkisar antara 70 – 93 cm. kedalaman mempengaruhi intensitas cahaya matahari yang masuk ke dalam perairan. Semakin dalam suatu perairan maka intensitas cahaya matahari semakin rendah. </w:t>
      </w:r>
      <w:r w:rsidR="006D7DF5">
        <w:rPr>
          <w:sz w:val="20"/>
          <w:szCs w:val="20"/>
          <w:lang w:val="en-US"/>
        </w:rPr>
        <w:t xml:space="preserve">Menurut Sidabuntar </w:t>
      </w:r>
      <w:r w:rsidR="006B6E2F" w:rsidRPr="00D55F3B">
        <w:rPr>
          <w:i/>
          <w:sz w:val="20"/>
          <w:szCs w:val="20"/>
          <w:lang w:val="en-US"/>
        </w:rPr>
        <w:t>et al</w:t>
      </w:r>
      <w:r w:rsidR="006B6E2F">
        <w:rPr>
          <w:sz w:val="20"/>
          <w:szCs w:val="20"/>
          <w:lang w:val="en-US"/>
        </w:rPr>
        <w:t>.,</w:t>
      </w:r>
      <w:r w:rsidR="006D7DF5">
        <w:rPr>
          <w:sz w:val="20"/>
          <w:szCs w:val="20"/>
          <w:lang w:val="en-US"/>
        </w:rPr>
        <w:t xml:space="preserve"> (2019), kedalaman menyebabkan terjadinya perbedaan suhu akibat adanya perbedaan penetrasi cahaya matahari pada lapisan permukaan dan lapisan dalam perairan. Kedalaman juga berpengaruh terhadap perbedaan nilai salinitas. Semakin dalam maka nilai salinitas semakin tinggi, hal ini disebabkan karena berkurangnya pengaruh masukan air tawar yang berasal dari daratan (Patty, 2013). </w:t>
      </w:r>
    </w:p>
    <w:p w14:paraId="4E5E5886" w14:textId="77777777" w:rsidR="004E03CB" w:rsidRDefault="004E03CB" w:rsidP="00D33D7D">
      <w:pPr>
        <w:ind w:left="220" w:firstLine="550"/>
        <w:jc w:val="both"/>
        <w:rPr>
          <w:sz w:val="20"/>
          <w:szCs w:val="20"/>
          <w:lang w:val="en-US"/>
        </w:rPr>
      </w:pPr>
    </w:p>
    <w:p w14:paraId="1476F7C1" w14:textId="77777777" w:rsidR="004E03CB" w:rsidRDefault="004E03CB" w:rsidP="00D33D7D">
      <w:pPr>
        <w:ind w:left="220"/>
        <w:jc w:val="both"/>
        <w:rPr>
          <w:b/>
          <w:sz w:val="20"/>
          <w:szCs w:val="20"/>
          <w:lang w:val="en-US"/>
        </w:rPr>
      </w:pPr>
      <w:r w:rsidRPr="004E03CB">
        <w:rPr>
          <w:b/>
          <w:sz w:val="20"/>
          <w:szCs w:val="20"/>
          <w:lang w:val="en-US"/>
        </w:rPr>
        <w:t>Variabel TSS, BOD, COD, Amonia, Minyak dan Lemak</w:t>
      </w:r>
    </w:p>
    <w:p w14:paraId="330B703F" w14:textId="77777777" w:rsidR="004E03CB" w:rsidRDefault="004E03CB" w:rsidP="00D33D7D">
      <w:pPr>
        <w:ind w:left="220" w:firstLine="550"/>
        <w:jc w:val="both"/>
        <w:rPr>
          <w:sz w:val="20"/>
          <w:szCs w:val="20"/>
          <w:lang w:val="en-US"/>
        </w:rPr>
      </w:pPr>
      <w:r w:rsidRPr="004E03CB">
        <w:rPr>
          <w:sz w:val="20"/>
          <w:szCs w:val="20"/>
          <w:lang w:val="en-US"/>
        </w:rPr>
        <w:t>Hasil pengukuran variabel TSS, BOD, COD, Amonia, Minyak dan Lemak di perairan Pantai Wates disajikan pada Tabel 3.</w:t>
      </w:r>
    </w:p>
    <w:p w14:paraId="58DDDF27" w14:textId="77777777" w:rsidR="004E03CB" w:rsidRDefault="004E03CB" w:rsidP="00D33D7D">
      <w:pPr>
        <w:ind w:left="220" w:firstLine="550"/>
        <w:jc w:val="both"/>
        <w:rPr>
          <w:sz w:val="20"/>
          <w:szCs w:val="20"/>
          <w:lang w:val="en-US"/>
        </w:rPr>
      </w:pPr>
    </w:p>
    <w:p w14:paraId="52C6B2D5" w14:textId="77777777" w:rsidR="004E03CB" w:rsidRDefault="004E03CB" w:rsidP="00D33D7D">
      <w:pPr>
        <w:ind w:left="1210" w:hanging="990"/>
        <w:jc w:val="both"/>
        <w:rPr>
          <w:sz w:val="20"/>
          <w:szCs w:val="20"/>
          <w:lang w:val="en-US"/>
        </w:rPr>
      </w:pPr>
      <w:r w:rsidRPr="00F33B81">
        <w:rPr>
          <w:b/>
          <w:sz w:val="20"/>
          <w:szCs w:val="20"/>
          <w:lang w:val="en-US"/>
        </w:rPr>
        <w:t>Tabel 3</w:t>
      </w:r>
      <w:r>
        <w:rPr>
          <w:sz w:val="20"/>
          <w:szCs w:val="20"/>
          <w:lang w:val="en-US"/>
        </w:rPr>
        <w:t xml:space="preserve">. Pengukuran Variabel </w:t>
      </w:r>
      <w:r w:rsidRPr="004E03CB">
        <w:rPr>
          <w:sz w:val="20"/>
          <w:szCs w:val="20"/>
          <w:lang w:val="en-US"/>
        </w:rPr>
        <w:t>TSS, BOD, COD, Amonia, Minyak dan Lemak di perairan Pantai Wates</w:t>
      </w:r>
    </w:p>
    <w:tbl>
      <w:tblPr>
        <w:tblStyle w:val="TableGrid"/>
        <w:tblW w:w="4714" w:type="dxa"/>
        <w:tblInd w:w="2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55"/>
        <w:gridCol w:w="1525"/>
        <w:gridCol w:w="915"/>
        <w:gridCol w:w="915"/>
        <w:gridCol w:w="704"/>
      </w:tblGrid>
      <w:tr w:rsidR="00772B86" w14:paraId="38697DA1" w14:textId="77777777" w:rsidTr="008453E4">
        <w:tc>
          <w:tcPr>
            <w:tcW w:w="655" w:type="dxa"/>
            <w:vMerge w:val="restart"/>
            <w:vAlign w:val="center"/>
          </w:tcPr>
          <w:p w14:paraId="2BC78327" w14:textId="77777777" w:rsidR="00772B86" w:rsidRDefault="00772B86" w:rsidP="00D33D7D">
            <w:pPr>
              <w:jc w:val="center"/>
              <w:rPr>
                <w:sz w:val="20"/>
                <w:szCs w:val="20"/>
                <w:lang w:val="en-US"/>
              </w:rPr>
            </w:pPr>
            <w:r>
              <w:rPr>
                <w:sz w:val="20"/>
                <w:szCs w:val="20"/>
                <w:lang w:val="en-US"/>
              </w:rPr>
              <w:t>Sampling</w:t>
            </w:r>
          </w:p>
        </w:tc>
        <w:tc>
          <w:tcPr>
            <w:tcW w:w="1525" w:type="dxa"/>
            <w:vMerge w:val="restart"/>
            <w:vAlign w:val="center"/>
          </w:tcPr>
          <w:p w14:paraId="1FFF269E" w14:textId="77777777" w:rsidR="00772B86" w:rsidRDefault="00772B86" w:rsidP="00D33D7D">
            <w:pPr>
              <w:jc w:val="center"/>
              <w:rPr>
                <w:sz w:val="20"/>
                <w:szCs w:val="20"/>
                <w:lang w:val="en-US"/>
              </w:rPr>
            </w:pPr>
            <w:r>
              <w:rPr>
                <w:sz w:val="20"/>
                <w:szCs w:val="20"/>
                <w:lang w:val="en-US"/>
              </w:rPr>
              <w:t>Variabel</w:t>
            </w:r>
          </w:p>
        </w:tc>
        <w:tc>
          <w:tcPr>
            <w:tcW w:w="2534" w:type="dxa"/>
            <w:gridSpan w:val="3"/>
            <w:vAlign w:val="center"/>
          </w:tcPr>
          <w:p w14:paraId="1A793EC3" w14:textId="77777777" w:rsidR="00772B86" w:rsidRDefault="00772B86" w:rsidP="00D33D7D">
            <w:pPr>
              <w:jc w:val="center"/>
              <w:rPr>
                <w:sz w:val="20"/>
                <w:szCs w:val="20"/>
                <w:lang w:val="en-US"/>
              </w:rPr>
            </w:pPr>
            <w:r>
              <w:rPr>
                <w:sz w:val="20"/>
                <w:szCs w:val="20"/>
                <w:lang w:val="en-US"/>
              </w:rPr>
              <w:t>Stasiun</w:t>
            </w:r>
          </w:p>
        </w:tc>
      </w:tr>
      <w:tr w:rsidR="00772B86" w14:paraId="6453597A" w14:textId="77777777" w:rsidTr="008453E4">
        <w:tc>
          <w:tcPr>
            <w:tcW w:w="655" w:type="dxa"/>
            <w:vMerge/>
            <w:vAlign w:val="center"/>
          </w:tcPr>
          <w:p w14:paraId="42056B92" w14:textId="77777777" w:rsidR="00772B86" w:rsidRDefault="00772B86" w:rsidP="00D33D7D">
            <w:pPr>
              <w:jc w:val="center"/>
              <w:rPr>
                <w:sz w:val="20"/>
                <w:szCs w:val="20"/>
                <w:lang w:val="en-US"/>
              </w:rPr>
            </w:pPr>
          </w:p>
        </w:tc>
        <w:tc>
          <w:tcPr>
            <w:tcW w:w="1525" w:type="dxa"/>
            <w:vMerge/>
            <w:vAlign w:val="center"/>
          </w:tcPr>
          <w:p w14:paraId="64FC90F6" w14:textId="77777777" w:rsidR="00772B86" w:rsidRDefault="00772B86" w:rsidP="00D33D7D">
            <w:pPr>
              <w:jc w:val="center"/>
              <w:rPr>
                <w:sz w:val="20"/>
                <w:szCs w:val="20"/>
                <w:lang w:val="en-US"/>
              </w:rPr>
            </w:pPr>
          </w:p>
        </w:tc>
        <w:tc>
          <w:tcPr>
            <w:tcW w:w="915" w:type="dxa"/>
            <w:vAlign w:val="center"/>
          </w:tcPr>
          <w:p w14:paraId="48520DCD" w14:textId="77777777" w:rsidR="00772B86" w:rsidRDefault="00772B86" w:rsidP="00D33D7D">
            <w:pPr>
              <w:jc w:val="center"/>
              <w:rPr>
                <w:sz w:val="20"/>
                <w:szCs w:val="20"/>
                <w:lang w:val="en-US"/>
              </w:rPr>
            </w:pPr>
            <w:r>
              <w:rPr>
                <w:sz w:val="20"/>
                <w:szCs w:val="20"/>
                <w:lang w:val="en-US"/>
              </w:rPr>
              <w:t>A</w:t>
            </w:r>
          </w:p>
        </w:tc>
        <w:tc>
          <w:tcPr>
            <w:tcW w:w="915" w:type="dxa"/>
            <w:vAlign w:val="center"/>
          </w:tcPr>
          <w:p w14:paraId="0EE8428C" w14:textId="77777777" w:rsidR="00772B86" w:rsidRDefault="00772B86" w:rsidP="00D33D7D">
            <w:pPr>
              <w:jc w:val="center"/>
              <w:rPr>
                <w:sz w:val="20"/>
                <w:szCs w:val="20"/>
                <w:lang w:val="en-US"/>
              </w:rPr>
            </w:pPr>
            <w:r>
              <w:rPr>
                <w:sz w:val="20"/>
                <w:szCs w:val="20"/>
                <w:lang w:val="en-US"/>
              </w:rPr>
              <w:t>B</w:t>
            </w:r>
          </w:p>
        </w:tc>
        <w:tc>
          <w:tcPr>
            <w:tcW w:w="704" w:type="dxa"/>
            <w:vAlign w:val="center"/>
          </w:tcPr>
          <w:p w14:paraId="7F4DBCDD" w14:textId="77777777" w:rsidR="00772B86" w:rsidRDefault="00772B86" w:rsidP="00D33D7D">
            <w:pPr>
              <w:jc w:val="center"/>
              <w:rPr>
                <w:sz w:val="20"/>
                <w:szCs w:val="20"/>
                <w:lang w:val="en-US"/>
              </w:rPr>
            </w:pPr>
            <w:r>
              <w:rPr>
                <w:sz w:val="20"/>
                <w:szCs w:val="20"/>
                <w:lang w:val="en-US"/>
              </w:rPr>
              <w:t>C</w:t>
            </w:r>
          </w:p>
        </w:tc>
      </w:tr>
      <w:tr w:rsidR="00772B86" w14:paraId="10A13BE0" w14:textId="77777777" w:rsidTr="008453E4">
        <w:tc>
          <w:tcPr>
            <w:tcW w:w="655" w:type="dxa"/>
            <w:vMerge w:val="restart"/>
            <w:vAlign w:val="center"/>
          </w:tcPr>
          <w:p w14:paraId="6C9C8C70" w14:textId="77777777" w:rsidR="00772B86" w:rsidRDefault="00772B86" w:rsidP="00D33D7D">
            <w:pPr>
              <w:jc w:val="center"/>
              <w:rPr>
                <w:sz w:val="20"/>
                <w:szCs w:val="20"/>
                <w:lang w:val="en-US"/>
              </w:rPr>
            </w:pPr>
            <w:r>
              <w:rPr>
                <w:sz w:val="20"/>
                <w:szCs w:val="20"/>
                <w:lang w:val="en-US"/>
              </w:rPr>
              <w:t>1</w:t>
            </w:r>
          </w:p>
        </w:tc>
        <w:tc>
          <w:tcPr>
            <w:tcW w:w="1525" w:type="dxa"/>
          </w:tcPr>
          <w:p w14:paraId="4CC48CD6" w14:textId="77777777" w:rsidR="00772B86" w:rsidRDefault="00772B86" w:rsidP="00D33D7D">
            <w:pPr>
              <w:jc w:val="both"/>
              <w:rPr>
                <w:sz w:val="20"/>
                <w:szCs w:val="20"/>
                <w:lang w:val="en-US"/>
              </w:rPr>
            </w:pPr>
            <w:r>
              <w:rPr>
                <w:sz w:val="20"/>
                <w:szCs w:val="20"/>
                <w:lang w:val="en-US"/>
              </w:rPr>
              <w:t>TSS (mg/L)</w:t>
            </w:r>
          </w:p>
        </w:tc>
        <w:tc>
          <w:tcPr>
            <w:tcW w:w="915" w:type="dxa"/>
            <w:vAlign w:val="center"/>
          </w:tcPr>
          <w:p w14:paraId="2B5BDA2A" w14:textId="77777777" w:rsidR="00772B86" w:rsidRPr="009E7B6D" w:rsidRDefault="00772B86" w:rsidP="00D33D7D">
            <w:pPr>
              <w:jc w:val="center"/>
              <w:rPr>
                <w:rFonts w:ascii="Times New Roman" w:eastAsia="Times New Roman" w:hAnsi="Times New Roman" w:cs="Times New Roman"/>
                <w:color w:val="000000"/>
                <w:sz w:val="20"/>
                <w:szCs w:val="20"/>
                <w:lang w:val="en-US"/>
              </w:rPr>
            </w:pPr>
            <w:r w:rsidRPr="009E7B6D">
              <w:rPr>
                <w:color w:val="000000"/>
                <w:sz w:val="20"/>
                <w:szCs w:val="20"/>
              </w:rPr>
              <w:t>324</w:t>
            </w:r>
          </w:p>
        </w:tc>
        <w:tc>
          <w:tcPr>
            <w:tcW w:w="915" w:type="dxa"/>
            <w:vAlign w:val="center"/>
          </w:tcPr>
          <w:p w14:paraId="7DCD50B9" w14:textId="77777777" w:rsidR="00772B86" w:rsidRPr="006B5B15" w:rsidRDefault="00772B86" w:rsidP="00D33D7D">
            <w:pPr>
              <w:jc w:val="center"/>
              <w:rPr>
                <w:sz w:val="18"/>
                <w:szCs w:val="18"/>
              </w:rPr>
            </w:pPr>
            <w:r>
              <w:rPr>
                <w:sz w:val="18"/>
                <w:szCs w:val="18"/>
              </w:rPr>
              <w:t>289</w:t>
            </w:r>
          </w:p>
        </w:tc>
        <w:tc>
          <w:tcPr>
            <w:tcW w:w="704" w:type="dxa"/>
            <w:vAlign w:val="center"/>
          </w:tcPr>
          <w:p w14:paraId="489ED6BF" w14:textId="77777777" w:rsidR="00772B86" w:rsidRPr="006B5B15" w:rsidRDefault="00772B86" w:rsidP="00D33D7D">
            <w:pPr>
              <w:jc w:val="center"/>
              <w:rPr>
                <w:sz w:val="18"/>
                <w:szCs w:val="18"/>
              </w:rPr>
            </w:pPr>
            <w:r>
              <w:rPr>
                <w:sz w:val="18"/>
                <w:szCs w:val="18"/>
              </w:rPr>
              <w:t>422</w:t>
            </w:r>
          </w:p>
        </w:tc>
      </w:tr>
      <w:tr w:rsidR="00772B86" w14:paraId="5D25EA44" w14:textId="77777777" w:rsidTr="008453E4">
        <w:tc>
          <w:tcPr>
            <w:tcW w:w="655" w:type="dxa"/>
            <w:vMerge/>
            <w:vAlign w:val="center"/>
          </w:tcPr>
          <w:p w14:paraId="1482B5BA" w14:textId="77777777" w:rsidR="00772B86" w:rsidRDefault="00772B86" w:rsidP="00D33D7D">
            <w:pPr>
              <w:jc w:val="center"/>
              <w:rPr>
                <w:sz w:val="20"/>
                <w:szCs w:val="20"/>
                <w:lang w:val="en-US"/>
              </w:rPr>
            </w:pPr>
          </w:p>
        </w:tc>
        <w:tc>
          <w:tcPr>
            <w:tcW w:w="1525" w:type="dxa"/>
          </w:tcPr>
          <w:p w14:paraId="758260A2" w14:textId="77777777" w:rsidR="00772B86" w:rsidRDefault="00772B86" w:rsidP="00D33D7D">
            <w:pPr>
              <w:jc w:val="both"/>
              <w:rPr>
                <w:sz w:val="20"/>
                <w:szCs w:val="20"/>
                <w:lang w:val="en-US"/>
              </w:rPr>
            </w:pPr>
            <w:r>
              <w:rPr>
                <w:sz w:val="20"/>
                <w:szCs w:val="20"/>
                <w:lang w:val="en-US"/>
              </w:rPr>
              <w:t>BOD (mg/L)</w:t>
            </w:r>
          </w:p>
        </w:tc>
        <w:tc>
          <w:tcPr>
            <w:tcW w:w="915" w:type="dxa"/>
            <w:vAlign w:val="center"/>
          </w:tcPr>
          <w:p w14:paraId="25C20C4E" w14:textId="77777777" w:rsidR="00772B86" w:rsidRPr="006B5B15" w:rsidRDefault="00772B86" w:rsidP="00D33D7D">
            <w:pPr>
              <w:jc w:val="center"/>
              <w:rPr>
                <w:sz w:val="18"/>
                <w:szCs w:val="18"/>
              </w:rPr>
            </w:pPr>
            <w:r>
              <w:rPr>
                <w:sz w:val="18"/>
                <w:szCs w:val="18"/>
              </w:rPr>
              <w:t>416,43</w:t>
            </w:r>
          </w:p>
        </w:tc>
        <w:tc>
          <w:tcPr>
            <w:tcW w:w="915" w:type="dxa"/>
            <w:vAlign w:val="center"/>
          </w:tcPr>
          <w:p w14:paraId="205EE414" w14:textId="77777777" w:rsidR="00772B86" w:rsidRPr="009E7B6D" w:rsidRDefault="00772B86" w:rsidP="00D33D7D">
            <w:pPr>
              <w:jc w:val="center"/>
              <w:rPr>
                <w:sz w:val="18"/>
                <w:szCs w:val="18"/>
                <w:lang w:val="en-US"/>
              </w:rPr>
            </w:pPr>
            <w:r>
              <w:rPr>
                <w:sz w:val="18"/>
                <w:szCs w:val="18"/>
                <w:lang w:val="en-US"/>
              </w:rPr>
              <w:t>436,57</w:t>
            </w:r>
          </w:p>
        </w:tc>
        <w:tc>
          <w:tcPr>
            <w:tcW w:w="704" w:type="dxa"/>
            <w:vAlign w:val="center"/>
          </w:tcPr>
          <w:p w14:paraId="7360A1A3" w14:textId="77777777" w:rsidR="00772B86" w:rsidRPr="006B5B15" w:rsidRDefault="00772B86" w:rsidP="00D33D7D">
            <w:pPr>
              <w:jc w:val="center"/>
              <w:rPr>
                <w:sz w:val="18"/>
                <w:szCs w:val="18"/>
              </w:rPr>
            </w:pPr>
            <w:r>
              <w:rPr>
                <w:sz w:val="18"/>
                <w:szCs w:val="18"/>
              </w:rPr>
              <w:t>418,</w:t>
            </w:r>
            <w:r w:rsidRPr="006B5B15">
              <w:rPr>
                <w:sz w:val="18"/>
                <w:szCs w:val="18"/>
              </w:rPr>
              <w:t>5</w:t>
            </w:r>
          </w:p>
        </w:tc>
      </w:tr>
      <w:tr w:rsidR="00772B86" w14:paraId="72D19F5D" w14:textId="77777777" w:rsidTr="008453E4">
        <w:tc>
          <w:tcPr>
            <w:tcW w:w="655" w:type="dxa"/>
            <w:vMerge/>
            <w:vAlign w:val="center"/>
          </w:tcPr>
          <w:p w14:paraId="12991CE1" w14:textId="77777777" w:rsidR="00772B86" w:rsidRDefault="00772B86" w:rsidP="00D33D7D">
            <w:pPr>
              <w:jc w:val="center"/>
              <w:rPr>
                <w:sz w:val="20"/>
                <w:szCs w:val="20"/>
                <w:lang w:val="en-US"/>
              </w:rPr>
            </w:pPr>
          </w:p>
        </w:tc>
        <w:tc>
          <w:tcPr>
            <w:tcW w:w="1525" w:type="dxa"/>
          </w:tcPr>
          <w:p w14:paraId="16F5A5FA" w14:textId="77777777" w:rsidR="00772B86" w:rsidRDefault="00772B86" w:rsidP="00D33D7D">
            <w:pPr>
              <w:jc w:val="both"/>
              <w:rPr>
                <w:sz w:val="20"/>
                <w:szCs w:val="20"/>
                <w:lang w:val="en-US"/>
              </w:rPr>
            </w:pPr>
            <w:r>
              <w:rPr>
                <w:sz w:val="20"/>
                <w:szCs w:val="20"/>
                <w:lang w:val="en-US"/>
              </w:rPr>
              <w:t>COD (mg/L)</w:t>
            </w:r>
          </w:p>
        </w:tc>
        <w:tc>
          <w:tcPr>
            <w:tcW w:w="915" w:type="dxa"/>
            <w:vAlign w:val="center"/>
          </w:tcPr>
          <w:p w14:paraId="68ED312C" w14:textId="77777777" w:rsidR="00772B86" w:rsidRPr="006B5B15" w:rsidRDefault="00772B86" w:rsidP="00D33D7D">
            <w:pPr>
              <w:jc w:val="center"/>
              <w:rPr>
                <w:sz w:val="18"/>
                <w:szCs w:val="18"/>
              </w:rPr>
            </w:pPr>
            <w:r>
              <w:rPr>
                <w:sz w:val="18"/>
                <w:szCs w:val="18"/>
              </w:rPr>
              <w:t>1</w:t>
            </w:r>
            <w:r>
              <w:rPr>
                <w:sz w:val="18"/>
                <w:szCs w:val="18"/>
                <w:lang w:val="en-US"/>
              </w:rPr>
              <w:t>.</w:t>
            </w:r>
            <w:r>
              <w:rPr>
                <w:sz w:val="18"/>
                <w:szCs w:val="18"/>
              </w:rPr>
              <w:t>343,33</w:t>
            </w:r>
          </w:p>
        </w:tc>
        <w:tc>
          <w:tcPr>
            <w:tcW w:w="915" w:type="dxa"/>
            <w:vAlign w:val="center"/>
          </w:tcPr>
          <w:p w14:paraId="6E845E84" w14:textId="77777777" w:rsidR="00772B86" w:rsidRPr="006B5B15" w:rsidRDefault="00772B86" w:rsidP="00D33D7D">
            <w:pPr>
              <w:jc w:val="center"/>
              <w:rPr>
                <w:sz w:val="18"/>
                <w:szCs w:val="18"/>
              </w:rPr>
            </w:pPr>
            <w:r>
              <w:rPr>
                <w:sz w:val="18"/>
                <w:szCs w:val="18"/>
              </w:rPr>
              <w:t>1.406,67</w:t>
            </w:r>
          </w:p>
        </w:tc>
        <w:tc>
          <w:tcPr>
            <w:tcW w:w="704" w:type="dxa"/>
            <w:vAlign w:val="center"/>
          </w:tcPr>
          <w:p w14:paraId="672ADF9E" w14:textId="77777777" w:rsidR="00772B86" w:rsidRPr="009E7B6D" w:rsidRDefault="00772B86" w:rsidP="00D33D7D">
            <w:pPr>
              <w:jc w:val="center"/>
              <w:rPr>
                <w:sz w:val="18"/>
                <w:szCs w:val="18"/>
                <w:lang w:val="en-US"/>
              </w:rPr>
            </w:pPr>
            <w:r>
              <w:rPr>
                <w:sz w:val="18"/>
                <w:szCs w:val="18"/>
              </w:rPr>
              <w:t>13</w:t>
            </w:r>
            <w:r>
              <w:rPr>
                <w:sz w:val="18"/>
                <w:szCs w:val="18"/>
                <w:lang w:val="en-US"/>
              </w:rPr>
              <w:t>50</w:t>
            </w:r>
          </w:p>
        </w:tc>
      </w:tr>
      <w:tr w:rsidR="00772B86" w14:paraId="16BA7DDB" w14:textId="77777777" w:rsidTr="008453E4">
        <w:tc>
          <w:tcPr>
            <w:tcW w:w="655" w:type="dxa"/>
            <w:vMerge/>
            <w:vAlign w:val="center"/>
          </w:tcPr>
          <w:p w14:paraId="6EDBB35C" w14:textId="77777777" w:rsidR="00772B86" w:rsidRDefault="00772B86" w:rsidP="00D33D7D">
            <w:pPr>
              <w:jc w:val="center"/>
              <w:rPr>
                <w:sz w:val="20"/>
                <w:szCs w:val="20"/>
                <w:lang w:val="en-US"/>
              </w:rPr>
            </w:pPr>
          </w:p>
        </w:tc>
        <w:tc>
          <w:tcPr>
            <w:tcW w:w="1525" w:type="dxa"/>
          </w:tcPr>
          <w:p w14:paraId="7D7CC4EF" w14:textId="77777777" w:rsidR="00772B86" w:rsidRDefault="00772B86" w:rsidP="00D33D7D">
            <w:pPr>
              <w:rPr>
                <w:sz w:val="20"/>
                <w:szCs w:val="20"/>
                <w:lang w:val="en-US"/>
              </w:rPr>
            </w:pPr>
            <w:r>
              <w:rPr>
                <w:sz w:val="20"/>
                <w:szCs w:val="20"/>
                <w:lang w:val="en-US"/>
              </w:rPr>
              <w:t>Amonia (mg/L)</w:t>
            </w:r>
          </w:p>
        </w:tc>
        <w:tc>
          <w:tcPr>
            <w:tcW w:w="915" w:type="dxa"/>
            <w:vAlign w:val="center"/>
          </w:tcPr>
          <w:p w14:paraId="369BF00C" w14:textId="77777777" w:rsidR="00772B86" w:rsidRPr="006B5B15" w:rsidRDefault="00772B86" w:rsidP="00D33D7D">
            <w:pPr>
              <w:jc w:val="center"/>
              <w:rPr>
                <w:sz w:val="18"/>
                <w:szCs w:val="18"/>
              </w:rPr>
            </w:pPr>
            <w:r>
              <w:rPr>
                <w:sz w:val="18"/>
                <w:szCs w:val="18"/>
              </w:rPr>
              <w:t>0,05</w:t>
            </w:r>
          </w:p>
        </w:tc>
        <w:tc>
          <w:tcPr>
            <w:tcW w:w="915" w:type="dxa"/>
            <w:vAlign w:val="center"/>
          </w:tcPr>
          <w:p w14:paraId="1754D381" w14:textId="77777777" w:rsidR="00772B86" w:rsidRPr="009E7B6D" w:rsidRDefault="00772B86" w:rsidP="00D33D7D">
            <w:pPr>
              <w:jc w:val="center"/>
              <w:rPr>
                <w:sz w:val="18"/>
                <w:szCs w:val="18"/>
                <w:lang w:val="en-US"/>
              </w:rPr>
            </w:pPr>
            <w:r>
              <w:rPr>
                <w:sz w:val="18"/>
                <w:szCs w:val="18"/>
                <w:lang w:val="en-US"/>
              </w:rPr>
              <w:t>0,03</w:t>
            </w:r>
          </w:p>
        </w:tc>
        <w:tc>
          <w:tcPr>
            <w:tcW w:w="704" w:type="dxa"/>
            <w:vAlign w:val="center"/>
          </w:tcPr>
          <w:p w14:paraId="2C42B8DB" w14:textId="77777777" w:rsidR="00772B86" w:rsidRPr="006B5B15" w:rsidRDefault="00772B86" w:rsidP="00D33D7D">
            <w:pPr>
              <w:jc w:val="center"/>
              <w:rPr>
                <w:sz w:val="18"/>
                <w:szCs w:val="18"/>
              </w:rPr>
            </w:pPr>
            <w:r>
              <w:rPr>
                <w:sz w:val="18"/>
                <w:szCs w:val="18"/>
              </w:rPr>
              <w:t>0,042</w:t>
            </w:r>
          </w:p>
        </w:tc>
      </w:tr>
      <w:tr w:rsidR="00772B86" w14:paraId="66CB31C6" w14:textId="77777777" w:rsidTr="008453E4">
        <w:tc>
          <w:tcPr>
            <w:tcW w:w="655" w:type="dxa"/>
            <w:vMerge/>
            <w:vAlign w:val="center"/>
          </w:tcPr>
          <w:p w14:paraId="0B7AFB4D" w14:textId="77777777" w:rsidR="00772B86" w:rsidRDefault="00772B86" w:rsidP="00D33D7D">
            <w:pPr>
              <w:jc w:val="center"/>
              <w:rPr>
                <w:sz w:val="20"/>
                <w:szCs w:val="20"/>
                <w:lang w:val="en-US"/>
              </w:rPr>
            </w:pPr>
          </w:p>
        </w:tc>
        <w:tc>
          <w:tcPr>
            <w:tcW w:w="1525" w:type="dxa"/>
          </w:tcPr>
          <w:p w14:paraId="08076A0E" w14:textId="77777777" w:rsidR="00772B86" w:rsidRDefault="00772B86" w:rsidP="00D33D7D">
            <w:pPr>
              <w:rPr>
                <w:sz w:val="20"/>
                <w:szCs w:val="20"/>
                <w:lang w:val="en-US"/>
              </w:rPr>
            </w:pPr>
            <w:r>
              <w:rPr>
                <w:sz w:val="20"/>
                <w:szCs w:val="20"/>
                <w:lang w:val="en-US"/>
              </w:rPr>
              <w:t>Minyak dan Lemak (mg/L)</w:t>
            </w:r>
          </w:p>
        </w:tc>
        <w:tc>
          <w:tcPr>
            <w:tcW w:w="915" w:type="dxa"/>
            <w:vAlign w:val="center"/>
          </w:tcPr>
          <w:p w14:paraId="1F7C4D97" w14:textId="77777777" w:rsidR="00772B86" w:rsidRPr="006B5B15" w:rsidRDefault="00772B86" w:rsidP="00D33D7D">
            <w:pPr>
              <w:jc w:val="center"/>
              <w:rPr>
                <w:sz w:val="18"/>
                <w:szCs w:val="18"/>
              </w:rPr>
            </w:pPr>
            <w:r>
              <w:rPr>
                <w:sz w:val="18"/>
                <w:szCs w:val="18"/>
              </w:rPr>
              <w:t>36</w:t>
            </w:r>
          </w:p>
        </w:tc>
        <w:tc>
          <w:tcPr>
            <w:tcW w:w="915" w:type="dxa"/>
            <w:vAlign w:val="center"/>
          </w:tcPr>
          <w:p w14:paraId="7EB95DA9" w14:textId="77777777" w:rsidR="00772B86" w:rsidRPr="006B5B15" w:rsidRDefault="00772B86" w:rsidP="00D33D7D">
            <w:pPr>
              <w:jc w:val="center"/>
              <w:rPr>
                <w:sz w:val="18"/>
                <w:szCs w:val="18"/>
              </w:rPr>
            </w:pPr>
            <w:r>
              <w:rPr>
                <w:sz w:val="18"/>
                <w:szCs w:val="18"/>
              </w:rPr>
              <w:t>42</w:t>
            </w:r>
          </w:p>
        </w:tc>
        <w:tc>
          <w:tcPr>
            <w:tcW w:w="704" w:type="dxa"/>
            <w:vAlign w:val="center"/>
          </w:tcPr>
          <w:p w14:paraId="284B2B5C" w14:textId="77777777" w:rsidR="00772B86" w:rsidRPr="006B5B15" w:rsidRDefault="00772B86" w:rsidP="00D33D7D">
            <w:pPr>
              <w:jc w:val="center"/>
              <w:rPr>
                <w:sz w:val="18"/>
                <w:szCs w:val="18"/>
              </w:rPr>
            </w:pPr>
            <w:r>
              <w:rPr>
                <w:sz w:val="18"/>
                <w:szCs w:val="18"/>
              </w:rPr>
              <w:t>40</w:t>
            </w:r>
          </w:p>
        </w:tc>
      </w:tr>
      <w:tr w:rsidR="00772B86" w14:paraId="667CCECE" w14:textId="77777777" w:rsidTr="008453E4">
        <w:tc>
          <w:tcPr>
            <w:tcW w:w="655" w:type="dxa"/>
            <w:vMerge w:val="restart"/>
            <w:vAlign w:val="center"/>
          </w:tcPr>
          <w:p w14:paraId="1C417277" w14:textId="77777777" w:rsidR="00772B86" w:rsidRDefault="00772B86" w:rsidP="00D33D7D">
            <w:pPr>
              <w:jc w:val="center"/>
              <w:rPr>
                <w:sz w:val="20"/>
                <w:szCs w:val="20"/>
                <w:lang w:val="en-US"/>
              </w:rPr>
            </w:pPr>
            <w:r>
              <w:rPr>
                <w:sz w:val="20"/>
                <w:szCs w:val="20"/>
                <w:lang w:val="en-US"/>
              </w:rPr>
              <w:t>2</w:t>
            </w:r>
          </w:p>
        </w:tc>
        <w:tc>
          <w:tcPr>
            <w:tcW w:w="1525" w:type="dxa"/>
          </w:tcPr>
          <w:p w14:paraId="15D10A89" w14:textId="77777777" w:rsidR="00772B86" w:rsidRDefault="00772B86" w:rsidP="00D33D7D">
            <w:pPr>
              <w:jc w:val="both"/>
              <w:rPr>
                <w:sz w:val="20"/>
                <w:szCs w:val="20"/>
                <w:lang w:val="en-US"/>
              </w:rPr>
            </w:pPr>
            <w:r>
              <w:rPr>
                <w:sz w:val="20"/>
                <w:szCs w:val="20"/>
                <w:lang w:val="en-US"/>
              </w:rPr>
              <w:t>TSS (mg/L)</w:t>
            </w:r>
          </w:p>
        </w:tc>
        <w:tc>
          <w:tcPr>
            <w:tcW w:w="915" w:type="dxa"/>
            <w:vAlign w:val="center"/>
          </w:tcPr>
          <w:p w14:paraId="0F8DF24E" w14:textId="77777777" w:rsidR="00772B86" w:rsidRPr="006B5B15" w:rsidRDefault="00772B86" w:rsidP="00D33D7D">
            <w:pPr>
              <w:jc w:val="center"/>
              <w:rPr>
                <w:sz w:val="18"/>
                <w:szCs w:val="18"/>
              </w:rPr>
            </w:pPr>
            <w:r>
              <w:rPr>
                <w:sz w:val="18"/>
                <w:szCs w:val="18"/>
              </w:rPr>
              <w:t>160</w:t>
            </w:r>
          </w:p>
        </w:tc>
        <w:tc>
          <w:tcPr>
            <w:tcW w:w="915" w:type="dxa"/>
            <w:vAlign w:val="center"/>
          </w:tcPr>
          <w:p w14:paraId="53954738" w14:textId="77777777" w:rsidR="00772B86" w:rsidRPr="006B5B15" w:rsidRDefault="00772B86" w:rsidP="00D33D7D">
            <w:pPr>
              <w:jc w:val="center"/>
              <w:rPr>
                <w:sz w:val="18"/>
                <w:szCs w:val="18"/>
              </w:rPr>
            </w:pPr>
            <w:r>
              <w:rPr>
                <w:sz w:val="18"/>
                <w:szCs w:val="18"/>
              </w:rPr>
              <w:t>156</w:t>
            </w:r>
          </w:p>
        </w:tc>
        <w:tc>
          <w:tcPr>
            <w:tcW w:w="704" w:type="dxa"/>
            <w:vAlign w:val="center"/>
          </w:tcPr>
          <w:p w14:paraId="20DA019E" w14:textId="77777777" w:rsidR="00772B86" w:rsidRPr="000118AB" w:rsidRDefault="00772B86" w:rsidP="00D33D7D">
            <w:pPr>
              <w:jc w:val="center"/>
              <w:rPr>
                <w:sz w:val="18"/>
                <w:szCs w:val="18"/>
                <w:lang w:val="en-US"/>
              </w:rPr>
            </w:pPr>
            <w:r>
              <w:rPr>
                <w:sz w:val="18"/>
                <w:szCs w:val="18"/>
              </w:rPr>
              <w:t>3</w:t>
            </w:r>
            <w:r>
              <w:rPr>
                <w:sz w:val="18"/>
                <w:szCs w:val="18"/>
                <w:lang w:val="en-US"/>
              </w:rPr>
              <w:t>01</w:t>
            </w:r>
          </w:p>
        </w:tc>
      </w:tr>
      <w:tr w:rsidR="00772B86" w14:paraId="55F93607" w14:textId="77777777" w:rsidTr="008453E4">
        <w:tc>
          <w:tcPr>
            <w:tcW w:w="655" w:type="dxa"/>
            <w:vMerge/>
          </w:tcPr>
          <w:p w14:paraId="5D16AED1" w14:textId="77777777" w:rsidR="00772B86" w:rsidRDefault="00772B86" w:rsidP="00D33D7D">
            <w:pPr>
              <w:jc w:val="both"/>
              <w:rPr>
                <w:sz w:val="20"/>
                <w:szCs w:val="20"/>
                <w:lang w:val="en-US"/>
              </w:rPr>
            </w:pPr>
          </w:p>
        </w:tc>
        <w:tc>
          <w:tcPr>
            <w:tcW w:w="1525" w:type="dxa"/>
          </w:tcPr>
          <w:p w14:paraId="4A3D7D0A" w14:textId="77777777" w:rsidR="00772B86" w:rsidRDefault="00772B86" w:rsidP="00D33D7D">
            <w:pPr>
              <w:jc w:val="both"/>
              <w:rPr>
                <w:sz w:val="20"/>
                <w:szCs w:val="20"/>
                <w:lang w:val="en-US"/>
              </w:rPr>
            </w:pPr>
            <w:r>
              <w:rPr>
                <w:sz w:val="20"/>
                <w:szCs w:val="20"/>
                <w:lang w:val="en-US"/>
              </w:rPr>
              <w:t>BOD (mg/L)</w:t>
            </w:r>
          </w:p>
        </w:tc>
        <w:tc>
          <w:tcPr>
            <w:tcW w:w="915" w:type="dxa"/>
            <w:vAlign w:val="center"/>
          </w:tcPr>
          <w:p w14:paraId="33F2BECD" w14:textId="77777777" w:rsidR="00772B86" w:rsidRPr="006B5B15" w:rsidRDefault="00772B86" w:rsidP="00D33D7D">
            <w:pPr>
              <w:jc w:val="center"/>
              <w:rPr>
                <w:sz w:val="18"/>
                <w:szCs w:val="18"/>
              </w:rPr>
            </w:pPr>
            <w:r>
              <w:rPr>
                <w:sz w:val="18"/>
                <w:szCs w:val="18"/>
              </w:rPr>
              <w:t>382,33</w:t>
            </w:r>
          </w:p>
        </w:tc>
        <w:tc>
          <w:tcPr>
            <w:tcW w:w="915" w:type="dxa"/>
            <w:vAlign w:val="center"/>
          </w:tcPr>
          <w:p w14:paraId="028E93F8" w14:textId="77777777" w:rsidR="00772B86" w:rsidRPr="000118AB" w:rsidRDefault="00772B86" w:rsidP="00D33D7D">
            <w:pPr>
              <w:jc w:val="center"/>
              <w:rPr>
                <w:sz w:val="18"/>
                <w:szCs w:val="18"/>
                <w:lang w:val="en-US"/>
              </w:rPr>
            </w:pPr>
            <w:r>
              <w:rPr>
                <w:sz w:val="18"/>
                <w:szCs w:val="18"/>
                <w:lang w:val="en-US"/>
              </w:rPr>
              <w:t>382,33</w:t>
            </w:r>
          </w:p>
        </w:tc>
        <w:tc>
          <w:tcPr>
            <w:tcW w:w="704" w:type="dxa"/>
            <w:vAlign w:val="center"/>
          </w:tcPr>
          <w:p w14:paraId="32CF4E3D" w14:textId="77777777" w:rsidR="00772B86" w:rsidRPr="006B5B15" w:rsidRDefault="00772B86" w:rsidP="00D33D7D">
            <w:pPr>
              <w:jc w:val="center"/>
              <w:rPr>
                <w:sz w:val="18"/>
                <w:szCs w:val="18"/>
              </w:rPr>
            </w:pPr>
            <w:r>
              <w:rPr>
                <w:sz w:val="18"/>
                <w:szCs w:val="18"/>
              </w:rPr>
              <w:t>368,9</w:t>
            </w:r>
          </w:p>
        </w:tc>
      </w:tr>
      <w:tr w:rsidR="00772B86" w14:paraId="4BA23ABD" w14:textId="77777777" w:rsidTr="008453E4">
        <w:tc>
          <w:tcPr>
            <w:tcW w:w="655" w:type="dxa"/>
            <w:vMerge/>
          </w:tcPr>
          <w:p w14:paraId="549AA067" w14:textId="77777777" w:rsidR="00772B86" w:rsidRDefault="00772B86" w:rsidP="00D33D7D">
            <w:pPr>
              <w:jc w:val="both"/>
              <w:rPr>
                <w:sz w:val="20"/>
                <w:szCs w:val="20"/>
                <w:lang w:val="en-US"/>
              </w:rPr>
            </w:pPr>
          </w:p>
        </w:tc>
        <w:tc>
          <w:tcPr>
            <w:tcW w:w="1525" w:type="dxa"/>
          </w:tcPr>
          <w:p w14:paraId="4B0884E8" w14:textId="77777777" w:rsidR="00772B86" w:rsidRDefault="00772B86" w:rsidP="00D33D7D">
            <w:pPr>
              <w:jc w:val="both"/>
              <w:rPr>
                <w:sz w:val="20"/>
                <w:szCs w:val="20"/>
                <w:lang w:val="en-US"/>
              </w:rPr>
            </w:pPr>
            <w:r>
              <w:rPr>
                <w:sz w:val="20"/>
                <w:szCs w:val="20"/>
                <w:lang w:val="en-US"/>
              </w:rPr>
              <w:t>COD (mg/L)</w:t>
            </w:r>
          </w:p>
        </w:tc>
        <w:tc>
          <w:tcPr>
            <w:tcW w:w="915" w:type="dxa"/>
            <w:vAlign w:val="center"/>
          </w:tcPr>
          <w:p w14:paraId="20DF8AEE" w14:textId="77777777" w:rsidR="00772B86" w:rsidRPr="000118AB" w:rsidRDefault="00772B86" w:rsidP="00D33D7D">
            <w:pPr>
              <w:jc w:val="center"/>
              <w:rPr>
                <w:sz w:val="18"/>
                <w:szCs w:val="18"/>
                <w:lang w:val="en-US"/>
              </w:rPr>
            </w:pPr>
            <w:r>
              <w:rPr>
                <w:sz w:val="18"/>
                <w:szCs w:val="18"/>
                <w:lang w:val="en-US"/>
              </w:rPr>
              <w:t>1216,67</w:t>
            </w:r>
          </w:p>
        </w:tc>
        <w:tc>
          <w:tcPr>
            <w:tcW w:w="915" w:type="dxa"/>
            <w:vAlign w:val="center"/>
          </w:tcPr>
          <w:p w14:paraId="3AE18D59" w14:textId="77777777" w:rsidR="00772B86" w:rsidRPr="000118AB" w:rsidRDefault="00772B86" w:rsidP="00D33D7D">
            <w:pPr>
              <w:jc w:val="center"/>
              <w:rPr>
                <w:sz w:val="18"/>
                <w:szCs w:val="18"/>
                <w:lang w:val="en-US"/>
              </w:rPr>
            </w:pPr>
            <w:r>
              <w:rPr>
                <w:sz w:val="18"/>
                <w:szCs w:val="18"/>
              </w:rPr>
              <w:t>12</w:t>
            </w:r>
            <w:r>
              <w:rPr>
                <w:sz w:val="18"/>
                <w:szCs w:val="18"/>
                <w:lang w:val="en-US"/>
              </w:rPr>
              <w:t>33,33</w:t>
            </w:r>
          </w:p>
        </w:tc>
        <w:tc>
          <w:tcPr>
            <w:tcW w:w="704" w:type="dxa"/>
            <w:vAlign w:val="center"/>
          </w:tcPr>
          <w:p w14:paraId="79F874B5" w14:textId="77777777" w:rsidR="00772B86" w:rsidRPr="006B5B15" w:rsidRDefault="00772B86" w:rsidP="00D33D7D">
            <w:pPr>
              <w:jc w:val="center"/>
              <w:rPr>
                <w:sz w:val="18"/>
                <w:szCs w:val="18"/>
              </w:rPr>
            </w:pPr>
            <w:r>
              <w:rPr>
                <w:sz w:val="18"/>
                <w:szCs w:val="18"/>
              </w:rPr>
              <w:t>1190</w:t>
            </w:r>
          </w:p>
        </w:tc>
      </w:tr>
      <w:tr w:rsidR="00772B86" w14:paraId="4D33683F" w14:textId="77777777" w:rsidTr="008453E4">
        <w:tc>
          <w:tcPr>
            <w:tcW w:w="655" w:type="dxa"/>
            <w:vMerge/>
          </w:tcPr>
          <w:p w14:paraId="29B44F96" w14:textId="77777777" w:rsidR="00772B86" w:rsidRDefault="00772B86" w:rsidP="00D33D7D">
            <w:pPr>
              <w:jc w:val="both"/>
              <w:rPr>
                <w:sz w:val="20"/>
                <w:szCs w:val="20"/>
                <w:lang w:val="en-US"/>
              </w:rPr>
            </w:pPr>
          </w:p>
        </w:tc>
        <w:tc>
          <w:tcPr>
            <w:tcW w:w="1525" w:type="dxa"/>
          </w:tcPr>
          <w:p w14:paraId="055DE8B0" w14:textId="77777777" w:rsidR="00772B86" w:rsidRDefault="00772B86" w:rsidP="00D33D7D">
            <w:pPr>
              <w:jc w:val="both"/>
              <w:rPr>
                <w:sz w:val="20"/>
                <w:szCs w:val="20"/>
                <w:lang w:val="en-US"/>
              </w:rPr>
            </w:pPr>
            <w:r>
              <w:rPr>
                <w:sz w:val="20"/>
                <w:szCs w:val="20"/>
                <w:lang w:val="en-US"/>
              </w:rPr>
              <w:t>Amonia (mg/L)</w:t>
            </w:r>
          </w:p>
        </w:tc>
        <w:tc>
          <w:tcPr>
            <w:tcW w:w="915" w:type="dxa"/>
            <w:vAlign w:val="center"/>
          </w:tcPr>
          <w:p w14:paraId="7EB46E71" w14:textId="77777777" w:rsidR="00772B86" w:rsidRPr="000118AB" w:rsidRDefault="00772B86" w:rsidP="00D33D7D">
            <w:pPr>
              <w:jc w:val="center"/>
              <w:rPr>
                <w:sz w:val="18"/>
                <w:szCs w:val="18"/>
                <w:lang w:val="en-US"/>
              </w:rPr>
            </w:pPr>
            <w:r>
              <w:rPr>
                <w:sz w:val="18"/>
                <w:szCs w:val="18"/>
                <w:lang w:val="en-US"/>
              </w:rPr>
              <w:t>0,156</w:t>
            </w:r>
          </w:p>
        </w:tc>
        <w:tc>
          <w:tcPr>
            <w:tcW w:w="915" w:type="dxa"/>
            <w:vAlign w:val="center"/>
          </w:tcPr>
          <w:p w14:paraId="6AFDE254" w14:textId="77777777" w:rsidR="00772B86" w:rsidRPr="006B5B15" w:rsidRDefault="00772B86" w:rsidP="00D33D7D">
            <w:pPr>
              <w:jc w:val="center"/>
              <w:rPr>
                <w:sz w:val="18"/>
                <w:szCs w:val="18"/>
              </w:rPr>
            </w:pPr>
            <w:r>
              <w:rPr>
                <w:sz w:val="18"/>
                <w:szCs w:val="18"/>
              </w:rPr>
              <w:t>0,08</w:t>
            </w:r>
          </w:p>
        </w:tc>
        <w:tc>
          <w:tcPr>
            <w:tcW w:w="704" w:type="dxa"/>
            <w:vAlign w:val="center"/>
          </w:tcPr>
          <w:p w14:paraId="28E0A555" w14:textId="77777777" w:rsidR="00772B86" w:rsidRPr="006B5B15" w:rsidRDefault="00772B86" w:rsidP="00D33D7D">
            <w:pPr>
              <w:jc w:val="center"/>
              <w:rPr>
                <w:sz w:val="18"/>
                <w:szCs w:val="18"/>
              </w:rPr>
            </w:pPr>
            <w:r>
              <w:rPr>
                <w:sz w:val="18"/>
                <w:szCs w:val="18"/>
              </w:rPr>
              <w:t>0,044</w:t>
            </w:r>
          </w:p>
        </w:tc>
      </w:tr>
      <w:tr w:rsidR="00772B86" w14:paraId="48AD8858" w14:textId="77777777" w:rsidTr="008453E4">
        <w:tc>
          <w:tcPr>
            <w:tcW w:w="655" w:type="dxa"/>
            <w:vMerge/>
          </w:tcPr>
          <w:p w14:paraId="483325D5" w14:textId="77777777" w:rsidR="00772B86" w:rsidRDefault="00772B86" w:rsidP="00D33D7D">
            <w:pPr>
              <w:jc w:val="both"/>
              <w:rPr>
                <w:sz w:val="20"/>
                <w:szCs w:val="20"/>
                <w:lang w:val="en-US"/>
              </w:rPr>
            </w:pPr>
          </w:p>
        </w:tc>
        <w:tc>
          <w:tcPr>
            <w:tcW w:w="1525" w:type="dxa"/>
          </w:tcPr>
          <w:p w14:paraId="6D3F3A43" w14:textId="77777777" w:rsidR="00772B86" w:rsidRDefault="00772B86" w:rsidP="00D33D7D">
            <w:pPr>
              <w:rPr>
                <w:sz w:val="20"/>
                <w:szCs w:val="20"/>
                <w:lang w:val="en-US"/>
              </w:rPr>
            </w:pPr>
            <w:r>
              <w:rPr>
                <w:sz w:val="20"/>
                <w:szCs w:val="20"/>
                <w:lang w:val="en-US"/>
              </w:rPr>
              <w:t>Minyak dan Lemak (mg/L)</w:t>
            </w:r>
          </w:p>
        </w:tc>
        <w:tc>
          <w:tcPr>
            <w:tcW w:w="915" w:type="dxa"/>
            <w:vAlign w:val="center"/>
          </w:tcPr>
          <w:p w14:paraId="2DAB0D09" w14:textId="77777777" w:rsidR="00772B86" w:rsidRDefault="00772B86" w:rsidP="00D33D7D">
            <w:pPr>
              <w:pStyle w:val="BodyText"/>
              <w:ind w:right="115"/>
              <w:jc w:val="center"/>
              <w:rPr>
                <w:lang w:val="en-US"/>
              </w:rPr>
            </w:pPr>
            <w:r>
              <w:rPr>
                <w:lang w:val="en-US"/>
              </w:rPr>
              <w:t>106</w:t>
            </w:r>
          </w:p>
        </w:tc>
        <w:tc>
          <w:tcPr>
            <w:tcW w:w="915" w:type="dxa"/>
            <w:vAlign w:val="center"/>
          </w:tcPr>
          <w:p w14:paraId="161FCCF1" w14:textId="77777777" w:rsidR="00772B86" w:rsidRDefault="00772B86" w:rsidP="00D33D7D">
            <w:pPr>
              <w:pStyle w:val="BodyText"/>
              <w:ind w:right="115"/>
              <w:jc w:val="center"/>
              <w:rPr>
                <w:lang w:val="en-US"/>
              </w:rPr>
            </w:pPr>
            <w:r>
              <w:rPr>
                <w:lang w:val="en-US"/>
              </w:rPr>
              <w:t>134</w:t>
            </w:r>
          </w:p>
        </w:tc>
        <w:tc>
          <w:tcPr>
            <w:tcW w:w="704" w:type="dxa"/>
            <w:vAlign w:val="center"/>
          </w:tcPr>
          <w:p w14:paraId="5D05F5A4" w14:textId="77777777" w:rsidR="00772B86" w:rsidRDefault="00772B86" w:rsidP="00D33D7D">
            <w:pPr>
              <w:pStyle w:val="BodyText"/>
              <w:ind w:right="115"/>
              <w:jc w:val="center"/>
              <w:rPr>
                <w:lang w:val="en-US"/>
              </w:rPr>
            </w:pPr>
            <w:r>
              <w:rPr>
                <w:lang w:val="en-US"/>
              </w:rPr>
              <w:t>138</w:t>
            </w:r>
          </w:p>
        </w:tc>
      </w:tr>
    </w:tbl>
    <w:p w14:paraId="445463CC" w14:textId="77777777" w:rsidR="004E03CB" w:rsidRPr="004E03CB" w:rsidRDefault="004E03CB" w:rsidP="00D33D7D">
      <w:pPr>
        <w:jc w:val="both"/>
        <w:rPr>
          <w:sz w:val="20"/>
          <w:szCs w:val="20"/>
          <w:lang w:val="en-US"/>
        </w:rPr>
      </w:pPr>
    </w:p>
    <w:p w14:paraId="74855C0D" w14:textId="77777777" w:rsidR="00BB4787" w:rsidRDefault="0050148D" w:rsidP="00D33D7D">
      <w:pPr>
        <w:ind w:left="221" w:firstLine="549"/>
        <w:jc w:val="both"/>
        <w:rPr>
          <w:color w:val="0D0D0D" w:themeColor="text1" w:themeTint="F2"/>
          <w:sz w:val="20"/>
          <w:szCs w:val="20"/>
        </w:rPr>
      </w:pPr>
      <w:r w:rsidRPr="0050148D">
        <w:rPr>
          <w:color w:val="0D0D0D" w:themeColor="text1" w:themeTint="F2"/>
          <w:sz w:val="20"/>
          <w:szCs w:val="20"/>
        </w:rPr>
        <w:t>TSS (</w:t>
      </w:r>
      <w:r w:rsidRPr="0050148D">
        <w:rPr>
          <w:i/>
          <w:color w:val="0D0D0D" w:themeColor="text1" w:themeTint="F2"/>
          <w:sz w:val="20"/>
          <w:szCs w:val="20"/>
        </w:rPr>
        <w:t>Total Suspended Solid</w:t>
      </w:r>
      <w:r w:rsidRPr="0050148D">
        <w:rPr>
          <w:color w:val="0D0D0D" w:themeColor="text1" w:themeTint="F2"/>
          <w:sz w:val="20"/>
          <w:szCs w:val="20"/>
        </w:rPr>
        <w:t>) merupakan salah satu variabel untuk mengetahui kualitas</w:t>
      </w:r>
      <w:r w:rsidR="001E1F28">
        <w:rPr>
          <w:color w:val="0D0D0D" w:themeColor="text1" w:themeTint="F2"/>
          <w:sz w:val="20"/>
          <w:szCs w:val="20"/>
        </w:rPr>
        <w:t xml:space="preserve"> air. Pengukuran TSS yang sudah</w:t>
      </w:r>
      <w:r w:rsidR="001E1F28">
        <w:rPr>
          <w:color w:val="0D0D0D" w:themeColor="text1" w:themeTint="F2"/>
          <w:sz w:val="20"/>
          <w:szCs w:val="20"/>
          <w:lang w:val="en-US"/>
        </w:rPr>
        <w:t xml:space="preserve"> </w:t>
      </w:r>
      <w:r w:rsidRPr="0050148D">
        <w:rPr>
          <w:color w:val="0D0D0D" w:themeColor="text1" w:themeTint="F2"/>
          <w:sz w:val="20"/>
          <w:szCs w:val="20"/>
        </w:rPr>
        <w:t>dilakukan dapat diketahui bahwa sampling pertama memiliki konsentrasi TSS berkisar 289 - 422 mg/L, sedangkan sampling kedua berkisar 160 - 301 mg/L. Hal tersebut menunjukkan bahwa konsentrasi TSS di perairan Pantai Wates berada di atas baku mutu air laut untuk wisata bahari yang ditetapkan yaitu sebesar 20 mg/L dan untuk biota laut khusu</w:t>
      </w:r>
      <w:r w:rsidR="00C50C3D">
        <w:rPr>
          <w:color w:val="0D0D0D" w:themeColor="text1" w:themeTint="F2"/>
          <w:sz w:val="20"/>
          <w:szCs w:val="20"/>
          <w:lang w:val="en-US"/>
        </w:rPr>
        <w:t>s</w:t>
      </w:r>
      <w:r w:rsidRPr="0050148D">
        <w:rPr>
          <w:color w:val="0D0D0D" w:themeColor="text1" w:themeTint="F2"/>
          <w:sz w:val="20"/>
          <w:szCs w:val="20"/>
        </w:rPr>
        <w:t xml:space="preserve">nya ekosistem mangrove sebesar 80 mg/L. Tingginya konsentrasi TSS diakibatkan masuknya bahan organik dari industri perikanan dimana pembuangan limbah industri perikanan dilakukan pada saat siang hari dan pasang </w:t>
      </w:r>
      <w:r w:rsidRPr="0050148D">
        <w:rPr>
          <w:color w:val="0D0D0D" w:themeColor="text1" w:themeTint="F2"/>
          <w:sz w:val="20"/>
          <w:szCs w:val="20"/>
        </w:rPr>
        <w:lastRenderedPageBreak/>
        <w:t xml:space="preserve">tertinggi. Konsentrasi TSS pada stasiun C cenderung tinggi baik pada sampling pertama maupun kedua karena pada lokasi ini terdapat tempat pembuangan sampah industri maupun sampah masyarakat yang dapat menambah jumlah masuknya bahan organik ke perairan Pantai Wates. </w:t>
      </w:r>
    </w:p>
    <w:p w14:paraId="3B2961D9" w14:textId="59AD202A" w:rsidR="00364C02" w:rsidRDefault="0050148D" w:rsidP="00D33D7D">
      <w:pPr>
        <w:ind w:left="221" w:firstLine="549"/>
        <w:jc w:val="both"/>
        <w:rPr>
          <w:color w:val="0D0D0D" w:themeColor="text1" w:themeTint="F2"/>
          <w:sz w:val="20"/>
          <w:szCs w:val="20"/>
        </w:rPr>
      </w:pPr>
      <w:r w:rsidRPr="0050148D">
        <w:rPr>
          <w:color w:val="0D0D0D" w:themeColor="text1" w:themeTint="F2"/>
          <w:sz w:val="20"/>
          <w:szCs w:val="20"/>
        </w:rPr>
        <w:t>Lokasi penelitian yang dekat dengan pantai dengan kedalaman yang dangkal mengakibatkan tingginya konsentrasi TSS. Selain itu, tingginya konsentrasi TSS dipengaruhi oleh kecepatan arus pada saat pengambilan sampel.</w:t>
      </w:r>
      <w:r w:rsidR="00BB4787">
        <w:rPr>
          <w:color w:val="0D0D0D" w:themeColor="text1" w:themeTint="F2"/>
          <w:sz w:val="20"/>
          <w:szCs w:val="20"/>
          <w:lang w:val="en-US"/>
        </w:rPr>
        <w:t xml:space="preserve"> </w:t>
      </w:r>
      <w:r w:rsidR="00BB4787" w:rsidRPr="0050148D">
        <w:rPr>
          <w:color w:val="0D0D0D" w:themeColor="text1" w:themeTint="F2"/>
          <w:sz w:val="20"/>
          <w:szCs w:val="20"/>
        </w:rPr>
        <w:t xml:space="preserve">Menurut Arvianto </w:t>
      </w:r>
      <w:r w:rsidR="00D55F3B">
        <w:rPr>
          <w:i/>
          <w:color w:val="0D0D0D" w:themeColor="text1" w:themeTint="F2"/>
          <w:sz w:val="20"/>
          <w:szCs w:val="20"/>
        </w:rPr>
        <w:t>et al.,</w:t>
      </w:r>
      <w:r w:rsidR="00BB4787" w:rsidRPr="0050148D">
        <w:rPr>
          <w:color w:val="0D0D0D" w:themeColor="text1" w:themeTint="F2"/>
          <w:sz w:val="20"/>
          <w:szCs w:val="20"/>
        </w:rPr>
        <w:t xml:space="preserve"> (2016), arus laut berperan dalam perpindahan sedimen, dimana sedimen erat kaitannya dengan pengendapan dan pengangkutan. Sedimen yang telah mengendap akan terangkat kembali ke kolom perairan akibat adanya turbulensi oleh arus. Kapasitas angkut sedimen tersuspensi cenderung mengikuti kecepatan dan arah arus.</w:t>
      </w:r>
      <w:r w:rsidR="00BB4787">
        <w:rPr>
          <w:color w:val="0D0D0D" w:themeColor="text1" w:themeTint="F2"/>
          <w:sz w:val="20"/>
          <w:szCs w:val="20"/>
        </w:rPr>
        <w:t xml:space="preserve"> </w:t>
      </w:r>
      <w:r w:rsidRPr="0050148D">
        <w:rPr>
          <w:color w:val="0D0D0D" w:themeColor="text1" w:themeTint="F2"/>
          <w:sz w:val="20"/>
          <w:szCs w:val="20"/>
        </w:rPr>
        <w:t>Konsentrasi TSS pada sampling pertama cenderung lebih tinggi dibandingkan sampling kedua, hal tersebut disebabkan karena terjadi curah hujan tinggi pada malam hari sebelum pengambilan sampel yang menyebabkan aliran sungai membawa sedimen ke laut.</w:t>
      </w:r>
      <w:r w:rsidR="00BB4787">
        <w:rPr>
          <w:color w:val="0D0D0D" w:themeColor="text1" w:themeTint="F2"/>
          <w:sz w:val="20"/>
          <w:szCs w:val="20"/>
          <w:lang w:val="en-US"/>
        </w:rPr>
        <w:t xml:space="preserve"> Perbedaan </w:t>
      </w:r>
      <w:r w:rsidR="00795D64">
        <w:rPr>
          <w:color w:val="0D0D0D" w:themeColor="text1" w:themeTint="F2"/>
          <w:sz w:val="20"/>
          <w:szCs w:val="20"/>
          <w:lang w:val="en-US"/>
        </w:rPr>
        <w:t>konsentrasi TSS di</w:t>
      </w:r>
      <w:r w:rsidR="00BB4787">
        <w:rPr>
          <w:color w:val="0D0D0D" w:themeColor="text1" w:themeTint="F2"/>
          <w:sz w:val="20"/>
          <w:szCs w:val="20"/>
          <w:lang w:val="en-US"/>
        </w:rPr>
        <w:t>p</w:t>
      </w:r>
      <w:r w:rsidR="00795D64">
        <w:rPr>
          <w:color w:val="0D0D0D" w:themeColor="text1" w:themeTint="F2"/>
          <w:sz w:val="20"/>
          <w:szCs w:val="20"/>
          <w:lang w:val="en-US"/>
        </w:rPr>
        <w:t>e</w:t>
      </w:r>
      <w:r w:rsidR="00BB4787">
        <w:rPr>
          <w:color w:val="0D0D0D" w:themeColor="text1" w:themeTint="F2"/>
          <w:sz w:val="20"/>
          <w:szCs w:val="20"/>
          <w:lang w:val="en-US"/>
        </w:rPr>
        <w:t xml:space="preserve">ngaruhi oleh kedalaman, dimana pada sampling kedua memiliki kedalaman yang lebih dalam </w:t>
      </w:r>
      <w:r w:rsidR="00795D64">
        <w:rPr>
          <w:color w:val="0D0D0D" w:themeColor="text1" w:themeTint="F2"/>
          <w:sz w:val="20"/>
          <w:szCs w:val="20"/>
          <w:lang w:val="en-US"/>
        </w:rPr>
        <w:t>di</w:t>
      </w:r>
      <w:r w:rsidR="00BB4787">
        <w:rPr>
          <w:color w:val="0D0D0D" w:themeColor="text1" w:themeTint="F2"/>
          <w:sz w:val="20"/>
          <w:szCs w:val="20"/>
          <w:lang w:val="en-US"/>
        </w:rPr>
        <w:t xml:space="preserve">banding sampling pertama. </w:t>
      </w:r>
      <w:r w:rsidR="00D101C3">
        <w:rPr>
          <w:color w:val="0D0D0D" w:themeColor="text1" w:themeTint="F2"/>
          <w:sz w:val="20"/>
          <w:szCs w:val="20"/>
          <w:lang w:val="en-US"/>
        </w:rPr>
        <w:t xml:space="preserve">Menurut </w:t>
      </w:r>
      <w:r w:rsidR="009932AB">
        <w:rPr>
          <w:color w:val="0D0D0D" w:themeColor="text1" w:themeTint="F2"/>
          <w:sz w:val="20"/>
          <w:szCs w:val="20"/>
          <w:lang w:val="en-US"/>
        </w:rPr>
        <w:t>Ma’arif</w:t>
      </w:r>
      <w:r w:rsidR="00795D64">
        <w:rPr>
          <w:color w:val="0D0D0D" w:themeColor="text1" w:themeTint="F2"/>
          <w:sz w:val="20"/>
          <w:szCs w:val="20"/>
          <w:lang w:val="en-US"/>
        </w:rPr>
        <w:t xml:space="preserve"> dan Hidayah</w:t>
      </w:r>
      <w:r w:rsidR="00D55F3B">
        <w:rPr>
          <w:color w:val="0D0D0D" w:themeColor="text1" w:themeTint="F2"/>
          <w:sz w:val="20"/>
          <w:szCs w:val="20"/>
          <w:lang w:val="en-US"/>
        </w:rPr>
        <w:t xml:space="preserve"> (</w:t>
      </w:r>
      <w:r w:rsidR="00795D64">
        <w:rPr>
          <w:color w:val="0D0D0D" w:themeColor="text1" w:themeTint="F2"/>
          <w:sz w:val="20"/>
          <w:szCs w:val="20"/>
          <w:lang w:val="en-US"/>
        </w:rPr>
        <w:t xml:space="preserve">2020), konsentrasi terendah saat pasang diakibatkan karena perbedaan kedalaman, dimana semakin jauh dari daratan maka sedimen tersuspensi tidak terbawa sampai ke lautan lepas dikarenakan arus lemah. </w:t>
      </w:r>
      <w:r w:rsidRPr="0050148D">
        <w:rPr>
          <w:color w:val="0D0D0D" w:themeColor="text1" w:themeTint="F2"/>
          <w:sz w:val="20"/>
          <w:szCs w:val="20"/>
        </w:rPr>
        <w:t>Konsentrasi TSS yang tinggi menunjukkan tingkat pencemaran tinggi. Tingginya konsentrasi TSS di perairan Pantai Wates dapat menyebabkan tingkat kekeruhan tinggi dan menghambat penetrasi cahaya masuk ke dalam perairan. Konsentrasi TSS yang tinggi mengakibatkan nilai produktivitas perairan menjadi rendah akibat terganggunya proses fotosintesis (</w:t>
      </w:r>
      <w:r w:rsidR="00D101C3">
        <w:rPr>
          <w:color w:val="0D0D0D" w:themeColor="text1" w:themeTint="F2"/>
          <w:sz w:val="20"/>
          <w:szCs w:val="20"/>
          <w:lang w:val="en-US"/>
        </w:rPr>
        <w:t xml:space="preserve">Kamajaya </w:t>
      </w:r>
      <w:r w:rsidR="00D55F3B" w:rsidRPr="00D55F3B">
        <w:rPr>
          <w:i/>
          <w:color w:val="0D0D0D" w:themeColor="text1" w:themeTint="F2"/>
          <w:sz w:val="20"/>
          <w:szCs w:val="20"/>
          <w:lang w:val="en-US"/>
        </w:rPr>
        <w:t>et al</w:t>
      </w:r>
      <w:r w:rsidR="00D55F3B">
        <w:rPr>
          <w:color w:val="0D0D0D" w:themeColor="text1" w:themeTint="F2"/>
          <w:sz w:val="20"/>
          <w:szCs w:val="20"/>
          <w:lang w:val="en-US"/>
        </w:rPr>
        <w:t>.,</w:t>
      </w:r>
      <w:r w:rsidR="00D101C3">
        <w:rPr>
          <w:color w:val="0D0D0D" w:themeColor="text1" w:themeTint="F2"/>
          <w:sz w:val="20"/>
          <w:szCs w:val="20"/>
        </w:rPr>
        <w:t xml:space="preserve"> 2021</w:t>
      </w:r>
      <w:r w:rsidRPr="0050148D">
        <w:rPr>
          <w:color w:val="0D0D0D" w:themeColor="text1" w:themeTint="F2"/>
          <w:sz w:val="20"/>
          <w:szCs w:val="20"/>
        </w:rPr>
        <w:t>).</w:t>
      </w:r>
    </w:p>
    <w:p w14:paraId="3D9B96E0" w14:textId="77777777" w:rsidR="00063ECF" w:rsidRDefault="00364C02" w:rsidP="00D33D7D">
      <w:pPr>
        <w:ind w:left="221" w:firstLine="549"/>
        <w:jc w:val="both"/>
        <w:rPr>
          <w:color w:val="0D0D0D" w:themeColor="text1" w:themeTint="F2"/>
          <w:sz w:val="20"/>
          <w:szCs w:val="20"/>
        </w:rPr>
      </w:pPr>
      <w:r>
        <w:rPr>
          <w:color w:val="0D0D0D" w:themeColor="text1" w:themeTint="F2"/>
          <w:sz w:val="20"/>
          <w:szCs w:val="20"/>
          <w:lang w:val="en-US"/>
        </w:rPr>
        <w:t>Tinggi rendahnya limbah organik dapat menjadi indikator pencemaran,</w:t>
      </w:r>
      <w:r w:rsidRPr="00364C02">
        <w:rPr>
          <w:color w:val="0D0D0D" w:themeColor="text1" w:themeTint="F2"/>
          <w:sz w:val="20"/>
          <w:szCs w:val="20"/>
        </w:rPr>
        <w:t xml:space="preserve"> maka variabel BOD merupakan salah satu variabel yang dapat menentukan apakah suatu perairan mengalami pencemaran atau tidak. Berdasarkan pengukuran BOD pada sampling pertama diketahui bahwa konsentrasi BOD sebesar 416,43 - 436,57 mg/L, konsentrasi BOD sampling pertama lebih tinggi dibandingkan sampling kedua yaitu sebesar 368,9 - 382,33 mg/L. Berdasarkan PP Nomor 22 Tahun 2021 mengenai baku mutu air laut untuk wisata bahari dan biota laut dapat diketahui bahwa baku mutu BOD sebesar 10 mg/L yang berarti konsentrasi BOD di perairan Pantai Wates melebihi baku mutu yang ditetapkan. Tingginya BOD menunjukkan terjadinya pencemaran. Konsentrasi BOD yang tinggi disebabkan karena tingginya bahan organik yang masuk ke dalam perairan Pantai Wates, dimana pembuangan limbah industri perikanan dibuang saat siang hari dan ketika pasang tinggi, kondisi tersebut dipilih agar pada saat pembuangan limbah ke laut tidak menimbulkan kecurigaan pada masyarakat karena arus yang kuat pada saat pasang tinggi dapat membawa limbah. Konsentrasi BOD yang melebihi baku mutu yang ditetapkan menunjukkan bahwa bahan organik sukar diurai secara biologis, hal tersebut ditandai dengan rendahnya angka DO. Kondisi tersebut dapat </w:t>
      </w:r>
      <w:r w:rsidRPr="00364C02">
        <w:rPr>
          <w:color w:val="0D0D0D" w:themeColor="text1" w:themeTint="F2"/>
          <w:sz w:val="20"/>
          <w:szCs w:val="20"/>
        </w:rPr>
        <w:lastRenderedPageBreak/>
        <w:t xml:space="preserve">menyebabkan kematian pada biota laut akibat kurangnya oksigen yang ada di perairan (Daroini dan Arosadi, 2020). </w:t>
      </w:r>
    </w:p>
    <w:p w14:paraId="14F7EF70" w14:textId="77777777" w:rsidR="00CA336C" w:rsidRDefault="00063ECF" w:rsidP="00D33D7D">
      <w:pPr>
        <w:ind w:left="221" w:firstLine="549"/>
        <w:jc w:val="both"/>
        <w:rPr>
          <w:color w:val="0D0D0D" w:themeColor="text1" w:themeTint="F2"/>
          <w:sz w:val="20"/>
          <w:szCs w:val="20"/>
        </w:rPr>
      </w:pPr>
      <w:r w:rsidRPr="00063ECF">
        <w:rPr>
          <w:color w:val="0D0D0D" w:themeColor="text1" w:themeTint="F2"/>
          <w:sz w:val="20"/>
          <w:szCs w:val="20"/>
        </w:rPr>
        <w:t>Konsentrasi COD di perairan Pantai Wates memiliki konsentrasi yang tinggi. Sampling pertama menunjukkan hasil konsentrasi COD berkisar 1343,33 -</w:t>
      </w:r>
      <w:r w:rsidR="00B95DB3">
        <w:rPr>
          <w:color w:val="0D0D0D" w:themeColor="text1" w:themeTint="F2"/>
          <w:sz w:val="20"/>
          <w:szCs w:val="20"/>
          <w:lang w:val="en-US"/>
        </w:rPr>
        <w:t xml:space="preserve"> </w:t>
      </w:r>
      <w:r w:rsidRPr="00063ECF">
        <w:rPr>
          <w:color w:val="0D0D0D" w:themeColor="text1" w:themeTint="F2"/>
          <w:sz w:val="20"/>
          <w:szCs w:val="20"/>
        </w:rPr>
        <w:t>1350 mg/L, sedangkan pada sampling kedua memiliki konsentrasi sebesar 1190</w:t>
      </w:r>
      <w:r w:rsidR="00B95DB3">
        <w:rPr>
          <w:color w:val="0D0D0D" w:themeColor="text1" w:themeTint="F2"/>
          <w:sz w:val="20"/>
          <w:szCs w:val="20"/>
          <w:lang w:val="en-US"/>
        </w:rPr>
        <w:t xml:space="preserve"> </w:t>
      </w:r>
      <w:r w:rsidRPr="00063ECF">
        <w:rPr>
          <w:color w:val="0D0D0D" w:themeColor="text1" w:themeTint="F2"/>
          <w:sz w:val="20"/>
          <w:szCs w:val="20"/>
        </w:rPr>
        <w:t>-</w:t>
      </w:r>
      <w:r w:rsidR="00B95DB3">
        <w:rPr>
          <w:color w:val="0D0D0D" w:themeColor="text1" w:themeTint="F2"/>
          <w:sz w:val="20"/>
          <w:szCs w:val="20"/>
          <w:lang w:val="en-US"/>
        </w:rPr>
        <w:t xml:space="preserve"> </w:t>
      </w:r>
      <w:r w:rsidRPr="00063ECF">
        <w:rPr>
          <w:color w:val="0D0D0D" w:themeColor="text1" w:themeTint="F2"/>
          <w:sz w:val="20"/>
          <w:szCs w:val="20"/>
        </w:rPr>
        <w:t xml:space="preserve">1233,33 mg/L. Hal tersebut menunjukkan bahwa konsentrasi COD telah melebihi baku mutu yang ditetapkan untuk wisata bahari dan biota laut yaitu sebesar 80 mg/L. Pengukuran COD dilakukan dengan cara mengoksidasi bahan organik baik yang mudah terurai maupun tidak mudah terurai sehingga didapatkan nilai total bahan organik di perairan. Tingginya konsentrasi COD di perairan Pantai Wates menunjukkan banyaknya limbah organik yang berasal dari industri perikanan masuk ke perairan Pantai Wates. Menurut Effendi (2003), perairan yang memiliki konsentrasi COD kurang dari 20 mg/L tergolong masih belum tercemar, sedangkan apabila konsentrasi lebih dari 200 mg/L maka kondisi perairan tersebut tercemar. Konsentrasi COD yang tinggi disebabkan karena limbah industri perikanan mengandung bahan organik yang tinggi yang berasal dari sisa pengolahan ikan. Limbah cair perikanan yang dibuang langsung menuju ke perairan dapat menyebabkan pencemaran seperti menurunkan kadar oksigen di perairan, memunculkan toksisitas terhadap kehidupan air maupun dapat membahayakan masyarakat dan menimbulkan bau yang tidak sedap (Kurnianti </w:t>
      </w:r>
      <w:r w:rsidR="00D55F3B">
        <w:rPr>
          <w:i/>
          <w:color w:val="0D0D0D" w:themeColor="text1" w:themeTint="F2"/>
          <w:sz w:val="20"/>
          <w:szCs w:val="20"/>
        </w:rPr>
        <w:t>et al.,</w:t>
      </w:r>
      <w:r w:rsidRPr="00063ECF">
        <w:rPr>
          <w:color w:val="0D0D0D" w:themeColor="text1" w:themeTint="F2"/>
          <w:sz w:val="20"/>
          <w:szCs w:val="20"/>
        </w:rPr>
        <w:t xml:space="preserve"> 2020).</w:t>
      </w:r>
    </w:p>
    <w:p w14:paraId="06A949EC" w14:textId="77777777" w:rsidR="00CA336C" w:rsidRDefault="00CA336C" w:rsidP="00D33D7D">
      <w:pPr>
        <w:ind w:left="221" w:firstLine="549"/>
        <w:jc w:val="both"/>
        <w:rPr>
          <w:color w:val="0D0D0D" w:themeColor="text1" w:themeTint="F2"/>
          <w:sz w:val="20"/>
          <w:szCs w:val="20"/>
        </w:rPr>
      </w:pPr>
      <w:r w:rsidRPr="00CA336C">
        <w:rPr>
          <w:color w:val="0D0D0D" w:themeColor="text1" w:themeTint="F2"/>
          <w:sz w:val="20"/>
          <w:szCs w:val="20"/>
        </w:rPr>
        <w:t xml:space="preserve">Limbah cair industri perikanan mengandung bahan organik yang tinggi salah satunya adalah amonia. Berdasarkan uji laboratorium didapatkan hasil pada sampling pertama berkisar 0,03 - 0,05 mg/L dan sampling kedua berkisar 0,044-0,156 mg/L. Hal tersebut menunjukkan bahwa konsentrasi amonia di perairan Pantai Wates melebihi baku mutu untuk wisata bahari yang ditetapkan berdasarkan PP Nomor 22 Tahun 2021 yaitu sebesar 0,02 mg/L. Konsentrasi amonia di perairan Pantai Wates masih berada baku mutu untuk biota laut karena baku mutu air laut untuk biota laut sesuai PP Nomor 22 Tahun 2021 sebesar 0,3 mg/L. Konsentrasi amonia tertinggi pada sampling pertama dan kedua berada di titik sampling A, hal tersebut disebabkan karena limbah industri perikanan yang berada di stasiun B dibawa arus yang berasal dari barat laut menuju ke tenggara sebelum adanya industri  </w:t>
      </w:r>
      <w:r>
        <w:rPr>
          <w:color w:val="0D0D0D" w:themeColor="text1" w:themeTint="F2"/>
          <w:sz w:val="20"/>
          <w:szCs w:val="20"/>
          <w:lang w:val="en-US"/>
        </w:rPr>
        <w:t>perikanan</w:t>
      </w:r>
      <w:r w:rsidRPr="00CA336C">
        <w:rPr>
          <w:color w:val="0D0D0D" w:themeColor="text1" w:themeTint="F2"/>
          <w:sz w:val="20"/>
          <w:szCs w:val="20"/>
        </w:rPr>
        <w:t>. Menurut Marlian (2016), amonia di perairan menunjukkan adanya penguraian bahan organik, terutama protein. Konsentrasi amonia melebihi baku mutu dapat bersifat toksik bagi organisme laut dan dapat menyebabkan kematian. Amonia di perairan berasal dari proses metabolisme maupun pembusukan bahan organik oleh bakteri yang terbawa oleh arus. Meningkatkan konsentrasi amonia di laut berkaitan dengan masuknya bahan organik yang mudah terurai (baik mengandung nitrogen maupun tidak mengand</w:t>
      </w:r>
      <w:r>
        <w:rPr>
          <w:color w:val="0D0D0D" w:themeColor="text1" w:themeTint="F2"/>
          <w:sz w:val="20"/>
          <w:szCs w:val="20"/>
        </w:rPr>
        <w:t xml:space="preserve">ung nitrogen) (Effendi, 2003). </w:t>
      </w:r>
    </w:p>
    <w:p w14:paraId="278598FC" w14:textId="6DB0C87B" w:rsidR="00CA336C" w:rsidRDefault="00CA336C" w:rsidP="00D33D7D">
      <w:pPr>
        <w:ind w:left="221" w:firstLine="549"/>
        <w:jc w:val="both"/>
        <w:rPr>
          <w:color w:val="0D0D0D" w:themeColor="text1" w:themeTint="F2"/>
          <w:sz w:val="20"/>
          <w:szCs w:val="20"/>
          <w:lang w:val="en-US"/>
        </w:rPr>
      </w:pPr>
      <w:r w:rsidRPr="00CA336C">
        <w:rPr>
          <w:color w:val="0D0D0D" w:themeColor="text1" w:themeTint="F2"/>
          <w:sz w:val="20"/>
          <w:szCs w:val="20"/>
        </w:rPr>
        <w:t xml:space="preserve">Konsentrasi minyak dan lemak yang ada di perairan Pantai Wates berdasarkan hasil uji lab pada sampling pertama berkisar 36 - 42 mg/L, sedangkan pada sampling kedua berkisar 106 - 138 mg/L. Hal </w:t>
      </w:r>
      <w:r w:rsidRPr="00CA336C">
        <w:rPr>
          <w:color w:val="0D0D0D" w:themeColor="text1" w:themeTint="F2"/>
          <w:sz w:val="20"/>
          <w:szCs w:val="20"/>
        </w:rPr>
        <w:lastRenderedPageBreak/>
        <w:t>tersebut menunjukkan bahwa di setiap stasiun telah melewati baku mutu untuk wisata bahari dan biota laut yang ditetapkan PP Nomor 22 Tahun 2021 sebesar 1 mg/L. Konsentrasi minyak dan lemak pada sampling kedua lebih tinggi dibandingkan sampling pertama dikarenakan pada sampling</w:t>
      </w:r>
      <w:r w:rsidR="00D33D7D">
        <w:rPr>
          <w:color w:val="0D0D0D" w:themeColor="text1" w:themeTint="F2"/>
          <w:sz w:val="20"/>
          <w:szCs w:val="20"/>
        </w:rPr>
        <w:t xml:space="preserve"> kedua terjadi pasang </w:t>
      </w:r>
      <w:r w:rsidRPr="00CA336C">
        <w:rPr>
          <w:color w:val="0D0D0D" w:themeColor="text1" w:themeTint="F2"/>
          <w:sz w:val="20"/>
          <w:szCs w:val="20"/>
        </w:rPr>
        <w:t>bulan purnama</w:t>
      </w:r>
      <w:r w:rsidR="00D33D7D">
        <w:rPr>
          <w:color w:val="0D0D0D" w:themeColor="text1" w:themeTint="F2"/>
          <w:sz w:val="20"/>
          <w:szCs w:val="20"/>
          <w:lang w:val="en-US"/>
        </w:rPr>
        <w:t xml:space="preserve"> (</w:t>
      </w:r>
      <w:r w:rsidR="00D33D7D" w:rsidRPr="00D33D7D">
        <w:rPr>
          <w:i/>
          <w:color w:val="0D0D0D" w:themeColor="text1" w:themeTint="F2"/>
          <w:sz w:val="20"/>
          <w:szCs w:val="20"/>
          <w:lang w:val="en-US"/>
        </w:rPr>
        <w:t>spring tide</w:t>
      </w:r>
      <w:r w:rsidR="00D33D7D">
        <w:rPr>
          <w:color w:val="0D0D0D" w:themeColor="text1" w:themeTint="F2"/>
          <w:sz w:val="20"/>
          <w:szCs w:val="20"/>
          <w:lang w:val="en-US"/>
        </w:rPr>
        <w:t>)</w:t>
      </w:r>
      <w:r w:rsidRPr="00CA336C">
        <w:rPr>
          <w:color w:val="0D0D0D" w:themeColor="text1" w:themeTint="F2"/>
          <w:sz w:val="20"/>
          <w:szCs w:val="20"/>
        </w:rPr>
        <w:t xml:space="preserve"> yang mana pada saat pasang tinggi merupakan waktu yang tepat bagi industri perikanan untuk membuang limbah ke laut. Konsentrasi minyak dan lemak yang tinggi disebabkan berasal dari limbah cair proses pemotongan, pencucian ikan dan mesin yang digunakan untuk beroperasi yang terbawa oleh arus. Konsentrasi minyak dan lemak yang tinggi mengganggu proses fotosintesis dikarenakan minyak dan lemak menutupi intensitas cahaya matahari yang masuk ke perairan (Larasati </w:t>
      </w:r>
      <w:r w:rsidR="00D55F3B">
        <w:rPr>
          <w:i/>
          <w:color w:val="0D0D0D" w:themeColor="text1" w:themeTint="F2"/>
          <w:sz w:val="20"/>
          <w:szCs w:val="20"/>
        </w:rPr>
        <w:t>et al.,</w:t>
      </w:r>
      <w:r w:rsidRPr="00CA336C">
        <w:rPr>
          <w:color w:val="0D0D0D" w:themeColor="text1" w:themeTint="F2"/>
          <w:sz w:val="20"/>
          <w:szCs w:val="20"/>
        </w:rPr>
        <w:t xml:space="preserve"> 2015).</w:t>
      </w:r>
      <w:r>
        <w:rPr>
          <w:color w:val="0D0D0D" w:themeColor="text1" w:themeTint="F2"/>
          <w:sz w:val="20"/>
          <w:szCs w:val="20"/>
          <w:lang w:val="en-US"/>
        </w:rPr>
        <w:t xml:space="preserve"> Kandungan minyak dan le</w:t>
      </w:r>
      <w:r w:rsidR="00F40430">
        <w:rPr>
          <w:color w:val="0D0D0D" w:themeColor="text1" w:themeTint="F2"/>
          <w:sz w:val="20"/>
          <w:szCs w:val="20"/>
          <w:lang w:val="en-US"/>
        </w:rPr>
        <w:t>mak yang tinggi di perairan akan</w:t>
      </w:r>
      <w:r>
        <w:rPr>
          <w:color w:val="0D0D0D" w:themeColor="text1" w:themeTint="F2"/>
          <w:sz w:val="20"/>
          <w:szCs w:val="20"/>
          <w:lang w:val="en-US"/>
        </w:rPr>
        <w:t xml:space="preserve"> berbahaya bagi biota laut, hal ini disebabkan karena difusi oksigen menjadi berkurang</w:t>
      </w:r>
      <w:r w:rsidR="00275FB4">
        <w:rPr>
          <w:color w:val="0D0D0D" w:themeColor="text1" w:themeTint="F2"/>
          <w:sz w:val="20"/>
          <w:szCs w:val="20"/>
          <w:lang w:val="en-US"/>
        </w:rPr>
        <w:t xml:space="preserve"> sehingga oksigen di dalam air akan menurun (Poppo </w:t>
      </w:r>
      <w:r w:rsidR="00D55F3B" w:rsidRPr="003E677A">
        <w:rPr>
          <w:i/>
          <w:color w:val="0D0D0D" w:themeColor="text1" w:themeTint="F2"/>
          <w:sz w:val="20"/>
          <w:szCs w:val="20"/>
          <w:lang w:val="en-US"/>
        </w:rPr>
        <w:t>et al</w:t>
      </w:r>
      <w:r w:rsidR="00D55F3B">
        <w:rPr>
          <w:color w:val="0D0D0D" w:themeColor="text1" w:themeTint="F2"/>
          <w:sz w:val="20"/>
          <w:szCs w:val="20"/>
          <w:lang w:val="en-US"/>
        </w:rPr>
        <w:t>.,</w:t>
      </w:r>
      <w:r w:rsidR="00275FB4">
        <w:rPr>
          <w:color w:val="0D0D0D" w:themeColor="text1" w:themeTint="F2"/>
          <w:sz w:val="20"/>
          <w:szCs w:val="20"/>
          <w:lang w:val="en-US"/>
        </w:rPr>
        <w:t xml:space="preserve"> 2012).</w:t>
      </w:r>
    </w:p>
    <w:p w14:paraId="4B4AC281" w14:textId="77777777" w:rsidR="00C74738" w:rsidRDefault="00C74738" w:rsidP="00D33D7D">
      <w:pPr>
        <w:ind w:left="221" w:firstLine="549"/>
        <w:jc w:val="both"/>
        <w:rPr>
          <w:color w:val="0D0D0D" w:themeColor="text1" w:themeTint="F2"/>
          <w:sz w:val="20"/>
          <w:szCs w:val="20"/>
          <w:lang w:val="en-US"/>
        </w:rPr>
      </w:pPr>
    </w:p>
    <w:p w14:paraId="0E14A93B" w14:textId="77777777" w:rsidR="00C74738" w:rsidRDefault="004B64C8" w:rsidP="00D33D7D">
      <w:pPr>
        <w:ind w:left="221" w:hanging="1"/>
        <w:jc w:val="both"/>
        <w:rPr>
          <w:b/>
          <w:color w:val="0D0D0D" w:themeColor="text1" w:themeTint="F2"/>
          <w:sz w:val="20"/>
          <w:szCs w:val="20"/>
          <w:lang w:val="en-US"/>
        </w:rPr>
      </w:pPr>
      <w:r>
        <w:rPr>
          <w:b/>
          <w:color w:val="0D0D0D" w:themeColor="text1" w:themeTint="F2"/>
          <w:sz w:val="20"/>
          <w:szCs w:val="20"/>
          <w:lang w:val="en-US"/>
        </w:rPr>
        <w:t xml:space="preserve">Status Pencemaran di Perairan Pantai Wates </w:t>
      </w:r>
    </w:p>
    <w:p w14:paraId="49ACF228" w14:textId="77777777" w:rsidR="00C74738" w:rsidRDefault="004B64C8" w:rsidP="00D33D7D">
      <w:pPr>
        <w:ind w:left="221" w:firstLine="659"/>
        <w:jc w:val="both"/>
        <w:rPr>
          <w:color w:val="0D0D0D" w:themeColor="text1" w:themeTint="F2"/>
          <w:sz w:val="20"/>
          <w:szCs w:val="20"/>
          <w:lang w:val="en-US"/>
        </w:rPr>
      </w:pPr>
      <w:r>
        <w:rPr>
          <w:color w:val="0D0D0D" w:themeColor="text1" w:themeTint="F2"/>
          <w:sz w:val="20"/>
          <w:szCs w:val="20"/>
          <w:lang w:val="en-US"/>
        </w:rPr>
        <w:t xml:space="preserve">Status pencemaran di perairan Pantai Wates, Kabupaten </w:t>
      </w:r>
      <w:r w:rsidRPr="004B64C8">
        <w:rPr>
          <w:color w:val="0D0D0D" w:themeColor="text1" w:themeTint="F2"/>
          <w:sz w:val="20"/>
          <w:szCs w:val="20"/>
          <w:lang w:val="en-US"/>
        </w:rPr>
        <w:t xml:space="preserve">Rembang dapat diketahui dengan metode Indeks Pencemaran (IP). Menurut Arnopi </w:t>
      </w:r>
      <w:r w:rsidR="00D55F3B" w:rsidRPr="003E677A">
        <w:rPr>
          <w:i/>
          <w:color w:val="0D0D0D" w:themeColor="text1" w:themeTint="F2"/>
          <w:sz w:val="20"/>
          <w:szCs w:val="20"/>
          <w:lang w:val="en-US"/>
        </w:rPr>
        <w:t>et al</w:t>
      </w:r>
      <w:r w:rsidR="00D55F3B">
        <w:rPr>
          <w:color w:val="0D0D0D" w:themeColor="text1" w:themeTint="F2"/>
          <w:sz w:val="20"/>
          <w:szCs w:val="20"/>
          <w:lang w:val="en-US"/>
        </w:rPr>
        <w:t>.,</w:t>
      </w:r>
      <w:r w:rsidRPr="004B64C8">
        <w:rPr>
          <w:color w:val="0D0D0D" w:themeColor="text1" w:themeTint="F2"/>
          <w:sz w:val="20"/>
          <w:szCs w:val="20"/>
          <w:lang w:val="en-US"/>
        </w:rPr>
        <w:t xml:space="preserve"> (2019), </w:t>
      </w:r>
      <w:r>
        <w:rPr>
          <w:sz w:val="20"/>
          <w:szCs w:val="20"/>
        </w:rPr>
        <w:t>p</w:t>
      </w:r>
      <w:r w:rsidRPr="004B64C8">
        <w:rPr>
          <w:sz w:val="20"/>
          <w:szCs w:val="20"/>
        </w:rPr>
        <w:t>erhitungan Indeks Pencemaran didasarkan pada Keputusan Menteri Lingkungan Hidup Nomor 115 Tahun 2003 tentang Pedoman</w:t>
      </w:r>
      <w:r w:rsidR="00F032A8">
        <w:rPr>
          <w:sz w:val="20"/>
          <w:szCs w:val="20"/>
        </w:rPr>
        <w:t xml:space="preserve"> Penentuan Status Mutu Air</w:t>
      </w:r>
      <w:r w:rsidR="00F032A8">
        <w:rPr>
          <w:sz w:val="20"/>
          <w:szCs w:val="20"/>
          <w:lang w:val="en-US"/>
        </w:rPr>
        <w:t>. Perhitungan IP</w:t>
      </w:r>
      <w:r w:rsidRPr="004B64C8">
        <w:rPr>
          <w:sz w:val="20"/>
          <w:szCs w:val="20"/>
        </w:rPr>
        <w:t xml:space="preserve"> dapat memberikan masukan pada pengambil keputusan terkait tindakan untuk memperbaiki kualitas air jika terjadi penurunan kualitas akibat adanya senyawa pencemar</w:t>
      </w:r>
      <w:r w:rsidR="00F032A8">
        <w:rPr>
          <w:sz w:val="20"/>
          <w:szCs w:val="20"/>
          <w:lang w:val="en-US"/>
        </w:rPr>
        <w:t xml:space="preserve">. </w:t>
      </w:r>
      <w:r w:rsidR="00C74738" w:rsidRPr="00C74738">
        <w:rPr>
          <w:color w:val="0D0D0D" w:themeColor="text1" w:themeTint="F2"/>
          <w:sz w:val="20"/>
          <w:szCs w:val="20"/>
          <w:lang w:val="en-US"/>
        </w:rPr>
        <w:t>Hasil perhitungan Indeks Pencemaran di perairan Pantai Wates disajikan pada Tabel 4.</w:t>
      </w:r>
    </w:p>
    <w:p w14:paraId="0AD2CB71" w14:textId="77777777" w:rsidR="00F032A8" w:rsidRPr="00F032A8" w:rsidRDefault="00F032A8" w:rsidP="00D33D7D">
      <w:pPr>
        <w:ind w:left="221" w:firstLine="659"/>
        <w:jc w:val="both"/>
        <w:rPr>
          <w:rFonts w:ascii="Times New Roman" w:hAnsi="Times New Roman" w:cs="Times New Roman"/>
          <w:sz w:val="24"/>
          <w:szCs w:val="24"/>
          <w:lang w:val="en-US"/>
        </w:rPr>
      </w:pPr>
    </w:p>
    <w:p w14:paraId="53D35889" w14:textId="77777777" w:rsidR="00C74738" w:rsidRPr="00C74738" w:rsidRDefault="00F032A8" w:rsidP="00D33D7D">
      <w:pPr>
        <w:ind w:left="221" w:hanging="1"/>
        <w:jc w:val="both"/>
        <w:rPr>
          <w:color w:val="0D0D0D" w:themeColor="text1" w:themeTint="F2"/>
          <w:sz w:val="20"/>
          <w:szCs w:val="20"/>
          <w:lang w:val="en-US"/>
        </w:rPr>
      </w:pPr>
      <w:r w:rsidRPr="00F032A8">
        <w:rPr>
          <w:b/>
          <w:color w:val="0D0D0D" w:themeColor="text1" w:themeTint="F2"/>
          <w:sz w:val="20"/>
          <w:szCs w:val="20"/>
          <w:lang w:val="en-US"/>
        </w:rPr>
        <w:t>Tabel 4</w:t>
      </w:r>
      <w:r>
        <w:rPr>
          <w:color w:val="0D0D0D" w:themeColor="text1" w:themeTint="F2"/>
          <w:sz w:val="20"/>
          <w:szCs w:val="20"/>
          <w:lang w:val="en-US"/>
        </w:rPr>
        <w:t>. Indeks Pencemaran di Perairan Pantai Wates</w:t>
      </w:r>
    </w:p>
    <w:tbl>
      <w:tblPr>
        <w:tblStyle w:val="TableGrid"/>
        <w:tblW w:w="4788" w:type="dxa"/>
        <w:tblInd w:w="221" w:type="dxa"/>
        <w:tblBorders>
          <w:left w:val="none" w:sz="0" w:space="0" w:color="auto"/>
          <w:right w:val="none" w:sz="0" w:space="0" w:color="auto"/>
          <w:insideV w:val="none" w:sz="0" w:space="0" w:color="auto"/>
        </w:tblBorders>
        <w:tblLook w:val="04A0" w:firstRow="1" w:lastRow="0" w:firstColumn="1" w:lastColumn="0" w:noHBand="0" w:noVBand="1"/>
      </w:tblPr>
      <w:tblGrid>
        <w:gridCol w:w="1154"/>
        <w:gridCol w:w="965"/>
        <w:gridCol w:w="974"/>
        <w:gridCol w:w="1695"/>
      </w:tblGrid>
      <w:tr w:rsidR="0033361B" w14:paraId="42C84FF9" w14:textId="77777777" w:rsidTr="00D86574">
        <w:tc>
          <w:tcPr>
            <w:tcW w:w="1154" w:type="dxa"/>
            <w:vAlign w:val="center"/>
          </w:tcPr>
          <w:p w14:paraId="6DF8593B" w14:textId="77777777" w:rsidR="0033361B" w:rsidRDefault="0033361B" w:rsidP="00D33D7D">
            <w:pPr>
              <w:jc w:val="center"/>
              <w:rPr>
                <w:b/>
                <w:sz w:val="20"/>
                <w:szCs w:val="20"/>
                <w:lang w:val="en-US"/>
              </w:rPr>
            </w:pPr>
            <w:r>
              <w:rPr>
                <w:b/>
                <w:sz w:val="20"/>
                <w:szCs w:val="20"/>
                <w:lang w:val="en-US"/>
              </w:rPr>
              <w:t>Sampling</w:t>
            </w:r>
          </w:p>
        </w:tc>
        <w:tc>
          <w:tcPr>
            <w:tcW w:w="965" w:type="dxa"/>
            <w:vAlign w:val="center"/>
          </w:tcPr>
          <w:p w14:paraId="6B8427FD" w14:textId="77777777" w:rsidR="0033361B" w:rsidRDefault="0033361B" w:rsidP="00D33D7D">
            <w:pPr>
              <w:jc w:val="center"/>
              <w:rPr>
                <w:b/>
                <w:sz w:val="20"/>
                <w:szCs w:val="20"/>
                <w:lang w:val="en-US"/>
              </w:rPr>
            </w:pPr>
            <w:r>
              <w:rPr>
                <w:b/>
                <w:sz w:val="20"/>
                <w:szCs w:val="20"/>
                <w:lang w:val="en-US"/>
              </w:rPr>
              <w:t>Stasiun</w:t>
            </w:r>
          </w:p>
        </w:tc>
        <w:tc>
          <w:tcPr>
            <w:tcW w:w="974" w:type="dxa"/>
            <w:vAlign w:val="center"/>
          </w:tcPr>
          <w:p w14:paraId="47FF02FB" w14:textId="77777777" w:rsidR="0033361B" w:rsidRDefault="0033361B" w:rsidP="00D33D7D">
            <w:pPr>
              <w:jc w:val="center"/>
              <w:rPr>
                <w:b/>
                <w:sz w:val="20"/>
                <w:szCs w:val="20"/>
                <w:lang w:val="en-US"/>
              </w:rPr>
            </w:pPr>
            <w:r>
              <w:rPr>
                <w:b/>
                <w:sz w:val="20"/>
                <w:szCs w:val="20"/>
                <w:lang w:val="en-US"/>
              </w:rPr>
              <w:t>Nilai IP</w:t>
            </w:r>
          </w:p>
        </w:tc>
        <w:tc>
          <w:tcPr>
            <w:tcW w:w="1695" w:type="dxa"/>
            <w:vAlign w:val="center"/>
          </w:tcPr>
          <w:p w14:paraId="1D222A95" w14:textId="77777777" w:rsidR="0033361B" w:rsidRDefault="0033361B" w:rsidP="00D33D7D">
            <w:pPr>
              <w:jc w:val="center"/>
              <w:rPr>
                <w:b/>
                <w:sz w:val="20"/>
                <w:szCs w:val="20"/>
                <w:lang w:val="en-US"/>
              </w:rPr>
            </w:pPr>
            <w:r>
              <w:rPr>
                <w:b/>
                <w:sz w:val="20"/>
                <w:szCs w:val="20"/>
                <w:lang w:val="en-US"/>
              </w:rPr>
              <w:t>Keterangan</w:t>
            </w:r>
          </w:p>
        </w:tc>
      </w:tr>
      <w:tr w:rsidR="0033361B" w14:paraId="3324248D" w14:textId="77777777" w:rsidTr="00D86574">
        <w:tc>
          <w:tcPr>
            <w:tcW w:w="1154" w:type="dxa"/>
            <w:vMerge w:val="restart"/>
            <w:vAlign w:val="center"/>
          </w:tcPr>
          <w:p w14:paraId="19B0E5FE" w14:textId="77777777" w:rsidR="0033361B" w:rsidRPr="0096778C" w:rsidRDefault="0096778C" w:rsidP="00D33D7D">
            <w:pPr>
              <w:jc w:val="center"/>
              <w:rPr>
                <w:sz w:val="20"/>
                <w:szCs w:val="20"/>
                <w:lang w:val="en-US"/>
              </w:rPr>
            </w:pPr>
            <w:r w:rsidRPr="0096778C">
              <w:rPr>
                <w:sz w:val="20"/>
                <w:szCs w:val="20"/>
                <w:lang w:val="en-US"/>
              </w:rPr>
              <w:t>1</w:t>
            </w:r>
          </w:p>
        </w:tc>
        <w:tc>
          <w:tcPr>
            <w:tcW w:w="965" w:type="dxa"/>
            <w:vAlign w:val="center"/>
          </w:tcPr>
          <w:p w14:paraId="3273EF48" w14:textId="77777777" w:rsidR="0033361B" w:rsidRPr="0096778C" w:rsidRDefault="0033361B" w:rsidP="00D33D7D">
            <w:pPr>
              <w:jc w:val="center"/>
              <w:rPr>
                <w:sz w:val="20"/>
                <w:szCs w:val="20"/>
                <w:lang w:val="en-US"/>
              </w:rPr>
            </w:pPr>
            <w:r w:rsidRPr="0096778C">
              <w:rPr>
                <w:sz w:val="20"/>
                <w:szCs w:val="20"/>
                <w:lang w:val="en-US"/>
              </w:rPr>
              <w:t>A</w:t>
            </w:r>
          </w:p>
        </w:tc>
        <w:tc>
          <w:tcPr>
            <w:tcW w:w="974" w:type="dxa"/>
            <w:vAlign w:val="center"/>
          </w:tcPr>
          <w:p w14:paraId="24AF64DD" w14:textId="77777777" w:rsidR="0033361B" w:rsidRPr="0096778C" w:rsidRDefault="0033361B" w:rsidP="00D33D7D">
            <w:pPr>
              <w:jc w:val="center"/>
              <w:rPr>
                <w:sz w:val="20"/>
                <w:szCs w:val="20"/>
                <w:lang w:val="en-US"/>
              </w:rPr>
            </w:pPr>
            <w:r w:rsidRPr="0096778C">
              <w:rPr>
                <w:sz w:val="20"/>
                <w:szCs w:val="20"/>
                <w:lang w:val="en-US"/>
              </w:rPr>
              <w:t>7,102</w:t>
            </w:r>
          </w:p>
        </w:tc>
        <w:tc>
          <w:tcPr>
            <w:tcW w:w="1695" w:type="dxa"/>
          </w:tcPr>
          <w:p w14:paraId="77BD459A" w14:textId="77777777" w:rsidR="0033361B" w:rsidRPr="0096778C" w:rsidRDefault="0033361B" w:rsidP="00D33D7D">
            <w:pPr>
              <w:jc w:val="both"/>
              <w:rPr>
                <w:sz w:val="20"/>
                <w:szCs w:val="20"/>
                <w:lang w:val="en-US"/>
              </w:rPr>
            </w:pPr>
            <w:r w:rsidRPr="0096778C">
              <w:rPr>
                <w:sz w:val="20"/>
                <w:szCs w:val="20"/>
                <w:lang w:val="en-US"/>
              </w:rPr>
              <w:t>Cemar sedang</w:t>
            </w:r>
          </w:p>
        </w:tc>
      </w:tr>
      <w:tr w:rsidR="0033361B" w14:paraId="6A5D014D" w14:textId="77777777" w:rsidTr="00D86574">
        <w:tc>
          <w:tcPr>
            <w:tcW w:w="1154" w:type="dxa"/>
            <w:vMerge/>
            <w:vAlign w:val="center"/>
          </w:tcPr>
          <w:p w14:paraId="0C9AF597" w14:textId="77777777" w:rsidR="0033361B" w:rsidRPr="0096778C" w:rsidRDefault="0033361B" w:rsidP="00D33D7D">
            <w:pPr>
              <w:jc w:val="center"/>
              <w:rPr>
                <w:sz w:val="20"/>
                <w:szCs w:val="20"/>
                <w:lang w:val="en-US"/>
              </w:rPr>
            </w:pPr>
          </w:p>
        </w:tc>
        <w:tc>
          <w:tcPr>
            <w:tcW w:w="965" w:type="dxa"/>
            <w:vAlign w:val="center"/>
          </w:tcPr>
          <w:p w14:paraId="2FCC5675" w14:textId="77777777" w:rsidR="0033361B" w:rsidRPr="0096778C" w:rsidRDefault="0033361B" w:rsidP="00D33D7D">
            <w:pPr>
              <w:jc w:val="center"/>
              <w:rPr>
                <w:sz w:val="20"/>
                <w:szCs w:val="20"/>
                <w:lang w:val="en-US"/>
              </w:rPr>
            </w:pPr>
            <w:r w:rsidRPr="0096778C">
              <w:rPr>
                <w:sz w:val="20"/>
                <w:szCs w:val="20"/>
                <w:lang w:val="en-US"/>
              </w:rPr>
              <w:t>B</w:t>
            </w:r>
          </w:p>
        </w:tc>
        <w:tc>
          <w:tcPr>
            <w:tcW w:w="974" w:type="dxa"/>
            <w:vAlign w:val="center"/>
          </w:tcPr>
          <w:p w14:paraId="4D1D8D9C" w14:textId="77777777" w:rsidR="0033361B" w:rsidRPr="0096778C" w:rsidRDefault="0033361B" w:rsidP="00D33D7D">
            <w:pPr>
              <w:jc w:val="center"/>
              <w:rPr>
                <w:sz w:val="20"/>
                <w:szCs w:val="20"/>
                <w:lang w:val="en-US"/>
              </w:rPr>
            </w:pPr>
            <w:r w:rsidRPr="0096778C">
              <w:rPr>
                <w:sz w:val="20"/>
                <w:szCs w:val="20"/>
                <w:lang w:val="en-US"/>
              </w:rPr>
              <w:t>7,150</w:t>
            </w:r>
          </w:p>
        </w:tc>
        <w:tc>
          <w:tcPr>
            <w:tcW w:w="1695" w:type="dxa"/>
          </w:tcPr>
          <w:p w14:paraId="01CE81FA" w14:textId="77777777" w:rsidR="0033361B" w:rsidRPr="0096778C" w:rsidRDefault="0033361B" w:rsidP="00D33D7D">
            <w:r w:rsidRPr="0096778C">
              <w:rPr>
                <w:sz w:val="20"/>
                <w:szCs w:val="20"/>
                <w:lang w:val="en-US"/>
              </w:rPr>
              <w:t>Cemar sedang</w:t>
            </w:r>
          </w:p>
        </w:tc>
      </w:tr>
      <w:tr w:rsidR="0033361B" w14:paraId="3D11ABF8" w14:textId="77777777" w:rsidTr="00D86574">
        <w:tc>
          <w:tcPr>
            <w:tcW w:w="1154" w:type="dxa"/>
            <w:vMerge/>
            <w:vAlign w:val="center"/>
          </w:tcPr>
          <w:p w14:paraId="0D07CAA2" w14:textId="77777777" w:rsidR="0033361B" w:rsidRPr="0096778C" w:rsidRDefault="0033361B" w:rsidP="00D33D7D">
            <w:pPr>
              <w:jc w:val="center"/>
              <w:rPr>
                <w:sz w:val="20"/>
                <w:szCs w:val="20"/>
                <w:lang w:val="en-US"/>
              </w:rPr>
            </w:pPr>
          </w:p>
        </w:tc>
        <w:tc>
          <w:tcPr>
            <w:tcW w:w="965" w:type="dxa"/>
            <w:vAlign w:val="center"/>
          </w:tcPr>
          <w:p w14:paraId="7EF5634B" w14:textId="77777777" w:rsidR="0033361B" w:rsidRPr="0096778C" w:rsidRDefault="0033361B" w:rsidP="00D33D7D">
            <w:pPr>
              <w:jc w:val="center"/>
              <w:rPr>
                <w:sz w:val="20"/>
                <w:szCs w:val="20"/>
                <w:lang w:val="en-US"/>
              </w:rPr>
            </w:pPr>
            <w:r w:rsidRPr="0096778C">
              <w:rPr>
                <w:sz w:val="20"/>
                <w:szCs w:val="20"/>
                <w:lang w:val="en-US"/>
              </w:rPr>
              <w:t>C</w:t>
            </w:r>
          </w:p>
        </w:tc>
        <w:tc>
          <w:tcPr>
            <w:tcW w:w="974" w:type="dxa"/>
            <w:vAlign w:val="center"/>
          </w:tcPr>
          <w:p w14:paraId="26EF2829" w14:textId="77777777" w:rsidR="0033361B" w:rsidRPr="0096778C" w:rsidRDefault="0033361B" w:rsidP="00D33D7D">
            <w:pPr>
              <w:jc w:val="center"/>
              <w:rPr>
                <w:sz w:val="20"/>
                <w:szCs w:val="20"/>
                <w:lang w:val="en-US"/>
              </w:rPr>
            </w:pPr>
            <w:r w:rsidRPr="0096778C">
              <w:rPr>
                <w:sz w:val="20"/>
                <w:szCs w:val="20"/>
                <w:lang w:val="en-US"/>
              </w:rPr>
              <w:t>7,217</w:t>
            </w:r>
          </w:p>
        </w:tc>
        <w:tc>
          <w:tcPr>
            <w:tcW w:w="1695" w:type="dxa"/>
          </w:tcPr>
          <w:p w14:paraId="3FE486BC" w14:textId="77777777" w:rsidR="0033361B" w:rsidRPr="0096778C" w:rsidRDefault="0033361B" w:rsidP="00D33D7D">
            <w:r w:rsidRPr="0096778C">
              <w:rPr>
                <w:sz w:val="20"/>
                <w:szCs w:val="20"/>
                <w:lang w:val="en-US"/>
              </w:rPr>
              <w:t>Cemar sedang</w:t>
            </w:r>
          </w:p>
        </w:tc>
      </w:tr>
      <w:tr w:rsidR="0033361B" w14:paraId="664BD079" w14:textId="77777777" w:rsidTr="00D86574">
        <w:tc>
          <w:tcPr>
            <w:tcW w:w="1154" w:type="dxa"/>
            <w:vMerge w:val="restart"/>
            <w:vAlign w:val="center"/>
          </w:tcPr>
          <w:p w14:paraId="69FF227B" w14:textId="77777777" w:rsidR="0033361B" w:rsidRPr="0096778C" w:rsidRDefault="0096778C" w:rsidP="00D33D7D">
            <w:pPr>
              <w:jc w:val="center"/>
              <w:rPr>
                <w:sz w:val="20"/>
                <w:szCs w:val="20"/>
                <w:lang w:val="en-US"/>
              </w:rPr>
            </w:pPr>
            <w:r w:rsidRPr="0096778C">
              <w:rPr>
                <w:sz w:val="20"/>
                <w:szCs w:val="20"/>
                <w:lang w:val="en-US"/>
              </w:rPr>
              <w:t>2</w:t>
            </w:r>
          </w:p>
        </w:tc>
        <w:tc>
          <w:tcPr>
            <w:tcW w:w="965" w:type="dxa"/>
            <w:vAlign w:val="center"/>
          </w:tcPr>
          <w:p w14:paraId="7BDABD45" w14:textId="77777777" w:rsidR="0033361B" w:rsidRPr="0096778C" w:rsidRDefault="0033361B" w:rsidP="00D33D7D">
            <w:pPr>
              <w:jc w:val="center"/>
              <w:rPr>
                <w:sz w:val="20"/>
                <w:szCs w:val="20"/>
                <w:lang w:val="en-US"/>
              </w:rPr>
            </w:pPr>
            <w:r w:rsidRPr="0096778C">
              <w:rPr>
                <w:sz w:val="20"/>
                <w:szCs w:val="20"/>
                <w:lang w:val="en-US"/>
              </w:rPr>
              <w:t>A</w:t>
            </w:r>
          </w:p>
        </w:tc>
        <w:tc>
          <w:tcPr>
            <w:tcW w:w="974" w:type="dxa"/>
            <w:vAlign w:val="center"/>
          </w:tcPr>
          <w:p w14:paraId="119BF22F" w14:textId="77777777" w:rsidR="0033361B" w:rsidRPr="0096778C" w:rsidRDefault="0033361B" w:rsidP="00D33D7D">
            <w:pPr>
              <w:jc w:val="center"/>
              <w:rPr>
                <w:sz w:val="20"/>
                <w:szCs w:val="20"/>
                <w:lang w:val="en-US"/>
              </w:rPr>
            </w:pPr>
            <w:r w:rsidRPr="0096778C">
              <w:rPr>
                <w:sz w:val="20"/>
                <w:szCs w:val="20"/>
                <w:lang w:val="en-US"/>
              </w:rPr>
              <w:t>8,423</w:t>
            </w:r>
          </w:p>
        </w:tc>
        <w:tc>
          <w:tcPr>
            <w:tcW w:w="1695" w:type="dxa"/>
          </w:tcPr>
          <w:p w14:paraId="26A6C121" w14:textId="77777777" w:rsidR="0033361B" w:rsidRPr="0096778C" w:rsidRDefault="0033361B" w:rsidP="00D33D7D">
            <w:r w:rsidRPr="0096778C">
              <w:rPr>
                <w:sz w:val="20"/>
                <w:szCs w:val="20"/>
                <w:lang w:val="en-US"/>
              </w:rPr>
              <w:t>Cemar sedang</w:t>
            </w:r>
          </w:p>
        </w:tc>
      </w:tr>
      <w:tr w:rsidR="0033361B" w14:paraId="7AE340AC" w14:textId="77777777" w:rsidTr="00D86574">
        <w:tc>
          <w:tcPr>
            <w:tcW w:w="1154" w:type="dxa"/>
            <w:vMerge/>
          </w:tcPr>
          <w:p w14:paraId="0589A8B9" w14:textId="77777777" w:rsidR="0033361B" w:rsidRPr="0096778C" w:rsidRDefault="0033361B" w:rsidP="00D33D7D">
            <w:pPr>
              <w:jc w:val="both"/>
              <w:rPr>
                <w:sz w:val="20"/>
                <w:szCs w:val="20"/>
                <w:lang w:val="en-US"/>
              </w:rPr>
            </w:pPr>
          </w:p>
        </w:tc>
        <w:tc>
          <w:tcPr>
            <w:tcW w:w="965" w:type="dxa"/>
            <w:vAlign w:val="center"/>
          </w:tcPr>
          <w:p w14:paraId="0D1A70DD" w14:textId="77777777" w:rsidR="0033361B" w:rsidRPr="0096778C" w:rsidRDefault="0033361B" w:rsidP="00D33D7D">
            <w:pPr>
              <w:jc w:val="center"/>
              <w:rPr>
                <w:sz w:val="20"/>
                <w:szCs w:val="20"/>
                <w:lang w:val="en-US"/>
              </w:rPr>
            </w:pPr>
            <w:r w:rsidRPr="0096778C">
              <w:rPr>
                <w:sz w:val="20"/>
                <w:szCs w:val="20"/>
                <w:lang w:val="en-US"/>
              </w:rPr>
              <w:t>B</w:t>
            </w:r>
          </w:p>
        </w:tc>
        <w:tc>
          <w:tcPr>
            <w:tcW w:w="974" w:type="dxa"/>
            <w:vAlign w:val="center"/>
          </w:tcPr>
          <w:p w14:paraId="4A6895D7" w14:textId="77777777" w:rsidR="0033361B" w:rsidRPr="0096778C" w:rsidRDefault="0033361B" w:rsidP="00D33D7D">
            <w:pPr>
              <w:jc w:val="center"/>
              <w:rPr>
                <w:sz w:val="20"/>
                <w:szCs w:val="20"/>
                <w:lang w:val="en-US"/>
              </w:rPr>
            </w:pPr>
            <w:r w:rsidRPr="0096778C">
              <w:rPr>
                <w:sz w:val="20"/>
                <w:szCs w:val="20"/>
                <w:lang w:val="en-US"/>
              </w:rPr>
              <w:t>8,755</w:t>
            </w:r>
          </w:p>
        </w:tc>
        <w:tc>
          <w:tcPr>
            <w:tcW w:w="1695" w:type="dxa"/>
          </w:tcPr>
          <w:p w14:paraId="294944DB" w14:textId="77777777" w:rsidR="0033361B" w:rsidRPr="0096778C" w:rsidRDefault="0033361B" w:rsidP="00D33D7D">
            <w:r w:rsidRPr="0096778C">
              <w:rPr>
                <w:sz w:val="20"/>
                <w:szCs w:val="20"/>
                <w:lang w:val="en-US"/>
              </w:rPr>
              <w:t>Cemar sedang</w:t>
            </w:r>
          </w:p>
        </w:tc>
      </w:tr>
      <w:tr w:rsidR="0033361B" w14:paraId="53BD70D5" w14:textId="77777777" w:rsidTr="00D86574">
        <w:tc>
          <w:tcPr>
            <w:tcW w:w="1154" w:type="dxa"/>
            <w:vMerge/>
          </w:tcPr>
          <w:p w14:paraId="7B3512BF" w14:textId="77777777" w:rsidR="0033361B" w:rsidRPr="0096778C" w:rsidRDefault="0033361B" w:rsidP="00D33D7D">
            <w:pPr>
              <w:jc w:val="both"/>
              <w:rPr>
                <w:sz w:val="20"/>
                <w:szCs w:val="20"/>
                <w:lang w:val="en-US"/>
              </w:rPr>
            </w:pPr>
          </w:p>
        </w:tc>
        <w:tc>
          <w:tcPr>
            <w:tcW w:w="965" w:type="dxa"/>
            <w:vAlign w:val="center"/>
          </w:tcPr>
          <w:p w14:paraId="3E1D2ACA" w14:textId="77777777" w:rsidR="0033361B" w:rsidRPr="0096778C" w:rsidRDefault="0033361B" w:rsidP="00D33D7D">
            <w:pPr>
              <w:jc w:val="center"/>
              <w:rPr>
                <w:sz w:val="20"/>
                <w:szCs w:val="20"/>
                <w:lang w:val="en-US"/>
              </w:rPr>
            </w:pPr>
            <w:r w:rsidRPr="0096778C">
              <w:rPr>
                <w:sz w:val="20"/>
                <w:szCs w:val="20"/>
                <w:lang w:val="en-US"/>
              </w:rPr>
              <w:t>C</w:t>
            </w:r>
          </w:p>
        </w:tc>
        <w:tc>
          <w:tcPr>
            <w:tcW w:w="974" w:type="dxa"/>
            <w:vAlign w:val="center"/>
          </w:tcPr>
          <w:p w14:paraId="7FFF5588" w14:textId="77777777" w:rsidR="0033361B" w:rsidRPr="0096778C" w:rsidRDefault="0033361B" w:rsidP="00D33D7D">
            <w:pPr>
              <w:jc w:val="center"/>
              <w:rPr>
                <w:sz w:val="20"/>
                <w:szCs w:val="20"/>
                <w:lang w:val="en-US"/>
              </w:rPr>
            </w:pPr>
            <w:r w:rsidRPr="0096778C">
              <w:rPr>
                <w:sz w:val="20"/>
                <w:szCs w:val="20"/>
                <w:lang w:val="en-US"/>
              </w:rPr>
              <w:t>8,782</w:t>
            </w:r>
          </w:p>
        </w:tc>
        <w:tc>
          <w:tcPr>
            <w:tcW w:w="1695" w:type="dxa"/>
          </w:tcPr>
          <w:p w14:paraId="01812D8F" w14:textId="77777777" w:rsidR="0033361B" w:rsidRPr="0096778C" w:rsidRDefault="0033361B" w:rsidP="00D33D7D">
            <w:r w:rsidRPr="0096778C">
              <w:rPr>
                <w:sz w:val="20"/>
                <w:szCs w:val="20"/>
                <w:lang w:val="en-US"/>
              </w:rPr>
              <w:t>Cemar sedang</w:t>
            </w:r>
          </w:p>
        </w:tc>
      </w:tr>
    </w:tbl>
    <w:p w14:paraId="259E89D4" w14:textId="77777777" w:rsidR="00D86574" w:rsidRDefault="00D86574" w:rsidP="00D33D7D">
      <w:pPr>
        <w:ind w:firstLine="720"/>
        <w:jc w:val="both"/>
        <w:rPr>
          <w:color w:val="0D0D0D" w:themeColor="text1" w:themeTint="F2"/>
          <w:sz w:val="20"/>
          <w:szCs w:val="20"/>
        </w:rPr>
      </w:pPr>
    </w:p>
    <w:p w14:paraId="4E1A3EEA" w14:textId="77777777" w:rsidR="00F8052C" w:rsidRDefault="00D86574" w:rsidP="00D33D7D">
      <w:pPr>
        <w:ind w:left="220" w:firstLine="720"/>
        <w:jc w:val="both"/>
        <w:rPr>
          <w:rFonts w:eastAsiaTheme="minorEastAsia"/>
          <w:sz w:val="20"/>
          <w:szCs w:val="20"/>
          <w:lang w:val="en-US"/>
        </w:rPr>
      </w:pPr>
      <w:r w:rsidRPr="00D86574">
        <w:rPr>
          <w:color w:val="0D0D0D" w:themeColor="text1" w:themeTint="F2"/>
          <w:sz w:val="20"/>
          <w:szCs w:val="20"/>
        </w:rPr>
        <w:t xml:space="preserve">Berdasarkan hasil evaluasi status mutu air dengan menggunakan metode Indeks Pencemaran dapat diketahui pada stasiun A, B dan C baik sampling pertama dan kedua menunjukkan bahwa Pantai Wates masuk ke dalam kategori tercemar sedang. Hal tersebut dikarenakan hasil perhitungan Indeks Pencemaran pada sampling pertama didapatkan nilai sebesar 7,17 dan 8,67 pada sampling kedua apabila dibandingkan dengan kriteria Indeks Pencemaran maka masuk kedalam kriteria tercemar sedang dengan kisaran nilai </w:t>
      </w:r>
      <w:r w:rsidRPr="00D86574">
        <w:rPr>
          <w:rFonts w:eastAsiaTheme="minorEastAsia"/>
          <w:sz w:val="20"/>
          <w:szCs w:val="20"/>
        </w:rPr>
        <w:t>5,0 ≤ PIj ≤10.</w:t>
      </w:r>
      <w:r w:rsidR="00F8052C">
        <w:rPr>
          <w:rFonts w:eastAsiaTheme="minorEastAsia"/>
          <w:sz w:val="20"/>
          <w:szCs w:val="20"/>
          <w:lang w:val="en-US"/>
        </w:rPr>
        <w:t xml:space="preserve"> </w:t>
      </w:r>
    </w:p>
    <w:p w14:paraId="5FEC79FD" w14:textId="77777777" w:rsidR="00F8052C" w:rsidRDefault="00F8052C" w:rsidP="00D33D7D">
      <w:pPr>
        <w:ind w:left="220" w:firstLine="720"/>
        <w:jc w:val="both"/>
        <w:rPr>
          <w:rFonts w:eastAsiaTheme="minorEastAsia"/>
          <w:sz w:val="20"/>
          <w:szCs w:val="20"/>
          <w:lang w:val="en-US"/>
        </w:rPr>
      </w:pPr>
    </w:p>
    <w:p w14:paraId="0E10B6BB" w14:textId="77777777" w:rsidR="00F8052C" w:rsidRDefault="00F8052C" w:rsidP="00D33D7D">
      <w:pPr>
        <w:ind w:left="220" w:firstLine="720"/>
        <w:jc w:val="both"/>
        <w:rPr>
          <w:color w:val="0D0D0D" w:themeColor="text1" w:themeTint="F2"/>
          <w:sz w:val="20"/>
          <w:szCs w:val="20"/>
        </w:rPr>
      </w:pPr>
      <w:r w:rsidRPr="00F8052C">
        <w:rPr>
          <w:color w:val="0D0D0D" w:themeColor="text1" w:themeTint="F2"/>
          <w:sz w:val="20"/>
          <w:szCs w:val="20"/>
        </w:rPr>
        <w:t xml:space="preserve">Hal tersebut menunjukkan bahwa tingginya limbah yang masuk ke dalam perairan Pantai Wates yang disebabkan karena industri perikanan. Pembuangan limbah cair tanpa dilakukan pengolahan dapat memperburuk kualitas air akibatnya kandungan bahan organik di perairan Pantai Wates menjadi tinggi sehingga perairan Pantai Wates menjadi tercemar </w:t>
      </w:r>
      <w:r w:rsidRPr="00F8052C">
        <w:rPr>
          <w:color w:val="0D0D0D" w:themeColor="text1" w:themeTint="F2"/>
          <w:sz w:val="20"/>
          <w:szCs w:val="20"/>
        </w:rPr>
        <w:lastRenderedPageBreak/>
        <w:t xml:space="preserve">sedang. Hal ini diperburuk dengan banyaknya sampah sisa produksi industri perikanan maupun sampah yang berasal dari masyarakat yang menumpuk di sepanjang pantai. Penumpukan sampah di sepanjang bibir pantai mampu mengurangi estetika Pantai Wates yang merupakan salah satu tempat wisata bahari yang ada di Kabupaten Rembang. Konsep wisata didasarkan pada pemandangan dan keindahan alam. Menurut Tanto </w:t>
      </w:r>
      <w:r w:rsidR="00D55F3B">
        <w:rPr>
          <w:i/>
          <w:color w:val="0D0D0D" w:themeColor="text1" w:themeTint="F2"/>
          <w:sz w:val="20"/>
          <w:szCs w:val="20"/>
        </w:rPr>
        <w:t>et al.,</w:t>
      </w:r>
      <w:r w:rsidRPr="00F8052C">
        <w:rPr>
          <w:color w:val="0D0D0D" w:themeColor="text1" w:themeTint="F2"/>
          <w:sz w:val="20"/>
          <w:szCs w:val="20"/>
        </w:rPr>
        <w:t xml:space="preserve"> (2018), wisata bahari merupakan kegiatan wisata yang mengutamakan sumber daya bawah air dan dinamika air laut. Hal tersebut</w:t>
      </w:r>
      <w:r>
        <w:rPr>
          <w:color w:val="0D0D0D" w:themeColor="text1" w:themeTint="F2"/>
          <w:sz w:val="20"/>
          <w:szCs w:val="20"/>
          <w:lang w:val="en-US"/>
        </w:rPr>
        <w:t xml:space="preserve"> menunjukkan bahwa</w:t>
      </w:r>
      <w:r w:rsidRPr="00F8052C">
        <w:rPr>
          <w:color w:val="0D0D0D" w:themeColor="text1" w:themeTint="F2"/>
          <w:sz w:val="20"/>
          <w:szCs w:val="20"/>
        </w:rPr>
        <w:t xml:space="preserve"> kondisi kualitas air berkaitan erat dengan banyaknya jumlah pengunjung. Konsep wisata bahari harus didukung dengan kondisi lingkungan yang aman, sehat dan layak sehingga pengunjung dapat menikmati. Apabila kondisi perairan sudah tercemar sedang maka dapat mengurangi jumlah pengunjung karena keindahan alam dan biota laut sudah rusak ditambah dengan kondisi lingkungan yang tidak sehat. </w:t>
      </w:r>
    </w:p>
    <w:p w14:paraId="323ED2EA" w14:textId="77777777" w:rsidR="00F8052C" w:rsidRDefault="00F8052C" w:rsidP="00D33D7D">
      <w:pPr>
        <w:ind w:left="220" w:firstLine="720"/>
        <w:jc w:val="both"/>
        <w:rPr>
          <w:color w:val="0D0D0D" w:themeColor="text1" w:themeTint="F2"/>
          <w:sz w:val="20"/>
          <w:szCs w:val="20"/>
        </w:rPr>
      </w:pPr>
    </w:p>
    <w:p w14:paraId="2F2E3094" w14:textId="77777777" w:rsidR="00F8052C" w:rsidRDefault="00F8052C" w:rsidP="00D33D7D">
      <w:pPr>
        <w:ind w:left="220"/>
        <w:jc w:val="both"/>
        <w:rPr>
          <w:b/>
          <w:color w:val="0D0D0D" w:themeColor="text1" w:themeTint="F2"/>
          <w:sz w:val="20"/>
          <w:szCs w:val="20"/>
          <w:lang w:val="en-US"/>
        </w:rPr>
      </w:pPr>
      <w:r w:rsidRPr="00F8052C">
        <w:rPr>
          <w:b/>
          <w:color w:val="0D0D0D" w:themeColor="text1" w:themeTint="F2"/>
          <w:sz w:val="20"/>
          <w:szCs w:val="20"/>
          <w:lang w:val="en-US"/>
        </w:rPr>
        <w:t>Analisis Rasio BOD/COD</w:t>
      </w:r>
    </w:p>
    <w:p w14:paraId="1A0A61E1" w14:textId="77777777" w:rsidR="001311EC" w:rsidRDefault="001311EC" w:rsidP="00D33D7D">
      <w:pPr>
        <w:ind w:left="220" w:firstLine="720"/>
        <w:jc w:val="both"/>
        <w:rPr>
          <w:rFonts w:eastAsiaTheme="minorEastAsia"/>
          <w:sz w:val="20"/>
          <w:szCs w:val="20"/>
        </w:rPr>
      </w:pPr>
      <w:r w:rsidRPr="001311EC">
        <w:rPr>
          <w:rFonts w:eastAsiaTheme="minorEastAsia"/>
          <w:sz w:val="20"/>
          <w:szCs w:val="20"/>
        </w:rPr>
        <w:t>Analisis rasio BOD/COD menggunakan variabel BOD dan COD sebagai variabel utama. Analisis ini berfungsi untuk mengetahui besarnya bahan organik dalam suatu perairan.  Hasil analisis rasio BOD/COD berdasarkan pengukuran di perairan Pan</w:t>
      </w:r>
      <w:r>
        <w:rPr>
          <w:rFonts w:eastAsiaTheme="minorEastAsia"/>
          <w:sz w:val="20"/>
          <w:szCs w:val="20"/>
        </w:rPr>
        <w:t xml:space="preserve">tai Wates disajikan pada </w:t>
      </w:r>
      <w:r>
        <w:rPr>
          <w:rFonts w:eastAsiaTheme="minorEastAsia"/>
          <w:sz w:val="20"/>
          <w:szCs w:val="20"/>
          <w:lang w:val="en-US"/>
        </w:rPr>
        <w:t>T</w:t>
      </w:r>
      <w:r>
        <w:rPr>
          <w:rFonts w:eastAsiaTheme="minorEastAsia"/>
          <w:sz w:val="20"/>
          <w:szCs w:val="20"/>
        </w:rPr>
        <w:t>abel 5</w:t>
      </w:r>
      <w:r w:rsidRPr="001311EC">
        <w:rPr>
          <w:rFonts w:eastAsiaTheme="minorEastAsia"/>
          <w:sz w:val="20"/>
          <w:szCs w:val="20"/>
        </w:rPr>
        <w:t>.</w:t>
      </w:r>
    </w:p>
    <w:p w14:paraId="1B59AC7D" w14:textId="77777777" w:rsidR="001311EC" w:rsidRDefault="001311EC" w:rsidP="00D33D7D">
      <w:pPr>
        <w:ind w:left="220" w:firstLine="720"/>
        <w:jc w:val="both"/>
        <w:rPr>
          <w:rFonts w:eastAsiaTheme="minorEastAsia"/>
          <w:sz w:val="20"/>
          <w:szCs w:val="20"/>
        </w:rPr>
      </w:pPr>
    </w:p>
    <w:p w14:paraId="5A3AF048" w14:textId="77777777" w:rsidR="001311EC" w:rsidRPr="00C74738" w:rsidRDefault="001311EC" w:rsidP="00D33D7D">
      <w:pPr>
        <w:ind w:left="1100" w:hanging="880"/>
        <w:jc w:val="both"/>
        <w:rPr>
          <w:color w:val="0D0D0D" w:themeColor="text1" w:themeTint="F2"/>
          <w:sz w:val="20"/>
          <w:szCs w:val="20"/>
          <w:lang w:val="en-US"/>
        </w:rPr>
      </w:pPr>
      <w:r w:rsidRPr="00F032A8">
        <w:rPr>
          <w:b/>
          <w:color w:val="0D0D0D" w:themeColor="text1" w:themeTint="F2"/>
          <w:sz w:val="20"/>
          <w:szCs w:val="20"/>
          <w:lang w:val="en-US"/>
        </w:rPr>
        <w:t xml:space="preserve">Tabel </w:t>
      </w:r>
      <w:r>
        <w:rPr>
          <w:b/>
          <w:color w:val="0D0D0D" w:themeColor="text1" w:themeTint="F2"/>
          <w:sz w:val="20"/>
          <w:szCs w:val="20"/>
          <w:lang w:val="en-US"/>
        </w:rPr>
        <w:t>5</w:t>
      </w:r>
      <w:r>
        <w:rPr>
          <w:color w:val="0D0D0D" w:themeColor="text1" w:themeTint="F2"/>
          <w:sz w:val="20"/>
          <w:szCs w:val="20"/>
          <w:lang w:val="en-US"/>
        </w:rPr>
        <w:t>. Analisis Rasio BOD/COD di Perairan Pantai Wates</w:t>
      </w:r>
    </w:p>
    <w:tbl>
      <w:tblPr>
        <w:tblStyle w:val="TableGrid"/>
        <w:tblW w:w="4802" w:type="dxa"/>
        <w:tblInd w:w="221" w:type="dxa"/>
        <w:tblBorders>
          <w:left w:val="none" w:sz="0" w:space="0" w:color="auto"/>
          <w:right w:val="none" w:sz="0" w:space="0" w:color="auto"/>
          <w:insideV w:val="none" w:sz="0" w:space="0" w:color="auto"/>
        </w:tblBorders>
        <w:tblLook w:val="04A0" w:firstRow="1" w:lastRow="0" w:firstColumn="1" w:lastColumn="0" w:noHBand="0" w:noVBand="1"/>
      </w:tblPr>
      <w:tblGrid>
        <w:gridCol w:w="1154"/>
        <w:gridCol w:w="965"/>
        <w:gridCol w:w="1214"/>
        <w:gridCol w:w="1469"/>
      </w:tblGrid>
      <w:tr w:rsidR="001311EC" w14:paraId="5072EE6C" w14:textId="77777777" w:rsidTr="001311EC">
        <w:tc>
          <w:tcPr>
            <w:tcW w:w="1154" w:type="dxa"/>
            <w:vAlign w:val="center"/>
          </w:tcPr>
          <w:p w14:paraId="2220CED4" w14:textId="77777777" w:rsidR="001311EC" w:rsidRDefault="001311EC" w:rsidP="00D33D7D">
            <w:pPr>
              <w:jc w:val="center"/>
              <w:rPr>
                <w:b/>
                <w:sz w:val="20"/>
                <w:szCs w:val="20"/>
                <w:lang w:val="en-US"/>
              </w:rPr>
            </w:pPr>
            <w:r>
              <w:rPr>
                <w:b/>
                <w:sz w:val="20"/>
                <w:szCs w:val="20"/>
                <w:lang w:val="en-US"/>
              </w:rPr>
              <w:t>Sampling</w:t>
            </w:r>
          </w:p>
        </w:tc>
        <w:tc>
          <w:tcPr>
            <w:tcW w:w="965" w:type="dxa"/>
            <w:vAlign w:val="center"/>
          </w:tcPr>
          <w:p w14:paraId="5FAB583B" w14:textId="77777777" w:rsidR="001311EC" w:rsidRDefault="001311EC" w:rsidP="00D33D7D">
            <w:pPr>
              <w:jc w:val="center"/>
              <w:rPr>
                <w:b/>
                <w:sz w:val="20"/>
                <w:szCs w:val="20"/>
                <w:lang w:val="en-US"/>
              </w:rPr>
            </w:pPr>
            <w:r>
              <w:rPr>
                <w:b/>
                <w:sz w:val="20"/>
                <w:szCs w:val="20"/>
                <w:lang w:val="en-US"/>
              </w:rPr>
              <w:t>Stasiun</w:t>
            </w:r>
          </w:p>
        </w:tc>
        <w:tc>
          <w:tcPr>
            <w:tcW w:w="1214" w:type="dxa"/>
            <w:vAlign w:val="center"/>
          </w:tcPr>
          <w:p w14:paraId="4B64B8A2" w14:textId="77777777" w:rsidR="001311EC" w:rsidRDefault="001311EC" w:rsidP="00D33D7D">
            <w:pPr>
              <w:jc w:val="center"/>
              <w:rPr>
                <w:b/>
                <w:sz w:val="20"/>
                <w:szCs w:val="20"/>
                <w:lang w:val="en-US"/>
              </w:rPr>
            </w:pPr>
            <w:r>
              <w:rPr>
                <w:b/>
                <w:sz w:val="20"/>
                <w:szCs w:val="20"/>
                <w:lang w:val="en-US"/>
              </w:rPr>
              <w:t>Rasio BOD/COD</w:t>
            </w:r>
          </w:p>
        </w:tc>
        <w:tc>
          <w:tcPr>
            <w:tcW w:w="1469" w:type="dxa"/>
            <w:vAlign w:val="center"/>
          </w:tcPr>
          <w:p w14:paraId="720BF996" w14:textId="77777777" w:rsidR="001311EC" w:rsidRDefault="001311EC" w:rsidP="00D33D7D">
            <w:pPr>
              <w:jc w:val="center"/>
              <w:rPr>
                <w:b/>
                <w:sz w:val="20"/>
                <w:szCs w:val="20"/>
                <w:lang w:val="en-US"/>
              </w:rPr>
            </w:pPr>
            <w:r>
              <w:rPr>
                <w:b/>
                <w:sz w:val="20"/>
                <w:szCs w:val="20"/>
                <w:lang w:val="en-US"/>
              </w:rPr>
              <w:t>Kategori</w:t>
            </w:r>
          </w:p>
        </w:tc>
      </w:tr>
      <w:tr w:rsidR="001311EC" w14:paraId="1B3DD220" w14:textId="77777777" w:rsidTr="001311EC">
        <w:tc>
          <w:tcPr>
            <w:tcW w:w="1154" w:type="dxa"/>
            <w:vMerge w:val="restart"/>
            <w:vAlign w:val="center"/>
          </w:tcPr>
          <w:p w14:paraId="643173AF" w14:textId="77777777" w:rsidR="001311EC" w:rsidRPr="0096778C" w:rsidRDefault="001311EC" w:rsidP="00D33D7D">
            <w:pPr>
              <w:jc w:val="center"/>
              <w:rPr>
                <w:sz w:val="20"/>
                <w:szCs w:val="20"/>
                <w:lang w:val="en-US"/>
              </w:rPr>
            </w:pPr>
            <w:r w:rsidRPr="0096778C">
              <w:rPr>
                <w:sz w:val="20"/>
                <w:szCs w:val="20"/>
                <w:lang w:val="en-US"/>
              </w:rPr>
              <w:t>1</w:t>
            </w:r>
          </w:p>
        </w:tc>
        <w:tc>
          <w:tcPr>
            <w:tcW w:w="965" w:type="dxa"/>
            <w:vAlign w:val="center"/>
          </w:tcPr>
          <w:p w14:paraId="582FE13B" w14:textId="77777777" w:rsidR="001311EC" w:rsidRPr="0096778C" w:rsidRDefault="001311EC" w:rsidP="00D33D7D">
            <w:pPr>
              <w:jc w:val="center"/>
              <w:rPr>
                <w:sz w:val="20"/>
                <w:szCs w:val="20"/>
                <w:lang w:val="en-US"/>
              </w:rPr>
            </w:pPr>
            <w:r w:rsidRPr="0096778C">
              <w:rPr>
                <w:sz w:val="20"/>
                <w:szCs w:val="20"/>
                <w:lang w:val="en-US"/>
              </w:rPr>
              <w:t>A</w:t>
            </w:r>
          </w:p>
        </w:tc>
        <w:tc>
          <w:tcPr>
            <w:tcW w:w="1214" w:type="dxa"/>
            <w:vAlign w:val="center"/>
          </w:tcPr>
          <w:p w14:paraId="3FE07A69" w14:textId="77777777" w:rsidR="001311EC" w:rsidRPr="0096778C" w:rsidRDefault="001311EC" w:rsidP="00D33D7D">
            <w:pPr>
              <w:jc w:val="center"/>
              <w:rPr>
                <w:sz w:val="20"/>
                <w:szCs w:val="20"/>
                <w:lang w:val="en-US"/>
              </w:rPr>
            </w:pPr>
            <w:r>
              <w:rPr>
                <w:sz w:val="20"/>
                <w:szCs w:val="20"/>
                <w:lang w:val="en-US"/>
              </w:rPr>
              <w:t>0,310</w:t>
            </w:r>
          </w:p>
        </w:tc>
        <w:tc>
          <w:tcPr>
            <w:tcW w:w="1469" w:type="dxa"/>
          </w:tcPr>
          <w:p w14:paraId="21C4F027"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r w:rsidR="001311EC" w14:paraId="324C40B1" w14:textId="77777777" w:rsidTr="001311EC">
        <w:tc>
          <w:tcPr>
            <w:tcW w:w="1154" w:type="dxa"/>
            <w:vMerge/>
            <w:vAlign w:val="center"/>
          </w:tcPr>
          <w:p w14:paraId="2DB2D3D1" w14:textId="77777777" w:rsidR="001311EC" w:rsidRPr="0096778C" w:rsidRDefault="001311EC" w:rsidP="00D33D7D">
            <w:pPr>
              <w:jc w:val="center"/>
              <w:rPr>
                <w:sz w:val="20"/>
                <w:szCs w:val="20"/>
                <w:lang w:val="en-US"/>
              </w:rPr>
            </w:pPr>
          </w:p>
        </w:tc>
        <w:tc>
          <w:tcPr>
            <w:tcW w:w="965" w:type="dxa"/>
            <w:vAlign w:val="center"/>
          </w:tcPr>
          <w:p w14:paraId="4074C9A0" w14:textId="77777777" w:rsidR="001311EC" w:rsidRPr="0096778C" w:rsidRDefault="001311EC" w:rsidP="00D33D7D">
            <w:pPr>
              <w:jc w:val="center"/>
              <w:rPr>
                <w:sz w:val="20"/>
                <w:szCs w:val="20"/>
                <w:lang w:val="en-US"/>
              </w:rPr>
            </w:pPr>
            <w:r w:rsidRPr="0096778C">
              <w:rPr>
                <w:sz w:val="20"/>
                <w:szCs w:val="20"/>
                <w:lang w:val="en-US"/>
              </w:rPr>
              <w:t>B</w:t>
            </w:r>
          </w:p>
        </w:tc>
        <w:tc>
          <w:tcPr>
            <w:tcW w:w="1214" w:type="dxa"/>
            <w:vAlign w:val="center"/>
          </w:tcPr>
          <w:p w14:paraId="5B67CAA7" w14:textId="77777777" w:rsidR="001311EC" w:rsidRDefault="001311EC" w:rsidP="00D33D7D">
            <w:pPr>
              <w:jc w:val="center"/>
            </w:pPr>
            <w:r w:rsidRPr="005A2C44">
              <w:rPr>
                <w:sz w:val="20"/>
                <w:szCs w:val="20"/>
                <w:lang w:val="en-US"/>
              </w:rPr>
              <w:t>0,310</w:t>
            </w:r>
          </w:p>
        </w:tc>
        <w:tc>
          <w:tcPr>
            <w:tcW w:w="1469" w:type="dxa"/>
          </w:tcPr>
          <w:p w14:paraId="37D6461B"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r w:rsidR="001311EC" w14:paraId="6F372E5A" w14:textId="77777777" w:rsidTr="001311EC">
        <w:tc>
          <w:tcPr>
            <w:tcW w:w="1154" w:type="dxa"/>
            <w:vMerge/>
            <w:vAlign w:val="center"/>
          </w:tcPr>
          <w:p w14:paraId="325A99B2" w14:textId="77777777" w:rsidR="001311EC" w:rsidRPr="0096778C" w:rsidRDefault="001311EC" w:rsidP="00D33D7D">
            <w:pPr>
              <w:jc w:val="center"/>
              <w:rPr>
                <w:sz w:val="20"/>
                <w:szCs w:val="20"/>
                <w:lang w:val="en-US"/>
              </w:rPr>
            </w:pPr>
          </w:p>
        </w:tc>
        <w:tc>
          <w:tcPr>
            <w:tcW w:w="965" w:type="dxa"/>
            <w:vAlign w:val="center"/>
          </w:tcPr>
          <w:p w14:paraId="58C721DF" w14:textId="77777777" w:rsidR="001311EC" w:rsidRPr="0096778C" w:rsidRDefault="001311EC" w:rsidP="00D33D7D">
            <w:pPr>
              <w:jc w:val="center"/>
              <w:rPr>
                <w:sz w:val="20"/>
                <w:szCs w:val="20"/>
                <w:lang w:val="en-US"/>
              </w:rPr>
            </w:pPr>
            <w:r w:rsidRPr="0096778C">
              <w:rPr>
                <w:sz w:val="20"/>
                <w:szCs w:val="20"/>
                <w:lang w:val="en-US"/>
              </w:rPr>
              <w:t>C</w:t>
            </w:r>
          </w:p>
        </w:tc>
        <w:tc>
          <w:tcPr>
            <w:tcW w:w="1214" w:type="dxa"/>
            <w:vAlign w:val="center"/>
          </w:tcPr>
          <w:p w14:paraId="6A6B4A8A" w14:textId="77777777" w:rsidR="001311EC" w:rsidRDefault="001311EC" w:rsidP="00D33D7D">
            <w:pPr>
              <w:jc w:val="center"/>
            </w:pPr>
            <w:r w:rsidRPr="005A2C44">
              <w:rPr>
                <w:sz w:val="20"/>
                <w:szCs w:val="20"/>
                <w:lang w:val="en-US"/>
              </w:rPr>
              <w:t>0,310</w:t>
            </w:r>
          </w:p>
        </w:tc>
        <w:tc>
          <w:tcPr>
            <w:tcW w:w="1469" w:type="dxa"/>
          </w:tcPr>
          <w:p w14:paraId="31178ADE"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r w:rsidR="001311EC" w14:paraId="0829355F" w14:textId="77777777" w:rsidTr="001311EC">
        <w:tc>
          <w:tcPr>
            <w:tcW w:w="1154" w:type="dxa"/>
            <w:vMerge w:val="restart"/>
            <w:vAlign w:val="center"/>
          </w:tcPr>
          <w:p w14:paraId="32FA2C61" w14:textId="77777777" w:rsidR="001311EC" w:rsidRPr="0096778C" w:rsidRDefault="001311EC" w:rsidP="00D33D7D">
            <w:pPr>
              <w:jc w:val="center"/>
              <w:rPr>
                <w:sz w:val="20"/>
                <w:szCs w:val="20"/>
                <w:lang w:val="en-US"/>
              </w:rPr>
            </w:pPr>
            <w:r w:rsidRPr="0096778C">
              <w:rPr>
                <w:sz w:val="20"/>
                <w:szCs w:val="20"/>
                <w:lang w:val="en-US"/>
              </w:rPr>
              <w:t>2</w:t>
            </w:r>
          </w:p>
        </w:tc>
        <w:tc>
          <w:tcPr>
            <w:tcW w:w="965" w:type="dxa"/>
            <w:vAlign w:val="center"/>
          </w:tcPr>
          <w:p w14:paraId="42855E7A" w14:textId="77777777" w:rsidR="001311EC" w:rsidRPr="0096778C" w:rsidRDefault="001311EC" w:rsidP="00D33D7D">
            <w:pPr>
              <w:jc w:val="center"/>
              <w:rPr>
                <w:sz w:val="20"/>
                <w:szCs w:val="20"/>
                <w:lang w:val="en-US"/>
              </w:rPr>
            </w:pPr>
            <w:r w:rsidRPr="0096778C">
              <w:rPr>
                <w:sz w:val="20"/>
                <w:szCs w:val="20"/>
                <w:lang w:val="en-US"/>
              </w:rPr>
              <w:t>A</w:t>
            </w:r>
          </w:p>
        </w:tc>
        <w:tc>
          <w:tcPr>
            <w:tcW w:w="1214" w:type="dxa"/>
            <w:vAlign w:val="center"/>
          </w:tcPr>
          <w:p w14:paraId="118654FA" w14:textId="77777777" w:rsidR="001311EC" w:rsidRDefault="001311EC" w:rsidP="00D33D7D">
            <w:pPr>
              <w:jc w:val="center"/>
            </w:pPr>
            <w:r w:rsidRPr="005A2C44">
              <w:rPr>
                <w:sz w:val="20"/>
                <w:szCs w:val="20"/>
                <w:lang w:val="en-US"/>
              </w:rPr>
              <w:t>0,310</w:t>
            </w:r>
          </w:p>
        </w:tc>
        <w:tc>
          <w:tcPr>
            <w:tcW w:w="1469" w:type="dxa"/>
          </w:tcPr>
          <w:p w14:paraId="6976A873"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r w:rsidR="001311EC" w14:paraId="033141A0" w14:textId="77777777" w:rsidTr="001311EC">
        <w:tc>
          <w:tcPr>
            <w:tcW w:w="1154" w:type="dxa"/>
            <w:vMerge/>
          </w:tcPr>
          <w:p w14:paraId="2FF13F13" w14:textId="77777777" w:rsidR="001311EC" w:rsidRPr="0096778C" w:rsidRDefault="001311EC" w:rsidP="00D33D7D">
            <w:pPr>
              <w:jc w:val="both"/>
              <w:rPr>
                <w:sz w:val="20"/>
                <w:szCs w:val="20"/>
                <w:lang w:val="en-US"/>
              </w:rPr>
            </w:pPr>
          </w:p>
        </w:tc>
        <w:tc>
          <w:tcPr>
            <w:tcW w:w="965" w:type="dxa"/>
            <w:vAlign w:val="center"/>
          </w:tcPr>
          <w:p w14:paraId="550D9345" w14:textId="77777777" w:rsidR="001311EC" w:rsidRPr="0096778C" w:rsidRDefault="001311EC" w:rsidP="00D33D7D">
            <w:pPr>
              <w:jc w:val="center"/>
              <w:rPr>
                <w:sz w:val="20"/>
                <w:szCs w:val="20"/>
                <w:lang w:val="en-US"/>
              </w:rPr>
            </w:pPr>
            <w:r w:rsidRPr="0096778C">
              <w:rPr>
                <w:sz w:val="20"/>
                <w:szCs w:val="20"/>
                <w:lang w:val="en-US"/>
              </w:rPr>
              <w:t>B</w:t>
            </w:r>
          </w:p>
        </w:tc>
        <w:tc>
          <w:tcPr>
            <w:tcW w:w="1214" w:type="dxa"/>
            <w:vAlign w:val="center"/>
          </w:tcPr>
          <w:p w14:paraId="04D78FF8" w14:textId="77777777" w:rsidR="001311EC" w:rsidRDefault="001311EC" w:rsidP="00D33D7D">
            <w:pPr>
              <w:jc w:val="center"/>
            </w:pPr>
            <w:r w:rsidRPr="005A2C44">
              <w:rPr>
                <w:sz w:val="20"/>
                <w:szCs w:val="20"/>
                <w:lang w:val="en-US"/>
              </w:rPr>
              <w:t>0,310</w:t>
            </w:r>
          </w:p>
        </w:tc>
        <w:tc>
          <w:tcPr>
            <w:tcW w:w="1469" w:type="dxa"/>
          </w:tcPr>
          <w:p w14:paraId="5CBABEA9"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r w:rsidR="001311EC" w14:paraId="0D739E06" w14:textId="77777777" w:rsidTr="001311EC">
        <w:tc>
          <w:tcPr>
            <w:tcW w:w="1154" w:type="dxa"/>
            <w:vMerge/>
          </w:tcPr>
          <w:p w14:paraId="13AF3DA4" w14:textId="77777777" w:rsidR="001311EC" w:rsidRPr="0096778C" w:rsidRDefault="001311EC" w:rsidP="00D33D7D">
            <w:pPr>
              <w:jc w:val="both"/>
              <w:rPr>
                <w:sz w:val="20"/>
                <w:szCs w:val="20"/>
                <w:lang w:val="en-US"/>
              </w:rPr>
            </w:pPr>
          </w:p>
        </w:tc>
        <w:tc>
          <w:tcPr>
            <w:tcW w:w="965" w:type="dxa"/>
            <w:vAlign w:val="center"/>
          </w:tcPr>
          <w:p w14:paraId="44DC7DFE" w14:textId="77777777" w:rsidR="001311EC" w:rsidRPr="0096778C" w:rsidRDefault="001311EC" w:rsidP="00D33D7D">
            <w:pPr>
              <w:jc w:val="center"/>
              <w:rPr>
                <w:sz w:val="20"/>
                <w:szCs w:val="20"/>
                <w:lang w:val="en-US"/>
              </w:rPr>
            </w:pPr>
            <w:r w:rsidRPr="0096778C">
              <w:rPr>
                <w:sz w:val="20"/>
                <w:szCs w:val="20"/>
                <w:lang w:val="en-US"/>
              </w:rPr>
              <w:t>C</w:t>
            </w:r>
          </w:p>
        </w:tc>
        <w:tc>
          <w:tcPr>
            <w:tcW w:w="1214" w:type="dxa"/>
            <w:vAlign w:val="center"/>
          </w:tcPr>
          <w:p w14:paraId="59DA59B4" w14:textId="77777777" w:rsidR="001311EC" w:rsidRDefault="001311EC" w:rsidP="00D33D7D">
            <w:pPr>
              <w:jc w:val="center"/>
            </w:pPr>
            <w:r w:rsidRPr="005A2C44">
              <w:rPr>
                <w:sz w:val="20"/>
                <w:szCs w:val="20"/>
                <w:lang w:val="en-US"/>
              </w:rPr>
              <w:t>0,310</w:t>
            </w:r>
          </w:p>
        </w:tc>
        <w:tc>
          <w:tcPr>
            <w:tcW w:w="1469" w:type="dxa"/>
          </w:tcPr>
          <w:p w14:paraId="28B045D4" w14:textId="77777777" w:rsidR="001311EC" w:rsidRPr="0096778C" w:rsidRDefault="001311EC" w:rsidP="00D33D7D">
            <w:pPr>
              <w:jc w:val="both"/>
              <w:rPr>
                <w:sz w:val="20"/>
                <w:szCs w:val="20"/>
                <w:lang w:val="en-US"/>
              </w:rPr>
            </w:pPr>
            <w:r w:rsidRPr="00F8052C">
              <w:rPr>
                <w:i/>
                <w:color w:val="0D0D0D" w:themeColor="text1" w:themeTint="F2"/>
                <w:sz w:val="20"/>
                <w:szCs w:val="20"/>
              </w:rPr>
              <w:t>Biodegradable</w:t>
            </w:r>
          </w:p>
        </w:tc>
      </w:tr>
    </w:tbl>
    <w:p w14:paraId="27821503" w14:textId="77777777" w:rsidR="001311EC" w:rsidRPr="00F8052C" w:rsidRDefault="001311EC" w:rsidP="00D33D7D">
      <w:pPr>
        <w:jc w:val="both"/>
        <w:rPr>
          <w:rFonts w:eastAsiaTheme="minorEastAsia"/>
          <w:b/>
          <w:sz w:val="20"/>
          <w:szCs w:val="20"/>
          <w:lang w:val="en-US"/>
        </w:rPr>
      </w:pPr>
    </w:p>
    <w:p w14:paraId="446CDCD8" w14:textId="77777777" w:rsidR="005C564C" w:rsidRDefault="00F8052C" w:rsidP="00D33D7D">
      <w:pPr>
        <w:ind w:left="220" w:firstLine="720"/>
        <w:jc w:val="both"/>
        <w:rPr>
          <w:rFonts w:eastAsiaTheme="minorEastAsia"/>
          <w:sz w:val="20"/>
          <w:szCs w:val="20"/>
        </w:rPr>
      </w:pPr>
      <w:r w:rsidRPr="00F8052C">
        <w:rPr>
          <w:color w:val="0D0D0D" w:themeColor="text1" w:themeTint="F2"/>
          <w:sz w:val="20"/>
          <w:szCs w:val="20"/>
        </w:rPr>
        <w:t>Tingginya bahan organik di perairan memicu tercemarnya perairan Pantai Wates. Kandungan bahan organik yang terdegradasi dapat dihitung dengan rasio BOD/COD sebagai analisis untuk mengetahui output dari bahan organik dari air dan limbah. Berdasarkan analisis rasio BOD/COD yang sudah dilakukan pada sampling pertama dan kedua memiliki nilai rasio BOD/COD sebesar 0,31</w:t>
      </w:r>
      <w:r w:rsidR="005C564C">
        <w:rPr>
          <w:color w:val="0D0D0D" w:themeColor="text1" w:themeTint="F2"/>
          <w:sz w:val="20"/>
          <w:szCs w:val="20"/>
          <w:lang w:val="en-US"/>
        </w:rPr>
        <w:t>0</w:t>
      </w:r>
      <w:r w:rsidRPr="00F8052C">
        <w:rPr>
          <w:color w:val="0D0D0D" w:themeColor="text1" w:themeTint="F2"/>
          <w:sz w:val="20"/>
          <w:szCs w:val="20"/>
        </w:rPr>
        <w:t xml:space="preserve">. Hal tersebut menunjukkan bahwa sumber pencemar pada stasiun A, B dan C bersifat </w:t>
      </w:r>
      <w:r w:rsidRPr="005C564C">
        <w:rPr>
          <w:i/>
          <w:color w:val="0D0D0D" w:themeColor="text1" w:themeTint="F2"/>
          <w:sz w:val="20"/>
          <w:szCs w:val="20"/>
        </w:rPr>
        <w:t>biodegradable</w:t>
      </w:r>
      <w:r w:rsidRPr="00F8052C">
        <w:rPr>
          <w:color w:val="0D0D0D" w:themeColor="text1" w:themeTint="F2"/>
          <w:sz w:val="20"/>
          <w:szCs w:val="20"/>
        </w:rPr>
        <w:t xml:space="preserve"> atau mudah terurai. Rasio BOD/COD berkisar antara 0,2 - 0,5 dapat mendegradasi bahan pencemar secara biologis, tetapi proses dekomposisinya memerlukan waktu yang lama karena mikroorganisme pengurai membutuhkan penyesuaian fisiologi dengan limbah. Proses biodegradasi paling tinggi terjadi pada awal musim penghujan yang secara langsung berhubungan dengan ketersediaan oksigen dalam jumlah besar untuk menguraikan bahan organik (Tamyis, 2015). </w:t>
      </w:r>
    </w:p>
    <w:p w14:paraId="1F61329F" w14:textId="77777777" w:rsidR="001C258B" w:rsidRPr="00A15829" w:rsidRDefault="00F8052C" w:rsidP="00D33D7D">
      <w:pPr>
        <w:ind w:left="220" w:firstLine="720"/>
        <w:jc w:val="both"/>
        <w:rPr>
          <w:sz w:val="20"/>
          <w:szCs w:val="20"/>
          <w:lang w:val="en-US"/>
        </w:rPr>
      </w:pPr>
      <w:r w:rsidRPr="00F8052C">
        <w:rPr>
          <w:color w:val="0D0D0D" w:themeColor="text1" w:themeTint="F2"/>
          <w:sz w:val="20"/>
          <w:szCs w:val="20"/>
        </w:rPr>
        <w:t xml:space="preserve">Melihat kondisi dan analisis status pencemaran pada perairan Pantai Wates maka perlu dilakukan tindakan untuk menjaga keberlanjutan wisata bahari Pantai Wates. Kondisi kualitas air ditunjukkan dari konsentrasi variabel TSS, BOD, COD, </w:t>
      </w:r>
      <w:r w:rsidRPr="00F8052C">
        <w:rPr>
          <w:color w:val="0D0D0D" w:themeColor="text1" w:themeTint="F2"/>
          <w:sz w:val="20"/>
          <w:szCs w:val="20"/>
        </w:rPr>
        <w:lastRenderedPageBreak/>
        <w:t xml:space="preserve">amonia dan minyak lemak yang telah melebihi baku mutu air laut yang ditetapkan PP Nomor 22 Tahun 2021 </w:t>
      </w:r>
      <w:r w:rsidRPr="00F8052C">
        <w:rPr>
          <w:sz w:val="20"/>
          <w:szCs w:val="20"/>
        </w:rPr>
        <w:t xml:space="preserve">tentang Penyelenggaraan Perlindungan dan Pengelolaan Lingkungan Hidup. </w:t>
      </w:r>
      <w:r w:rsidR="001C258B">
        <w:rPr>
          <w:sz w:val="20"/>
          <w:szCs w:val="20"/>
          <w:lang w:val="en-US"/>
        </w:rPr>
        <w:t xml:space="preserve">Status pencemaran Pantai Wates perlu diketahui oleh semua masyarakat, sehingga masyarakat lebih peduli dan menjaga kondisi Pantai Wates, karena Pantai Wates merupakan tempat wisata yang mampu menambah perekonomian masyarakat dan daerah maka dibutuhkan peran pemerintah bersama dengan masyarakat. Adanya instalasi pengolahan limbah yang sesuai dengan prosedur dapat mengurangi tingkat pencemaran di perairan Pantai </w:t>
      </w:r>
      <w:r w:rsidR="001C258B" w:rsidRPr="00A15829">
        <w:rPr>
          <w:sz w:val="20"/>
          <w:szCs w:val="20"/>
          <w:lang w:val="en-US"/>
        </w:rPr>
        <w:t xml:space="preserve">Wates. </w:t>
      </w:r>
    </w:p>
    <w:p w14:paraId="6EDFC3AB" w14:textId="77777777" w:rsidR="001C258B" w:rsidRPr="00A15829" w:rsidRDefault="001C258B" w:rsidP="00D33D7D">
      <w:pPr>
        <w:ind w:left="220" w:firstLine="720"/>
        <w:jc w:val="both"/>
        <w:rPr>
          <w:rFonts w:eastAsiaTheme="minorEastAsia"/>
          <w:sz w:val="20"/>
          <w:szCs w:val="20"/>
          <w:lang w:val="en-US"/>
        </w:rPr>
      </w:pPr>
    </w:p>
    <w:p w14:paraId="19626305" w14:textId="77777777" w:rsidR="00677B47" w:rsidRPr="00A15829" w:rsidRDefault="001C258B" w:rsidP="00D33D7D">
      <w:pPr>
        <w:ind w:left="220"/>
        <w:rPr>
          <w:b/>
          <w:sz w:val="20"/>
          <w:szCs w:val="20"/>
          <w:lang w:val="en-US"/>
        </w:rPr>
      </w:pPr>
      <w:r w:rsidRPr="00A15829">
        <w:rPr>
          <w:b/>
          <w:sz w:val="20"/>
          <w:szCs w:val="20"/>
          <w:lang w:val="en-US"/>
        </w:rPr>
        <w:t xml:space="preserve">KESIMPULAN </w:t>
      </w:r>
    </w:p>
    <w:p w14:paraId="6E7D7FDE" w14:textId="77777777" w:rsidR="00A15829" w:rsidRPr="00A15829" w:rsidRDefault="001C258B" w:rsidP="00D33D7D">
      <w:pPr>
        <w:ind w:left="220" w:firstLine="660"/>
        <w:rPr>
          <w:sz w:val="20"/>
          <w:szCs w:val="20"/>
          <w:lang w:val="en-US"/>
        </w:rPr>
      </w:pPr>
      <w:r w:rsidRPr="00A15829">
        <w:rPr>
          <w:sz w:val="20"/>
          <w:szCs w:val="20"/>
          <w:lang w:val="en-US"/>
        </w:rPr>
        <w:t xml:space="preserve">Kesimpulan </w:t>
      </w:r>
      <w:r w:rsidR="00A15829" w:rsidRPr="00A15829">
        <w:rPr>
          <w:sz w:val="20"/>
          <w:szCs w:val="20"/>
          <w:lang w:val="en-US"/>
        </w:rPr>
        <w:t xml:space="preserve">yang dapat diambil dari penelitian adalah sebagai berikut: </w:t>
      </w:r>
    </w:p>
    <w:p w14:paraId="5F9F6BAC" w14:textId="77777777" w:rsidR="00A15829" w:rsidRDefault="00A15829" w:rsidP="00D33D7D">
      <w:pPr>
        <w:pStyle w:val="ListParagraph"/>
        <w:widowControl/>
        <w:numPr>
          <w:ilvl w:val="0"/>
          <w:numId w:val="3"/>
        </w:numPr>
        <w:autoSpaceDE/>
        <w:autoSpaceDN/>
        <w:ind w:left="770"/>
        <w:contextualSpacing/>
        <w:jc w:val="both"/>
        <w:rPr>
          <w:sz w:val="20"/>
          <w:szCs w:val="20"/>
        </w:rPr>
      </w:pPr>
      <w:r w:rsidRPr="00A15829">
        <w:rPr>
          <w:sz w:val="20"/>
          <w:szCs w:val="20"/>
        </w:rPr>
        <w:t>Konsentrasi TSS, BOD, COD, Amonia, minyak dan lemak di perairan Pantai Wates, Rembang diperoleh hasil yang melebihi baku mutu peruntukan wisata bahari, sedangkan baku mutu peruntukan biota laut semua variabel melebihi baku mutu kecuali variabel amonia masih sesuai baku mutu untuk biota laut yaitu pada sampling pertama di stasiun A, B, C berkisar 0,03 - 0,05 mg/L dan sampling kedua di stasiun A, B dan C berkisar 0,044 - 0,156 mg/L.</w:t>
      </w:r>
    </w:p>
    <w:p w14:paraId="01F2816D" w14:textId="3124AE57" w:rsidR="00A15829" w:rsidRPr="00A15829" w:rsidRDefault="00A15829" w:rsidP="00D33D7D">
      <w:pPr>
        <w:pStyle w:val="ListParagraph"/>
        <w:widowControl/>
        <w:numPr>
          <w:ilvl w:val="0"/>
          <w:numId w:val="3"/>
        </w:numPr>
        <w:autoSpaceDE/>
        <w:autoSpaceDN/>
        <w:ind w:left="770"/>
        <w:contextualSpacing/>
        <w:jc w:val="both"/>
        <w:rPr>
          <w:sz w:val="20"/>
          <w:szCs w:val="20"/>
        </w:rPr>
      </w:pPr>
      <w:r w:rsidRPr="00A15829">
        <w:rPr>
          <w:color w:val="0D0D0D" w:themeColor="text1" w:themeTint="F2"/>
          <w:sz w:val="20"/>
          <w:szCs w:val="20"/>
        </w:rPr>
        <w:t xml:space="preserve">Status pencemaran di perairan Pantai Wates berdasarkan baku mutu yang telah ditetapkan oleh </w:t>
      </w:r>
      <w:r w:rsidRPr="00A15829">
        <w:rPr>
          <w:rFonts w:eastAsiaTheme="minorEastAsia"/>
          <w:sz w:val="20"/>
          <w:szCs w:val="20"/>
          <w:lang w:val="id-ID"/>
        </w:rPr>
        <w:t xml:space="preserve">KEPMEN </w:t>
      </w:r>
      <w:r w:rsidRPr="00A15829">
        <w:rPr>
          <w:rFonts w:eastAsiaTheme="minorEastAsia"/>
          <w:sz w:val="20"/>
          <w:szCs w:val="20"/>
        </w:rPr>
        <w:t>LH Nomor 115 Tahun 2003</w:t>
      </w:r>
      <w:r w:rsidRPr="00A15829">
        <w:rPr>
          <w:color w:val="0D0D0D" w:themeColor="text1" w:themeTint="F2"/>
          <w:sz w:val="20"/>
          <w:szCs w:val="20"/>
        </w:rPr>
        <w:t xml:space="preserve"> tentang Pedoman Penentuan Status Mutu Air</w:t>
      </w:r>
      <w:r w:rsidRPr="00A15829">
        <w:rPr>
          <w:sz w:val="20"/>
          <w:szCs w:val="20"/>
        </w:rPr>
        <w:t xml:space="preserve"> tergolong tercemar sedang dengan nilai Indeks Pencemaran yang tergolong kriteria nilai </w:t>
      </w:r>
      <w:r w:rsidRPr="00A15829">
        <w:rPr>
          <w:color w:val="0D0D0D" w:themeColor="text1" w:themeTint="F2"/>
          <w:sz w:val="20"/>
          <w:szCs w:val="20"/>
        </w:rPr>
        <w:t xml:space="preserve">5,0&lt;PIj≤10. Status pencemaran Pantai Wates memiliki status tercemar sedang pada saat pasang </w:t>
      </w:r>
      <w:r w:rsidR="00D33D7D">
        <w:rPr>
          <w:color w:val="0D0D0D" w:themeColor="text1" w:themeTint="F2"/>
          <w:sz w:val="20"/>
          <w:szCs w:val="20"/>
          <w:lang w:val="en-US"/>
        </w:rPr>
        <w:t xml:space="preserve">purnama </w:t>
      </w:r>
      <w:r w:rsidRPr="00A15829">
        <w:rPr>
          <w:color w:val="0D0D0D" w:themeColor="text1" w:themeTint="F2"/>
          <w:sz w:val="20"/>
          <w:szCs w:val="20"/>
        </w:rPr>
        <w:t xml:space="preserve">maupun </w:t>
      </w:r>
      <w:r w:rsidR="00D33D7D">
        <w:rPr>
          <w:color w:val="0D0D0D" w:themeColor="text1" w:themeTint="F2"/>
          <w:sz w:val="20"/>
          <w:szCs w:val="20"/>
          <w:lang w:val="en-US"/>
        </w:rPr>
        <w:t>pasang perbani</w:t>
      </w:r>
      <w:r w:rsidRPr="00A15829">
        <w:rPr>
          <w:color w:val="0D0D0D" w:themeColor="text1" w:themeTint="F2"/>
          <w:sz w:val="20"/>
          <w:szCs w:val="20"/>
        </w:rPr>
        <w:t xml:space="preserve">. </w:t>
      </w:r>
    </w:p>
    <w:p w14:paraId="4F5BE134" w14:textId="77777777" w:rsidR="00A15829" w:rsidRDefault="00A15829" w:rsidP="00D33D7D">
      <w:pPr>
        <w:ind w:left="220" w:firstLine="660"/>
        <w:rPr>
          <w:sz w:val="20"/>
          <w:szCs w:val="20"/>
          <w:lang w:val="en-US"/>
        </w:rPr>
      </w:pPr>
    </w:p>
    <w:p w14:paraId="12DB60FC" w14:textId="77777777" w:rsidR="00A15829" w:rsidRDefault="00A15829" w:rsidP="00D33D7D">
      <w:pPr>
        <w:ind w:left="220"/>
        <w:rPr>
          <w:b/>
          <w:sz w:val="20"/>
          <w:szCs w:val="20"/>
          <w:lang w:val="en-US"/>
        </w:rPr>
      </w:pPr>
      <w:r w:rsidRPr="00A15829">
        <w:rPr>
          <w:b/>
          <w:sz w:val="20"/>
          <w:szCs w:val="20"/>
          <w:lang w:val="en-US"/>
        </w:rPr>
        <w:t xml:space="preserve">UCAPAN TERIMA KASIH </w:t>
      </w:r>
    </w:p>
    <w:p w14:paraId="05246CE8" w14:textId="77777777" w:rsidR="00DB260E" w:rsidRDefault="0009640E" w:rsidP="00D33D7D">
      <w:pPr>
        <w:ind w:left="220" w:firstLine="500"/>
        <w:jc w:val="both"/>
        <w:rPr>
          <w:sz w:val="20"/>
          <w:szCs w:val="20"/>
          <w:lang w:val="en-US"/>
        </w:rPr>
      </w:pPr>
      <w:r w:rsidRPr="0009640E">
        <w:rPr>
          <w:sz w:val="20"/>
          <w:szCs w:val="20"/>
          <w:lang w:val="en-US"/>
        </w:rPr>
        <w:t xml:space="preserve">Penulis mengucapkan terima kasih kepada seluruh pihak yang telah </w:t>
      </w:r>
      <w:r>
        <w:rPr>
          <w:sz w:val="20"/>
          <w:szCs w:val="20"/>
          <w:lang w:val="en-US"/>
        </w:rPr>
        <w:t>memberikan saran, kritik</w:t>
      </w:r>
      <w:r w:rsidRPr="0009640E">
        <w:rPr>
          <w:sz w:val="20"/>
          <w:szCs w:val="20"/>
          <w:lang w:val="en-US"/>
        </w:rPr>
        <w:t xml:space="preserve"> </w:t>
      </w:r>
      <w:r>
        <w:rPr>
          <w:sz w:val="20"/>
          <w:szCs w:val="20"/>
          <w:lang w:val="en-US"/>
        </w:rPr>
        <w:t xml:space="preserve">dan membantu </w:t>
      </w:r>
      <w:r w:rsidR="00164562">
        <w:rPr>
          <w:sz w:val="20"/>
          <w:szCs w:val="20"/>
          <w:lang w:val="en-US"/>
        </w:rPr>
        <w:t xml:space="preserve">dalam proses penyusunan </w:t>
      </w:r>
      <w:r>
        <w:rPr>
          <w:sz w:val="20"/>
          <w:szCs w:val="20"/>
          <w:lang w:val="en-US"/>
        </w:rPr>
        <w:t xml:space="preserve">hingga terselesaikannya penelitian ini. </w:t>
      </w:r>
    </w:p>
    <w:p w14:paraId="6172AD16" w14:textId="77777777" w:rsidR="00873D3A" w:rsidRDefault="00873D3A" w:rsidP="00D33D7D">
      <w:pPr>
        <w:ind w:left="220" w:firstLine="500"/>
        <w:jc w:val="both"/>
        <w:rPr>
          <w:sz w:val="20"/>
          <w:szCs w:val="20"/>
          <w:lang w:val="en-US"/>
        </w:rPr>
      </w:pPr>
    </w:p>
    <w:p w14:paraId="076716AA" w14:textId="398F44AE" w:rsidR="00873D3A" w:rsidRPr="00873D3A" w:rsidRDefault="00873D3A" w:rsidP="00D33D7D">
      <w:pPr>
        <w:ind w:left="220"/>
        <w:jc w:val="both"/>
        <w:rPr>
          <w:b/>
          <w:sz w:val="20"/>
          <w:szCs w:val="20"/>
          <w:lang w:val="en-US"/>
        </w:rPr>
      </w:pPr>
      <w:r w:rsidRPr="00873D3A">
        <w:rPr>
          <w:b/>
          <w:sz w:val="20"/>
          <w:szCs w:val="20"/>
          <w:lang w:val="en-US"/>
        </w:rPr>
        <w:t>DAFTAR PUSTAKA</w:t>
      </w:r>
    </w:p>
    <w:p w14:paraId="18DD19EE" w14:textId="77777777" w:rsidR="00873D3A" w:rsidRDefault="00873D3A" w:rsidP="00D33D7D">
      <w:pPr>
        <w:ind w:left="220" w:firstLine="500"/>
        <w:jc w:val="both"/>
        <w:rPr>
          <w:sz w:val="20"/>
          <w:szCs w:val="20"/>
          <w:lang w:val="en-US"/>
        </w:rPr>
      </w:pPr>
    </w:p>
    <w:p w14:paraId="75386C57" w14:textId="77777777" w:rsidR="0026617A" w:rsidRDefault="00286363" w:rsidP="00D33D7D">
      <w:pPr>
        <w:ind w:left="770" w:hanging="550"/>
        <w:jc w:val="both"/>
        <w:rPr>
          <w:sz w:val="20"/>
          <w:szCs w:val="20"/>
          <w:lang w:val="en-US"/>
        </w:rPr>
      </w:pPr>
      <w:r w:rsidRPr="0026617A">
        <w:rPr>
          <w:sz w:val="20"/>
          <w:szCs w:val="20"/>
          <w:lang w:val="en-US"/>
        </w:rPr>
        <w:t xml:space="preserve">Adhiyaksa, M dan A. M. Sukmawati. 2021.  Dampak Wisata Bahari Bagi Kondisi Ekonomi Masyarakat Desa Kolorai, Kecamatan Morotai Selatan, Kabupaten Pulau Morotai. </w:t>
      </w:r>
      <w:r w:rsidR="002C7DE5" w:rsidRPr="00C65975">
        <w:rPr>
          <w:i/>
          <w:sz w:val="20"/>
          <w:szCs w:val="20"/>
          <w:lang w:val="en-US"/>
        </w:rPr>
        <w:t>Journal of Urban and Regional Planning</w:t>
      </w:r>
      <w:r w:rsidR="002C7DE5" w:rsidRPr="0026617A">
        <w:rPr>
          <w:sz w:val="20"/>
          <w:szCs w:val="20"/>
          <w:lang w:val="en-US"/>
        </w:rPr>
        <w:t>. 2(2): 7</w:t>
      </w:r>
      <w:r w:rsidR="00337E52" w:rsidRPr="0026617A">
        <w:rPr>
          <w:sz w:val="20"/>
          <w:szCs w:val="20"/>
          <w:lang w:val="en-US"/>
        </w:rPr>
        <w:t xml:space="preserve"> </w:t>
      </w:r>
      <w:r w:rsidR="002C7DE5" w:rsidRPr="0026617A">
        <w:rPr>
          <w:sz w:val="20"/>
          <w:szCs w:val="20"/>
          <w:lang w:val="en-US"/>
        </w:rPr>
        <w:t>-</w:t>
      </w:r>
      <w:r w:rsidR="00337E52" w:rsidRPr="0026617A">
        <w:rPr>
          <w:sz w:val="20"/>
          <w:szCs w:val="20"/>
          <w:lang w:val="en-US"/>
        </w:rPr>
        <w:t xml:space="preserve"> </w:t>
      </w:r>
      <w:r w:rsidR="002C7DE5" w:rsidRPr="0026617A">
        <w:rPr>
          <w:sz w:val="20"/>
          <w:szCs w:val="20"/>
          <w:lang w:val="en-US"/>
        </w:rPr>
        <w:t>18.</w:t>
      </w:r>
    </w:p>
    <w:p w14:paraId="10A13E3E" w14:textId="77777777" w:rsidR="0026617A" w:rsidRDefault="0026617A" w:rsidP="00D33D7D">
      <w:pPr>
        <w:ind w:left="770" w:hanging="550"/>
        <w:jc w:val="both"/>
        <w:rPr>
          <w:sz w:val="20"/>
          <w:szCs w:val="20"/>
          <w:lang w:val="en-US"/>
        </w:rPr>
      </w:pPr>
      <w:r w:rsidRPr="0026617A">
        <w:rPr>
          <w:bCs/>
          <w:sz w:val="20"/>
          <w:szCs w:val="20"/>
        </w:rPr>
        <w:t xml:space="preserve">Arnopi, Budiyanto dan Rustama. 2019. Kajian Evaluasi Mutu Sungai Nelas Dengan Metode STORET dan Indeks Pencemaran. </w:t>
      </w:r>
      <w:r w:rsidRPr="0026617A">
        <w:rPr>
          <w:i/>
          <w:iCs/>
          <w:sz w:val="20"/>
          <w:szCs w:val="20"/>
        </w:rPr>
        <w:t>Jurnal Penelitian Pengelolaan Sumberdaya Alam dan Lingkungan</w:t>
      </w:r>
      <w:r w:rsidR="00C65975">
        <w:rPr>
          <w:iCs/>
          <w:sz w:val="20"/>
          <w:szCs w:val="20"/>
        </w:rPr>
        <w:t>.</w:t>
      </w:r>
      <w:r w:rsidRPr="0026617A">
        <w:rPr>
          <w:iCs/>
          <w:sz w:val="20"/>
          <w:szCs w:val="20"/>
        </w:rPr>
        <w:t xml:space="preserve"> 8(1): 15-24.</w:t>
      </w:r>
    </w:p>
    <w:p w14:paraId="2503A1EA" w14:textId="77777777" w:rsidR="007970B3" w:rsidRDefault="0026617A" w:rsidP="00D33D7D">
      <w:pPr>
        <w:ind w:left="770" w:hanging="550"/>
        <w:jc w:val="both"/>
        <w:rPr>
          <w:iCs/>
          <w:sz w:val="20"/>
          <w:szCs w:val="20"/>
          <w:lang w:val="en-US"/>
        </w:rPr>
      </w:pPr>
      <w:r w:rsidRPr="0026617A">
        <w:rPr>
          <w:iCs/>
          <w:sz w:val="20"/>
          <w:szCs w:val="20"/>
        </w:rPr>
        <w:t xml:space="preserve">Arvianto, S.E., A. Satriadi dan G. Handoyono. 2016. Pengaruh Arus Terhadap Sebaran Sedimen </w:t>
      </w:r>
      <w:r w:rsidR="007970B3">
        <w:rPr>
          <w:iCs/>
          <w:sz w:val="20"/>
          <w:szCs w:val="20"/>
          <w:lang w:val="en-US"/>
        </w:rPr>
        <w:t>Tersuspensi di Muara Sungai Silugonggo Kabupaten Pati. Jurnal Oseanografi. 5(1): 116 – 125.</w:t>
      </w:r>
    </w:p>
    <w:p w14:paraId="3949078A" w14:textId="15ED6BBF" w:rsidR="007970B3" w:rsidRPr="007970B3" w:rsidRDefault="007970B3" w:rsidP="00D33D7D">
      <w:pPr>
        <w:ind w:left="770" w:hanging="550"/>
        <w:jc w:val="both"/>
        <w:rPr>
          <w:iCs/>
          <w:sz w:val="20"/>
          <w:szCs w:val="20"/>
          <w:lang w:val="en-US"/>
        </w:rPr>
        <w:sectPr w:rsidR="007970B3" w:rsidRPr="007970B3" w:rsidSect="00D97B36">
          <w:type w:val="continuous"/>
          <w:pgSz w:w="11910" w:h="16840"/>
          <w:pgMar w:top="920" w:right="900" w:bottom="280" w:left="860" w:header="720" w:footer="720" w:gutter="0"/>
          <w:cols w:num="2" w:space="720" w:equalWidth="0">
            <w:col w:w="4944" w:space="187"/>
            <w:col w:w="5019"/>
          </w:cols>
          <w:docGrid w:linePitch="299"/>
        </w:sectPr>
      </w:pPr>
      <w:r>
        <w:rPr>
          <w:sz w:val="20"/>
          <w:szCs w:val="20"/>
          <w:lang w:val="en-US"/>
        </w:rPr>
        <w:t>Daroini, T.A. dan A. Arisadi. 2020. Analisis BOD (</w:t>
      </w:r>
      <w:r w:rsidRPr="0026617A">
        <w:rPr>
          <w:sz w:val="20"/>
          <w:szCs w:val="20"/>
        </w:rPr>
        <w:t>(</w:t>
      </w:r>
      <w:r w:rsidRPr="0026617A">
        <w:rPr>
          <w:i/>
          <w:sz w:val="20"/>
          <w:szCs w:val="20"/>
        </w:rPr>
        <w:t>Biological Oxygen Demand</w:t>
      </w:r>
      <w:r w:rsidRPr="0026617A">
        <w:rPr>
          <w:sz w:val="20"/>
          <w:szCs w:val="20"/>
        </w:rPr>
        <w:t xml:space="preserve">) di Perairan Desa Prancak Kecamatan Sepulu, Bangkalan. </w:t>
      </w:r>
      <w:r w:rsidRPr="0026617A">
        <w:rPr>
          <w:i/>
          <w:sz w:val="20"/>
          <w:szCs w:val="20"/>
        </w:rPr>
        <w:t>Juvenil</w:t>
      </w:r>
      <w:r>
        <w:rPr>
          <w:sz w:val="20"/>
          <w:szCs w:val="20"/>
          <w:lang w:val="en-US"/>
        </w:rPr>
        <w:t>.</w:t>
      </w:r>
      <w:r w:rsidRPr="0026617A">
        <w:rPr>
          <w:sz w:val="20"/>
          <w:szCs w:val="20"/>
        </w:rPr>
        <w:t xml:space="preserve"> 1(4): 558-566.</w:t>
      </w:r>
    </w:p>
    <w:p w14:paraId="74EB7FF1" w14:textId="77777777" w:rsidR="002759E4" w:rsidRPr="006B5B15" w:rsidRDefault="002759E4" w:rsidP="00D33D7D">
      <w:pPr>
        <w:rPr>
          <w:sz w:val="8"/>
        </w:rPr>
        <w:sectPr w:rsidR="002759E4" w:rsidRPr="006B5B15">
          <w:pgSz w:w="11910" w:h="16840"/>
          <w:pgMar w:top="1140" w:right="900" w:bottom="280" w:left="860" w:header="720" w:footer="720" w:gutter="0"/>
          <w:cols w:space="720"/>
        </w:sectPr>
      </w:pPr>
    </w:p>
    <w:p w14:paraId="0E72BFAD" w14:textId="504B49FD" w:rsidR="00B87645" w:rsidRPr="0026617A" w:rsidRDefault="00B87645" w:rsidP="00D33D7D">
      <w:pPr>
        <w:ind w:left="770" w:hanging="550"/>
        <w:jc w:val="both"/>
        <w:rPr>
          <w:sz w:val="20"/>
          <w:szCs w:val="20"/>
          <w:lang w:val="en-US"/>
        </w:rPr>
      </w:pPr>
      <w:r w:rsidRPr="0026617A">
        <w:rPr>
          <w:sz w:val="20"/>
          <w:szCs w:val="20"/>
          <w:lang w:val="en-US"/>
        </w:rPr>
        <w:lastRenderedPageBreak/>
        <w:t>Effendi, H. 2003. Telaah Kualitas Air: Bagi Pengelolaan Sumber Daya dan Lingkungan Perairan. Kanisius: Yogyakarta.</w:t>
      </w:r>
    </w:p>
    <w:p w14:paraId="63300F76" w14:textId="77777777" w:rsidR="00B87645" w:rsidRPr="0026617A" w:rsidRDefault="00B87645" w:rsidP="00D33D7D">
      <w:pPr>
        <w:ind w:left="770" w:hanging="550"/>
        <w:jc w:val="both"/>
        <w:rPr>
          <w:sz w:val="20"/>
          <w:szCs w:val="20"/>
          <w:lang w:val="en-US"/>
        </w:rPr>
      </w:pPr>
      <w:r w:rsidRPr="0026617A">
        <w:rPr>
          <w:color w:val="0D0D0D" w:themeColor="text1" w:themeTint="F2"/>
          <w:sz w:val="20"/>
          <w:szCs w:val="20"/>
          <w:shd w:val="clear" w:color="auto" w:fill="FFFFFF"/>
        </w:rPr>
        <w:t>Fadika, U., A. Rifai dan B. Rochaddi. 2014. Arah dan Kecepatan Angin Musiman serta Kaitannya dengan Sebaran Suhu Permukaan Laut di Selatan Pangandaran Jawa Barat. </w:t>
      </w:r>
      <w:r w:rsidRPr="0026617A">
        <w:rPr>
          <w:i/>
          <w:iCs/>
          <w:color w:val="0D0D0D" w:themeColor="text1" w:themeTint="F2"/>
          <w:sz w:val="20"/>
          <w:szCs w:val="20"/>
          <w:shd w:val="clear" w:color="auto" w:fill="FFFFFF"/>
        </w:rPr>
        <w:t>Journal of Oceanography.</w:t>
      </w:r>
      <w:r w:rsidRPr="0026617A">
        <w:rPr>
          <w:color w:val="0D0D0D" w:themeColor="text1" w:themeTint="F2"/>
          <w:sz w:val="20"/>
          <w:szCs w:val="20"/>
          <w:shd w:val="clear" w:color="auto" w:fill="FFFFFF"/>
        </w:rPr>
        <w:t> </w:t>
      </w:r>
      <w:r w:rsidRPr="0026617A">
        <w:rPr>
          <w:i/>
          <w:iCs/>
          <w:color w:val="0D0D0D" w:themeColor="text1" w:themeTint="F2"/>
          <w:sz w:val="20"/>
          <w:szCs w:val="20"/>
          <w:shd w:val="clear" w:color="auto" w:fill="FFFFFF"/>
        </w:rPr>
        <w:t>3</w:t>
      </w:r>
      <w:r w:rsidRPr="0026617A">
        <w:rPr>
          <w:color w:val="0D0D0D" w:themeColor="text1" w:themeTint="F2"/>
          <w:sz w:val="20"/>
          <w:szCs w:val="20"/>
          <w:shd w:val="clear" w:color="auto" w:fill="FFFFFF"/>
        </w:rPr>
        <w:t>(3): 429 – 437</w:t>
      </w:r>
      <w:r>
        <w:rPr>
          <w:color w:val="0D0D0D" w:themeColor="text1" w:themeTint="F2"/>
          <w:sz w:val="20"/>
          <w:szCs w:val="20"/>
          <w:shd w:val="clear" w:color="auto" w:fill="FFFFFF"/>
          <w:lang w:val="en-US"/>
        </w:rPr>
        <w:t xml:space="preserve">. </w:t>
      </w:r>
    </w:p>
    <w:p w14:paraId="45CE03E0" w14:textId="77777777" w:rsidR="00B87645" w:rsidRDefault="00B87645" w:rsidP="00D33D7D">
      <w:pPr>
        <w:ind w:left="770" w:hanging="550"/>
        <w:jc w:val="both"/>
        <w:rPr>
          <w:sz w:val="20"/>
          <w:szCs w:val="20"/>
          <w:lang w:val="en-US"/>
        </w:rPr>
      </w:pPr>
      <w:r w:rsidRPr="0026617A">
        <w:rPr>
          <w:sz w:val="20"/>
          <w:szCs w:val="20"/>
          <w:lang w:val="en-US"/>
        </w:rPr>
        <w:t>Fuad, dkk. 2019. Metode Penelitian Kelautan dan Perikanan. UB Press: Malang.</w:t>
      </w:r>
    </w:p>
    <w:p w14:paraId="0B777255" w14:textId="77777777" w:rsidR="00B87645" w:rsidRDefault="00B87645" w:rsidP="00D33D7D">
      <w:pPr>
        <w:ind w:left="770" w:hanging="550"/>
        <w:jc w:val="both"/>
        <w:rPr>
          <w:sz w:val="20"/>
          <w:szCs w:val="20"/>
          <w:lang w:val="en-US"/>
        </w:rPr>
      </w:pPr>
      <w:r w:rsidRPr="0026617A">
        <w:rPr>
          <w:sz w:val="20"/>
          <w:szCs w:val="20"/>
          <w:lang w:val="en-US"/>
        </w:rPr>
        <w:t xml:space="preserve">Hamuna, B., R. H.R. Tanjung, Suwito, H. K. Maury dan Alianto. 2018. Kajian Kualitas Air Laut dan Indeks Pencemaran Berdasarkan Parameter Fisika-Kimia di Perairan Distrik Depapre, Jayapura. </w:t>
      </w:r>
      <w:r w:rsidRPr="00C65975">
        <w:rPr>
          <w:i/>
          <w:sz w:val="20"/>
          <w:szCs w:val="20"/>
          <w:lang w:val="en-US"/>
        </w:rPr>
        <w:t>Jurnal Ilmu Lingkungan</w:t>
      </w:r>
      <w:r w:rsidRPr="0026617A">
        <w:rPr>
          <w:sz w:val="20"/>
          <w:szCs w:val="20"/>
          <w:lang w:val="en-US"/>
        </w:rPr>
        <w:t xml:space="preserve">. 16(1): 35 – 43. </w:t>
      </w:r>
    </w:p>
    <w:p w14:paraId="0069E513" w14:textId="77777777" w:rsidR="00B87645" w:rsidRDefault="00B87645" w:rsidP="00D33D7D">
      <w:pPr>
        <w:ind w:left="770" w:hanging="550"/>
        <w:jc w:val="both"/>
        <w:rPr>
          <w:sz w:val="20"/>
          <w:szCs w:val="20"/>
          <w:lang w:val="en-US"/>
        </w:rPr>
      </w:pPr>
      <w:r w:rsidRPr="0026617A">
        <w:rPr>
          <w:sz w:val="20"/>
          <w:szCs w:val="20"/>
          <w:lang w:val="en-US"/>
        </w:rPr>
        <w:t xml:space="preserve">Indrayana, R., M. Yusuf dan A. Rifai. 2014. Pengaruh Arus Permukaan Terhadap Sebaran Kualitas Air di Perairan Genuk, Semarang. </w:t>
      </w:r>
      <w:r w:rsidRPr="00C65975">
        <w:rPr>
          <w:i/>
          <w:sz w:val="20"/>
          <w:szCs w:val="20"/>
          <w:lang w:val="en-US"/>
        </w:rPr>
        <w:t>Jurnal Oseanografi</w:t>
      </w:r>
      <w:r w:rsidRPr="0026617A">
        <w:rPr>
          <w:sz w:val="20"/>
          <w:szCs w:val="20"/>
          <w:lang w:val="en-US"/>
        </w:rPr>
        <w:t>. 3(4): 651 – 659.</w:t>
      </w:r>
      <w:r>
        <w:rPr>
          <w:sz w:val="20"/>
          <w:szCs w:val="20"/>
          <w:lang w:val="en-US"/>
        </w:rPr>
        <w:t xml:space="preserve"> </w:t>
      </w:r>
    </w:p>
    <w:p w14:paraId="7985B43C" w14:textId="77777777" w:rsidR="00B87645" w:rsidRDefault="00B87645" w:rsidP="00D33D7D">
      <w:pPr>
        <w:ind w:left="770" w:hanging="550"/>
        <w:jc w:val="both"/>
        <w:rPr>
          <w:sz w:val="20"/>
          <w:szCs w:val="20"/>
          <w:lang w:val="en-US"/>
        </w:rPr>
      </w:pPr>
      <w:r w:rsidRPr="0026617A">
        <w:rPr>
          <w:sz w:val="20"/>
          <w:szCs w:val="20"/>
          <w:lang w:val="en-US"/>
        </w:rPr>
        <w:t xml:space="preserve">Kamajaya, G. Y., I. D. N. N. Putra dan I. N. G. Putra. 2021. Analisis Sebaran Total Suspended Solid (TSS) Berdasarkan Citra Landsat 8 Menggunakan Tiga Algoritma Berbeda di Perairan Teluk Benoa, Bali. </w:t>
      </w:r>
      <w:r w:rsidRPr="00C65975">
        <w:rPr>
          <w:i/>
          <w:sz w:val="20"/>
          <w:szCs w:val="20"/>
          <w:lang w:val="en-US"/>
        </w:rPr>
        <w:t>Journal of Marine and A</w:t>
      </w:r>
      <w:r w:rsidR="00624631" w:rsidRPr="00C65975">
        <w:rPr>
          <w:i/>
          <w:sz w:val="20"/>
          <w:szCs w:val="20"/>
          <w:lang w:val="en-US"/>
        </w:rPr>
        <w:t>q</w:t>
      </w:r>
      <w:r w:rsidRPr="00C65975">
        <w:rPr>
          <w:i/>
          <w:sz w:val="20"/>
          <w:szCs w:val="20"/>
          <w:lang w:val="en-US"/>
        </w:rPr>
        <w:t>uatic Sciences</w:t>
      </w:r>
      <w:r w:rsidRPr="0026617A">
        <w:rPr>
          <w:sz w:val="20"/>
          <w:szCs w:val="20"/>
          <w:lang w:val="en-US"/>
        </w:rPr>
        <w:t>. 7(1): 18 - 24.</w:t>
      </w:r>
    </w:p>
    <w:p w14:paraId="196053B1" w14:textId="77777777" w:rsidR="00B87645" w:rsidRDefault="00B87645" w:rsidP="00D33D7D">
      <w:pPr>
        <w:ind w:left="770" w:hanging="550"/>
        <w:jc w:val="both"/>
        <w:rPr>
          <w:sz w:val="20"/>
          <w:szCs w:val="20"/>
          <w:lang w:val="en-US"/>
        </w:rPr>
      </w:pPr>
      <w:r w:rsidRPr="0026617A">
        <w:rPr>
          <w:sz w:val="20"/>
          <w:szCs w:val="20"/>
        </w:rPr>
        <w:t xml:space="preserve">Kurnianti, L.Y., Haeruddin dan A. Rahman. 2020. Analisis Beban dan Status Pencemaran BOD dan COD di Kali Asin, Semarang. </w:t>
      </w:r>
      <w:r w:rsidRPr="0026617A">
        <w:rPr>
          <w:i/>
          <w:sz w:val="20"/>
          <w:szCs w:val="20"/>
        </w:rPr>
        <w:t>Journal of Fisheries and Marine Research</w:t>
      </w:r>
      <w:r w:rsidR="00C65975">
        <w:rPr>
          <w:sz w:val="20"/>
          <w:szCs w:val="20"/>
        </w:rPr>
        <w:t>.</w:t>
      </w:r>
      <w:r w:rsidRPr="0026617A">
        <w:rPr>
          <w:sz w:val="20"/>
          <w:szCs w:val="20"/>
        </w:rPr>
        <w:t xml:space="preserve"> 4(3): 379 - 388.</w:t>
      </w:r>
    </w:p>
    <w:p w14:paraId="1F7772C3" w14:textId="77777777" w:rsidR="00B87645" w:rsidRDefault="00B87645" w:rsidP="00D33D7D">
      <w:pPr>
        <w:ind w:left="770" w:hanging="550"/>
        <w:jc w:val="both"/>
        <w:rPr>
          <w:sz w:val="20"/>
          <w:szCs w:val="20"/>
          <w:lang w:val="en-US"/>
        </w:rPr>
      </w:pPr>
      <w:r w:rsidRPr="0026617A">
        <w:rPr>
          <w:sz w:val="20"/>
          <w:szCs w:val="20"/>
          <w:lang w:val="en-US"/>
        </w:rPr>
        <w:t xml:space="preserve">Laapo, A., A. Fahrudin, D. G. Bengen dan A. Damar. 2009. Pengaruh Aktivitas Wisata Bahari Terhadap Kualitas Perairan Laut di Kawasan Wisata Gugus Pulau Togean. </w:t>
      </w:r>
      <w:r w:rsidRPr="00C65975">
        <w:rPr>
          <w:i/>
          <w:sz w:val="20"/>
          <w:szCs w:val="20"/>
          <w:lang w:val="en-US"/>
        </w:rPr>
        <w:t>Jurnal Ilmu Kelautan</w:t>
      </w:r>
      <w:r w:rsidRPr="0026617A">
        <w:rPr>
          <w:sz w:val="20"/>
          <w:szCs w:val="20"/>
          <w:lang w:val="en-US"/>
        </w:rPr>
        <w:t>. 14(4): 215 – 221.</w:t>
      </w:r>
      <w:r>
        <w:rPr>
          <w:sz w:val="20"/>
          <w:szCs w:val="20"/>
          <w:lang w:val="en-US"/>
        </w:rPr>
        <w:t xml:space="preserve"> </w:t>
      </w:r>
    </w:p>
    <w:p w14:paraId="447A64ED" w14:textId="77777777" w:rsidR="00B87645" w:rsidRDefault="00B87645" w:rsidP="00D33D7D">
      <w:pPr>
        <w:ind w:left="770" w:hanging="550"/>
        <w:jc w:val="both"/>
        <w:rPr>
          <w:sz w:val="20"/>
          <w:szCs w:val="20"/>
          <w:lang w:val="en-US"/>
        </w:rPr>
      </w:pPr>
      <w:r w:rsidRPr="0026617A">
        <w:rPr>
          <w:sz w:val="20"/>
          <w:szCs w:val="20"/>
        </w:rPr>
        <w:t xml:space="preserve">Larasati, C. E., M. Kawaroe dan T. Prihartono. 2015. Karakteristik Diatom di Selat Rupat Riau. </w:t>
      </w:r>
      <w:r w:rsidRPr="0026617A">
        <w:rPr>
          <w:i/>
          <w:sz w:val="20"/>
          <w:szCs w:val="20"/>
        </w:rPr>
        <w:t>Jurnal Kelautan.</w:t>
      </w:r>
      <w:r w:rsidRPr="0026617A">
        <w:rPr>
          <w:sz w:val="20"/>
          <w:szCs w:val="20"/>
        </w:rPr>
        <w:t xml:space="preserve"> 20(4): 223 - 232.</w:t>
      </w:r>
    </w:p>
    <w:p w14:paraId="267EB9E2" w14:textId="77777777" w:rsidR="00B87645" w:rsidRDefault="00B87645" w:rsidP="00D33D7D">
      <w:pPr>
        <w:ind w:left="770" w:hanging="550"/>
        <w:jc w:val="both"/>
        <w:rPr>
          <w:sz w:val="20"/>
          <w:szCs w:val="20"/>
          <w:lang w:val="en-US"/>
        </w:rPr>
      </w:pPr>
      <w:r w:rsidRPr="0026617A">
        <w:rPr>
          <w:sz w:val="20"/>
          <w:szCs w:val="20"/>
        </w:rPr>
        <w:t xml:space="preserve">Ma’arif, N.L dan Z. Hidayah. 2020. Kajian Pola Arus Permukaan dan Sebaran Konsentrasi </w:t>
      </w:r>
      <w:r w:rsidRPr="0026617A">
        <w:rPr>
          <w:i/>
          <w:sz w:val="20"/>
          <w:szCs w:val="20"/>
        </w:rPr>
        <w:t>Total Suspended Solid</w:t>
      </w:r>
      <w:r w:rsidRPr="0026617A">
        <w:rPr>
          <w:sz w:val="20"/>
          <w:szCs w:val="20"/>
        </w:rPr>
        <w:t xml:space="preserve"> (TSS) di Pesisir Pantai Kenjeran Surabaya.  </w:t>
      </w:r>
      <w:r w:rsidRPr="0026617A">
        <w:rPr>
          <w:i/>
          <w:sz w:val="20"/>
          <w:szCs w:val="20"/>
        </w:rPr>
        <w:t>Jurnal Trunojoyo.</w:t>
      </w:r>
      <w:r w:rsidRPr="0026617A">
        <w:rPr>
          <w:sz w:val="20"/>
          <w:szCs w:val="20"/>
        </w:rPr>
        <w:t xml:space="preserve"> 1(3): 417 - 426.</w:t>
      </w:r>
      <w:r>
        <w:rPr>
          <w:sz w:val="20"/>
          <w:szCs w:val="20"/>
          <w:lang w:val="en-US"/>
        </w:rPr>
        <w:t xml:space="preserve"> </w:t>
      </w:r>
    </w:p>
    <w:p w14:paraId="66ADC826" w14:textId="77777777" w:rsidR="00B87645" w:rsidRDefault="00B87645" w:rsidP="00D33D7D">
      <w:pPr>
        <w:ind w:left="770" w:hanging="550"/>
        <w:jc w:val="both"/>
        <w:rPr>
          <w:rFonts w:eastAsia="ArialMT"/>
          <w:sz w:val="20"/>
          <w:szCs w:val="20"/>
        </w:rPr>
      </w:pPr>
      <w:r w:rsidRPr="0026617A">
        <w:rPr>
          <w:rFonts w:eastAsia="ArialMT"/>
          <w:sz w:val="20"/>
          <w:szCs w:val="20"/>
        </w:rPr>
        <w:t xml:space="preserve">Marlian, N. 2016. Analisis Variasi Konsentrasi Unsur Hara Nitrogen, Fosfat dan Silikat (N, P dan S) di Perairan Teluk Meulaboh Aceh Barat. </w:t>
      </w:r>
      <w:r w:rsidRPr="0026617A">
        <w:rPr>
          <w:rFonts w:eastAsia="ArialMT"/>
          <w:i/>
          <w:sz w:val="20"/>
          <w:szCs w:val="20"/>
        </w:rPr>
        <w:t>Acta Aquatica.</w:t>
      </w:r>
      <w:r w:rsidRPr="0026617A">
        <w:rPr>
          <w:rFonts w:eastAsia="ArialMT"/>
          <w:sz w:val="20"/>
          <w:szCs w:val="20"/>
        </w:rPr>
        <w:t xml:space="preserve"> 3(1): 1 - 6.</w:t>
      </w:r>
    </w:p>
    <w:p w14:paraId="33E44AB9" w14:textId="77777777" w:rsidR="00B87645" w:rsidRDefault="00B87645" w:rsidP="00D33D7D">
      <w:pPr>
        <w:ind w:left="770" w:hanging="550"/>
        <w:jc w:val="both"/>
        <w:rPr>
          <w:rFonts w:eastAsia="ArialMT"/>
          <w:sz w:val="20"/>
          <w:szCs w:val="20"/>
        </w:rPr>
      </w:pPr>
      <w:r w:rsidRPr="0026617A">
        <w:rPr>
          <w:sz w:val="20"/>
          <w:szCs w:val="20"/>
          <w:shd w:val="clear" w:color="auto" w:fill="FFFFFF"/>
        </w:rPr>
        <w:t>Mubarak, A. S., D. A. Satyari dan R. Kadarwati. 2010. Korelasi Antara Konsentrasi Oksigen Terlarut pada Kepadatan yang Berbeda Dengan Skoring Warna Daphnia spp.</w:t>
      </w:r>
      <w:r w:rsidRPr="0026617A">
        <w:rPr>
          <w:i/>
          <w:iCs/>
          <w:sz w:val="20"/>
          <w:szCs w:val="20"/>
          <w:shd w:val="clear" w:color="auto" w:fill="FFFFFF"/>
        </w:rPr>
        <w:t xml:space="preserve"> Jurnal ilmiah perikanan dan kelautan.</w:t>
      </w:r>
      <w:r w:rsidRPr="0026617A">
        <w:rPr>
          <w:sz w:val="20"/>
          <w:szCs w:val="20"/>
          <w:shd w:val="clear" w:color="auto" w:fill="FFFFFF"/>
        </w:rPr>
        <w:t> </w:t>
      </w:r>
      <w:r w:rsidRPr="0026617A">
        <w:rPr>
          <w:i/>
          <w:iCs/>
          <w:sz w:val="20"/>
          <w:szCs w:val="20"/>
          <w:shd w:val="clear" w:color="auto" w:fill="FFFFFF"/>
        </w:rPr>
        <w:t>2</w:t>
      </w:r>
      <w:r w:rsidRPr="0026617A">
        <w:rPr>
          <w:sz w:val="20"/>
          <w:szCs w:val="20"/>
          <w:shd w:val="clear" w:color="auto" w:fill="FFFFFF"/>
        </w:rPr>
        <w:t xml:space="preserve">(1): 45 </w:t>
      </w:r>
      <w:r>
        <w:rPr>
          <w:sz w:val="20"/>
          <w:szCs w:val="20"/>
          <w:shd w:val="clear" w:color="auto" w:fill="FFFFFF"/>
        </w:rPr>
        <w:t>–</w:t>
      </w:r>
      <w:r w:rsidRPr="0026617A">
        <w:rPr>
          <w:sz w:val="20"/>
          <w:szCs w:val="20"/>
          <w:shd w:val="clear" w:color="auto" w:fill="FFFFFF"/>
        </w:rPr>
        <w:t xml:space="preserve"> 50</w:t>
      </w:r>
      <w:r>
        <w:rPr>
          <w:sz w:val="20"/>
          <w:szCs w:val="20"/>
          <w:shd w:val="clear" w:color="auto" w:fill="FFFFFF"/>
          <w:lang w:val="en-US"/>
        </w:rPr>
        <w:t xml:space="preserve">. </w:t>
      </w:r>
    </w:p>
    <w:p w14:paraId="58136AC8" w14:textId="77777777" w:rsidR="00B87645" w:rsidRDefault="00B87645" w:rsidP="00D33D7D">
      <w:pPr>
        <w:ind w:left="770" w:hanging="550"/>
        <w:jc w:val="both"/>
        <w:rPr>
          <w:rFonts w:eastAsia="ArialMT"/>
          <w:sz w:val="20"/>
          <w:szCs w:val="20"/>
        </w:rPr>
      </w:pPr>
      <w:r w:rsidRPr="0026617A">
        <w:rPr>
          <w:sz w:val="20"/>
          <w:szCs w:val="20"/>
        </w:rPr>
        <w:t>Pamungkas, M.T.O.A. 2016. Studi Pencemaran Limbah Cair dengan Parameter BOD</w:t>
      </w:r>
      <w:r w:rsidRPr="0026617A">
        <w:rPr>
          <w:sz w:val="20"/>
          <w:szCs w:val="20"/>
          <w:vertAlign w:val="subscript"/>
        </w:rPr>
        <w:t>5</w:t>
      </w:r>
      <w:r w:rsidRPr="0026617A">
        <w:rPr>
          <w:sz w:val="20"/>
          <w:szCs w:val="20"/>
        </w:rPr>
        <w:t xml:space="preserve"> dan pH Ikan Tradisional dan Pasar Modern di Kota Semarang. </w:t>
      </w:r>
      <w:r w:rsidRPr="0026617A">
        <w:rPr>
          <w:i/>
          <w:sz w:val="20"/>
          <w:szCs w:val="20"/>
        </w:rPr>
        <w:t>Jurnal Kesehatan Masyarakat</w:t>
      </w:r>
      <w:r w:rsidRPr="0026617A">
        <w:rPr>
          <w:sz w:val="20"/>
          <w:szCs w:val="20"/>
        </w:rPr>
        <w:t>., 4(2): 166 - 175.</w:t>
      </w:r>
      <w:r>
        <w:rPr>
          <w:sz w:val="20"/>
          <w:szCs w:val="20"/>
          <w:lang w:val="en-US"/>
        </w:rPr>
        <w:t xml:space="preserve"> </w:t>
      </w:r>
    </w:p>
    <w:p w14:paraId="7BF450BF" w14:textId="77777777" w:rsidR="00B87645" w:rsidRDefault="00B87645" w:rsidP="00D33D7D">
      <w:pPr>
        <w:ind w:left="770" w:hanging="550"/>
        <w:jc w:val="both"/>
        <w:rPr>
          <w:rFonts w:eastAsia="ArialMT"/>
          <w:sz w:val="20"/>
          <w:szCs w:val="20"/>
        </w:rPr>
      </w:pPr>
      <w:r w:rsidRPr="0026617A">
        <w:rPr>
          <w:sz w:val="20"/>
          <w:szCs w:val="20"/>
        </w:rPr>
        <w:t xml:space="preserve">Patty, S.I. 2013. Distribusi Suhu, Salinitas dan Oksigen Terlarut di Perairan Kema, Sulawesi Utara. </w:t>
      </w:r>
      <w:r w:rsidRPr="0026617A">
        <w:rPr>
          <w:i/>
          <w:sz w:val="20"/>
          <w:szCs w:val="20"/>
        </w:rPr>
        <w:t>Jurnal Ilmiah Platax</w:t>
      </w:r>
      <w:r w:rsidR="00C65975">
        <w:rPr>
          <w:sz w:val="20"/>
          <w:szCs w:val="20"/>
        </w:rPr>
        <w:t>.</w:t>
      </w:r>
      <w:r w:rsidRPr="0026617A">
        <w:rPr>
          <w:sz w:val="20"/>
          <w:szCs w:val="20"/>
        </w:rPr>
        <w:t xml:space="preserve"> 1(3): 148 - 157.</w:t>
      </w:r>
    </w:p>
    <w:p w14:paraId="66CAA446" w14:textId="77777777" w:rsidR="00B87645" w:rsidRDefault="00B87645" w:rsidP="00D33D7D">
      <w:pPr>
        <w:ind w:left="770" w:hanging="550"/>
        <w:jc w:val="both"/>
        <w:rPr>
          <w:rFonts w:eastAsia="ArialMT"/>
          <w:sz w:val="20"/>
          <w:szCs w:val="20"/>
        </w:rPr>
      </w:pPr>
      <w:r w:rsidRPr="0026617A">
        <w:rPr>
          <w:iCs/>
          <w:sz w:val="20"/>
          <w:szCs w:val="20"/>
          <w:lang w:val="en-US"/>
        </w:rPr>
        <w:t xml:space="preserve">Poppo, A., M. S. Mahendra dan I. K. Sundra. 2012. Studi Kualitas Perairan Pantai di Kawasan Industri Perikanan, Desa Pengambengan, </w:t>
      </w:r>
      <w:r w:rsidRPr="0026617A">
        <w:rPr>
          <w:iCs/>
          <w:sz w:val="20"/>
          <w:szCs w:val="20"/>
          <w:lang w:val="en-US"/>
        </w:rPr>
        <w:lastRenderedPageBreak/>
        <w:t xml:space="preserve">Kecamatan Negara, Kabupaten Jembrana. </w:t>
      </w:r>
      <w:r w:rsidRPr="00C65975">
        <w:rPr>
          <w:i/>
          <w:iCs/>
          <w:sz w:val="20"/>
          <w:szCs w:val="20"/>
          <w:lang w:val="en-US"/>
        </w:rPr>
        <w:t>Jurnal Ecotrophic.</w:t>
      </w:r>
      <w:r w:rsidRPr="0026617A">
        <w:rPr>
          <w:iCs/>
          <w:sz w:val="20"/>
          <w:szCs w:val="20"/>
          <w:lang w:val="en-US"/>
        </w:rPr>
        <w:t xml:space="preserve"> 3(2): 98 – 103.</w:t>
      </w:r>
      <w:r>
        <w:rPr>
          <w:iCs/>
          <w:sz w:val="20"/>
          <w:szCs w:val="20"/>
          <w:lang w:val="en-US"/>
        </w:rPr>
        <w:t xml:space="preserve"> </w:t>
      </w:r>
    </w:p>
    <w:p w14:paraId="070CF90F" w14:textId="77777777" w:rsidR="00B87645" w:rsidRDefault="00B87645" w:rsidP="00D33D7D">
      <w:pPr>
        <w:ind w:left="770" w:hanging="550"/>
        <w:jc w:val="both"/>
        <w:rPr>
          <w:rFonts w:eastAsia="ArialMT"/>
          <w:sz w:val="20"/>
          <w:szCs w:val="20"/>
        </w:rPr>
      </w:pPr>
      <w:r w:rsidRPr="0026617A">
        <w:rPr>
          <w:sz w:val="20"/>
          <w:szCs w:val="20"/>
        </w:rPr>
        <w:t xml:space="preserve">Rukminasari, N., Nadiarti dan K. Awaluddin. 2014. Pengaruh Derajat Keasaman (pH) Air Laut Terhadap Konsentrasi Kalsium dan Laju Pertumbuhan </w:t>
      </w:r>
      <w:r w:rsidRPr="0026617A">
        <w:rPr>
          <w:i/>
          <w:sz w:val="20"/>
          <w:szCs w:val="20"/>
        </w:rPr>
        <w:t>Halimeda</w:t>
      </w:r>
      <w:r w:rsidRPr="0026617A">
        <w:rPr>
          <w:sz w:val="20"/>
          <w:szCs w:val="20"/>
        </w:rPr>
        <w:t xml:space="preserve"> sp. </w:t>
      </w:r>
      <w:r w:rsidRPr="00C65975">
        <w:rPr>
          <w:i/>
          <w:sz w:val="20"/>
          <w:szCs w:val="20"/>
        </w:rPr>
        <w:t>Jurnal Ilmu Kelautan dan Perikanan</w:t>
      </w:r>
      <w:r w:rsidR="00C65975">
        <w:rPr>
          <w:sz w:val="20"/>
          <w:szCs w:val="20"/>
        </w:rPr>
        <w:t>.</w:t>
      </w:r>
      <w:r w:rsidRPr="0026617A">
        <w:rPr>
          <w:sz w:val="20"/>
          <w:szCs w:val="20"/>
        </w:rPr>
        <w:t xml:space="preserve"> 24(1): 28 - 34.</w:t>
      </w:r>
      <w:r>
        <w:rPr>
          <w:sz w:val="20"/>
          <w:szCs w:val="20"/>
          <w:lang w:val="en-US"/>
        </w:rPr>
        <w:t xml:space="preserve"> </w:t>
      </w:r>
    </w:p>
    <w:p w14:paraId="17BB6FF2" w14:textId="77777777" w:rsidR="00B87645" w:rsidRDefault="00B87645" w:rsidP="00D33D7D">
      <w:pPr>
        <w:ind w:left="770" w:hanging="550"/>
        <w:jc w:val="both"/>
        <w:rPr>
          <w:rStyle w:val="A5"/>
          <w:rFonts w:eastAsia="ArialMT" w:cs="Tahoma"/>
          <w:color w:val="auto"/>
          <w:sz w:val="20"/>
          <w:szCs w:val="20"/>
        </w:rPr>
      </w:pPr>
      <w:r w:rsidRPr="0026617A">
        <w:rPr>
          <w:sz w:val="20"/>
          <w:szCs w:val="20"/>
        </w:rPr>
        <w:t xml:space="preserve">Schaduw, J.N.W. 2018. </w:t>
      </w:r>
      <w:r w:rsidRPr="0026617A">
        <w:rPr>
          <w:bCs/>
          <w:color w:val="000000"/>
          <w:sz w:val="20"/>
          <w:szCs w:val="20"/>
        </w:rPr>
        <w:t>Distribusi Dan Karakteristik Kualitas Perairan Ekosistem Mangrove Pul</w:t>
      </w:r>
      <w:r w:rsidRPr="0026617A">
        <w:rPr>
          <w:bCs/>
          <w:sz w:val="20"/>
          <w:szCs w:val="20"/>
        </w:rPr>
        <w:t xml:space="preserve">au Kecil Taman Nasional Bunaken. </w:t>
      </w:r>
      <w:r w:rsidRPr="0026617A">
        <w:rPr>
          <w:rStyle w:val="A5"/>
          <w:rFonts w:cs="Tahoma"/>
          <w:i/>
          <w:sz w:val="20"/>
          <w:szCs w:val="20"/>
        </w:rPr>
        <w:t>Majalah Geografi Indonesia</w:t>
      </w:r>
      <w:r w:rsidR="00C65975">
        <w:rPr>
          <w:rStyle w:val="A5"/>
          <w:rFonts w:cs="Tahoma"/>
          <w:sz w:val="20"/>
          <w:szCs w:val="20"/>
        </w:rPr>
        <w:t>.</w:t>
      </w:r>
      <w:r w:rsidRPr="0026617A">
        <w:rPr>
          <w:rStyle w:val="A5"/>
          <w:rFonts w:cs="Tahoma"/>
          <w:sz w:val="20"/>
          <w:szCs w:val="20"/>
        </w:rPr>
        <w:t xml:space="preserve"> 32(1): 40 – 49.</w:t>
      </w:r>
      <w:r>
        <w:rPr>
          <w:rStyle w:val="A5"/>
          <w:rFonts w:cs="Tahoma"/>
          <w:sz w:val="20"/>
          <w:szCs w:val="20"/>
          <w:lang w:val="en-US"/>
        </w:rPr>
        <w:t xml:space="preserve"> </w:t>
      </w:r>
    </w:p>
    <w:p w14:paraId="0CC252EF" w14:textId="77777777" w:rsidR="00B87645" w:rsidRDefault="00B87645" w:rsidP="00D33D7D">
      <w:pPr>
        <w:ind w:left="770" w:hanging="550"/>
        <w:jc w:val="both"/>
        <w:rPr>
          <w:rFonts w:eastAsia="ArialMT"/>
          <w:sz w:val="20"/>
          <w:szCs w:val="20"/>
        </w:rPr>
      </w:pPr>
      <w:r w:rsidRPr="0026617A">
        <w:rPr>
          <w:sz w:val="20"/>
          <w:szCs w:val="20"/>
          <w:lang w:val="en-US"/>
        </w:rPr>
        <w:t xml:space="preserve">Sidabuntar, E. A., A. Sartimbul dan M. Handayani. 2019. Distribusi Suhu, Salinitas dan Oksigen Terlarut Terhadap Kedalaman di Perairan Teluk Prigi Kabupaten Trenggalek. </w:t>
      </w:r>
      <w:r w:rsidRPr="00C65975">
        <w:rPr>
          <w:i/>
          <w:sz w:val="20"/>
          <w:szCs w:val="20"/>
          <w:lang w:val="en-US"/>
        </w:rPr>
        <w:t>Journal of Fisheries and Marine Research.</w:t>
      </w:r>
      <w:r w:rsidRPr="0026617A">
        <w:rPr>
          <w:sz w:val="20"/>
          <w:szCs w:val="20"/>
          <w:lang w:val="en-US"/>
        </w:rPr>
        <w:t xml:space="preserve"> 3(1): 46 – 52.</w:t>
      </w:r>
      <w:r>
        <w:rPr>
          <w:sz w:val="20"/>
          <w:szCs w:val="20"/>
          <w:lang w:val="en-US"/>
        </w:rPr>
        <w:t xml:space="preserve"> </w:t>
      </w:r>
    </w:p>
    <w:p w14:paraId="15F46142" w14:textId="77777777" w:rsidR="00B87645" w:rsidRDefault="00B87645" w:rsidP="00D33D7D">
      <w:pPr>
        <w:ind w:left="770" w:hanging="550"/>
        <w:jc w:val="both"/>
        <w:rPr>
          <w:rFonts w:eastAsia="ArialMT"/>
          <w:sz w:val="20"/>
          <w:szCs w:val="20"/>
        </w:rPr>
      </w:pPr>
      <w:r w:rsidRPr="0026617A">
        <w:rPr>
          <w:color w:val="0D0D0D" w:themeColor="text1" w:themeTint="F2"/>
          <w:sz w:val="20"/>
          <w:szCs w:val="20"/>
          <w:shd w:val="clear" w:color="auto" w:fill="FFFFFF"/>
        </w:rPr>
        <w:t>Sidauruk, P., D. N. Sugianto dan A. Ismanto. 2015. Analisis Sebaran Sedimen Dasar Air Akibat Pengaruh Arus Sejajar Pantai (</w:t>
      </w:r>
      <w:r w:rsidRPr="0026617A">
        <w:rPr>
          <w:i/>
          <w:color w:val="0D0D0D" w:themeColor="text1" w:themeTint="F2"/>
          <w:sz w:val="20"/>
          <w:szCs w:val="20"/>
          <w:shd w:val="clear" w:color="auto" w:fill="FFFFFF"/>
        </w:rPr>
        <w:t>Longshore Current</w:t>
      </w:r>
      <w:r w:rsidRPr="0026617A">
        <w:rPr>
          <w:color w:val="0D0D0D" w:themeColor="text1" w:themeTint="F2"/>
          <w:sz w:val="20"/>
          <w:szCs w:val="20"/>
          <w:shd w:val="clear" w:color="auto" w:fill="FFFFFF"/>
        </w:rPr>
        <w:t xml:space="preserve">) di Perairan Makassar. </w:t>
      </w:r>
      <w:r w:rsidRPr="0026617A">
        <w:rPr>
          <w:i/>
          <w:color w:val="0D0D0D" w:themeColor="text1" w:themeTint="F2"/>
          <w:sz w:val="20"/>
          <w:szCs w:val="20"/>
          <w:shd w:val="clear" w:color="auto" w:fill="FFFFFF"/>
        </w:rPr>
        <w:t>Jurnal Oseanografi.</w:t>
      </w:r>
      <w:r w:rsidRPr="0026617A">
        <w:rPr>
          <w:color w:val="0D0D0D" w:themeColor="text1" w:themeTint="F2"/>
          <w:sz w:val="20"/>
          <w:szCs w:val="20"/>
          <w:shd w:val="clear" w:color="auto" w:fill="FFFFFF"/>
        </w:rPr>
        <w:t xml:space="preserve"> 4(3): 563 - 569.</w:t>
      </w:r>
    </w:p>
    <w:p w14:paraId="5B43F0EC" w14:textId="77777777" w:rsidR="00B87645" w:rsidRDefault="00B87645" w:rsidP="00D33D7D">
      <w:pPr>
        <w:ind w:left="770" w:hanging="550"/>
        <w:jc w:val="both"/>
        <w:rPr>
          <w:rFonts w:eastAsia="ArialMT"/>
          <w:sz w:val="20"/>
          <w:szCs w:val="20"/>
        </w:rPr>
      </w:pPr>
      <w:r w:rsidRPr="0026617A">
        <w:rPr>
          <w:sz w:val="20"/>
          <w:szCs w:val="20"/>
        </w:rPr>
        <w:t xml:space="preserve">Simbolon, A. R. 2016. Status Pencemaran di Perairan Cilincing, Pesisir DKI Jakarta. </w:t>
      </w:r>
      <w:r w:rsidRPr="0026617A">
        <w:rPr>
          <w:i/>
          <w:sz w:val="20"/>
          <w:szCs w:val="20"/>
        </w:rPr>
        <w:t>Proceeding Biology Education Conference.</w:t>
      </w:r>
      <w:r w:rsidRPr="0026617A">
        <w:rPr>
          <w:sz w:val="20"/>
          <w:szCs w:val="20"/>
        </w:rPr>
        <w:t>, 13(1): 677 - 682.</w:t>
      </w:r>
      <w:r>
        <w:rPr>
          <w:sz w:val="20"/>
          <w:szCs w:val="20"/>
          <w:lang w:val="en-US"/>
        </w:rPr>
        <w:t xml:space="preserve"> </w:t>
      </w:r>
    </w:p>
    <w:p w14:paraId="587E86AB" w14:textId="77777777" w:rsidR="00B87645" w:rsidRDefault="00B87645" w:rsidP="00D33D7D">
      <w:pPr>
        <w:ind w:left="770" w:hanging="550"/>
        <w:jc w:val="both"/>
        <w:rPr>
          <w:rFonts w:eastAsia="ArialMT"/>
          <w:sz w:val="20"/>
          <w:szCs w:val="20"/>
        </w:rPr>
      </w:pPr>
      <w:r w:rsidRPr="0026617A">
        <w:rPr>
          <w:iCs/>
          <w:sz w:val="20"/>
          <w:szCs w:val="20"/>
          <w:lang w:val="en-US"/>
        </w:rPr>
        <w:t xml:space="preserve">Tamyis, 2015. Perbandingan Rasio BOD/COD pada Area Tambak di Hulu dan Hilir Terhadap Biodegradabilitas Bahan Organik. </w:t>
      </w:r>
      <w:r w:rsidRPr="00C65975">
        <w:rPr>
          <w:i/>
          <w:iCs/>
          <w:sz w:val="20"/>
          <w:szCs w:val="20"/>
          <w:lang w:val="en-US"/>
        </w:rPr>
        <w:t>Journal of Research and Technology</w:t>
      </w:r>
      <w:r>
        <w:rPr>
          <w:iCs/>
          <w:sz w:val="20"/>
          <w:szCs w:val="20"/>
          <w:lang w:val="en-US"/>
        </w:rPr>
        <w:t xml:space="preserve">. 1(1): 9- 15. </w:t>
      </w:r>
    </w:p>
    <w:p w14:paraId="09012E68" w14:textId="77777777" w:rsidR="00B87645" w:rsidRDefault="00B87645" w:rsidP="00D33D7D">
      <w:pPr>
        <w:ind w:left="770" w:hanging="550"/>
        <w:jc w:val="both"/>
        <w:rPr>
          <w:rFonts w:eastAsia="ArialMT"/>
          <w:sz w:val="20"/>
          <w:szCs w:val="20"/>
        </w:rPr>
      </w:pPr>
      <w:r w:rsidRPr="0026617A">
        <w:rPr>
          <w:color w:val="0D0D0D" w:themeColor="text1" w:themeTint="F2"/>
          <w:sz w:val="20"/>
          <w:szCs w:val="20"/>
          <w:shd w:val="clear" w:color="auto" w:fill="FFFFFF"/>
        </w:rPr>
        <w:t>Tanto, A., U.J. Wisha, G. Kusumah, W S. Pranowo, S. Husrin dan A. Putra. 2017. Karakteristik arus laut perairan teluk benoa–bali. </w:t>
      </w:r>
      <w:r w:rsidRPr="0026617A">
        <w:rPr>
          <w:i/>
          <w:iCs/>
          <w:color w:val="0D0D0D" w:themeColor="text1" w:themeTint="F2"/>
          <w:sz w:val="20"/>
          <w:szCs w:val="20"/>
          <w:shd w:val="clear" w:color="auto" w:fill="FFFFFF"/>
        </w:rPr>
        <w:t>Geomatika.</w:t>
      </w:r>
      <w:r w:rsidR="00C65975">
        <w:rPr>
          <w:color w:val="0D0D0D" w:themeColor="text1" w:themeTint="F2"/>
          <w:sz w:val="20"/>
          <w:szCs w:val="20"/>
          <w:shd w:val="clear" w:color="auto" w:fill="FFFFFF"/>
        </w:rPr>
        <w:t xml:space="preserve"> 23</w:t>
      </w:r>
      <w:r w:rsidRPr="0026617A">
        <w:rPr>
          <w:color w:val="0D0D0D" w:themeColor="text1" w:themeTint="F2"/>
          <w:sz w:val="20"/>
          <w:szCs w:val="20"/>
          <w:shd w:val="clear" w:color="auto" w:fill="FFFFFF"/>
        </w:rPr>
        <w:t>(1): 37 - 48.</w:t>
      </w:r>
    </w:p>
    <w:p w14:paraId="0D5E0EEC" w14:textId="77777777" w:rsidR="00B87645" w:rsidRDefault="00624631" w:rsidP="00D33D7D">
      <w:pPr>
        <w:ind w:left="770" w:hanging="550"/>
        <w:jc w:val="both"/>
        <w:rPr>
          <w:rFonts w:eastAsia="ArialMT"/>
          <w:sz w:val="20"/>
          <w:szCs w:val="20"/>
        </w:rPr>
      </w:pPr>
      <w:r>
        <w:rPr>
          <w:color w:val="0D0D0D" w:themeColor="text1" w:themeTint="F2"/>
          <w:sz w:val="20"/>
          <w:szCs w:val="20"/>
          <w:shd w:val="clear" w:color="auto" w:fill="FFFFFF"/>
        </w:rPr>
        <w:t>Tanto, T.A.,</w:t>
      </w:r>
      <w:r>
        <w:rPr>
          <w:color w:val="0D0D0D" w:themeColor="text1" w:themeTint="F2"/>
          <w:sz w:val="20"/>
          <w:szCs w:val="20"/>
          <w:shd w:val="clear" w:color="auto" w:fill="FFFFFF"/>
          <w:lang w:val="en-US"/>
        </w:rPr>
        <w:t xml:space="preserve"> </w:t>
      </w:r>
      <w:r w:rsidR="00B87645" w:rsidRPr="0026617A">
        <w:rPr>
          <w:color w:val="0D0D0D" w:themeColor="text1" w:themeTint="F2"/>
          <w:sz w:val="20"/>
          <w:szCs w:val="20"/>
          <w:shd w:val="clear" w:color="auto" w:fill="FFFFFF"/>
        </w:rPr>
        <w:t xml:space="preserve">N. Naelul dan Ilham. 2018. Kualitas Air Laut untuk Mendukung Wisata Bahari dan Kehidupan Biota Laut. </w:t>
      </w:r>
      <w:r w:rsidR="00B87645" w:rsidRPr="0026617A">
        <w:rPr>
          <w:i/>
          <w:color w:val="0D0D0D" w:themeColor="text1" w:themeTint="F2"/>
          <w:sz w:val="20"/>
          <w:szCs w:val="20"/>
          <w:shd w:val="clear" w:color="auto" w:fill="FFFFFF"/>
        </w:rPr>
        <w:t>Jurnal Trunojoyo.</w:t>
      </w:r>
      <w:r w:rsidR="00C65975">
        <w:rPr>
          <w:color w:val="0D0D0D" w:themeColor="text1" w:themeTint="F2"/>
          <w:sz w:val="20"/>
          <w:szCs w:val="20"/>
          <w:shd w:val="clear" w:color="auto" w:fill="FFFFFF"/>
        </w:rPr>
        <w:t xml:space="preserve"> </w:t>
      </w:r>
      <w:r w:rsidR="00B87645" w:rsidRPr="0026617A">
        <w:rPr>
          <w:color w:val="0D0D0D" w:themeColor="text1" w:themeTint="F2"/>
          <w:sz w:val="20"/>
          <w:szCs w:val="20"/>
          <w:shd w:val="clear" w:color="auto" w:fill="FFFFFF"/>
        </w:rPr>
        <w:t>11(2): 173 - 183.</w:t>
      </w:r>
    </w:p>
    <w:p w14:paraId="6C6F1D9E" w14:textId="77777777" w:rsidR="00B87645" w:rsidRPr="00B87645" w:rsidRDefault="00B87645" w:rsidP="00D33D7D">
      <w:pPr>
        <w:ind w:left="770" w:hanging="550"/>
        <w:jc w:val="both"/>
        <w:rPr>
          <w:rFonts w:eastAsia="ArialMT"/>
          <w:sz w:val="20"/>
          <w:szCs w:val="20"/>
        </w:rPr>
      </w:pPr>
      <w:r w:rsidRPr="0026617A">
        <w:rPr>
          <w:sz w:val="20"/>
          <w:szCs w:val="20"/>
          <w:lang w:val="en-US"/>
        </w:rPr>
        <w:t>Wagiran. 2013. Metodologi Penelitian Pendidikan: Teori dan Implementasi. Deepublish: Sleman.</w:t>
      </w:r>
    </w:p>
    <w:p w14:paraId="7DD024D7" w14:textId="77777777" w:rsidR="00B87645" w:rsidRPr="0026617A" w:rsidRDefault="00B87645" w:rsidP="00B87645">
      <w:pPr>
        <w:ind w:left="770" w:hanging="550"/>
        <w:jc w:val="both"/>
        <w:rPr>
          <w:color w:val="0D0D0D" w:themeColor="text1" w:themeTint="F2"/>
          <w:sz w:val="20"/>
          <w:szCs w:val="20"/>
          <w:shd w:val="clear" w:color="auto" w:fill="FFFFFF"/>
        </w:rPr>
      </w:pPr>
    </w:p>
    <w:p w14:paraId="3522426B" w14:textId="77777777" w:rsidR="002759E4" w:rsidRPr="006B5B15" w:rsidRDefault="002759E4" w:rsidP="00B87645">
      <w:pPr>
        <w:pStyle w:val="BodyText"/>
        <w:spacing w:line="237" w:lineRule="auto"/>
        <w:ind w:right="117"/>
        <w:jc w:val="both"/>
      </w:pPr>
    </w:p>
    <w:sectPr w:rsidR="002759E4" w:rsidRPr="006B5B15">
      <w:type w:val="continuous"/>
      <w:pgSz w:w="11910" w:h="16840"/>
      <w:pgMar w:top="920" w:right="900" w:bottom="280" w:left="860" w:header="720" w:footer="720" w:gutter="0"/>
      <w:cols w:num="2" w:space="720" w:equalWidth="0">
        <w:col w:w="4944" w:space="186"/>
        <w:col w:w="50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F50C7" w16cex:dateUtc="2022-09-04T09:28:00Z"/>
  <w16cex:commentExtensible w16cex:durableId="26BF5118" w16cex:dateUtc="2022-09-04T09:30:00Z"/>
  <w16cex:commentExtensible w16cex:durableId="26BF5203" w16cex:dateUtc="2022-09-04T09:34:00Z"/>
  <w16cex:commentExtensible w16cex:durableId="26BF5231" w16cex:dateUtc="2022-09-04T09:34:00Z"/>
  <w16cex:commentExtensible w16cex:durableId="26BF52D2" w16cex:dateUtc="2022-09-04T09:37:00Z"/>
  <w16cex:commentExtensible w16cex:durableId="26BF5315" w16cex:dateUtc="2022-09-04T09:38:00Z"/>
  <w16cex:commentExtensible w16cex:durableId="26BF53CD" w16cex:dateUtc="2022-09-0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F3D71" w16cid:durableId="26BF50C7"/>
  <w16cid:commentId w16cid:paraId="0385FF84" w16cid:durableId="26BF5118"/>
  <w16cid:commentId w16cid:paraId="346F5791" w16cid:durableId="26BF5203"/>
  <w16cid:commentId w16cid:paraId="08B1C975" w16cid:durableId="26BF5231"/>
  <w16cid:commentId w16cid:paraId="75F9150A" w16cid:durableId="26BF52D2"/>
  <w16cid:commentId w16cid:paraId="42BACE25" w16cid:durableId="26BF5315"/>
  <w16cid:commentId w16cid:paraId="4F1129BD" w16cid:durableId="26BF53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9F9"/>
    <w:multiLevelType w:val="hybridMultilevel"/>
    <w:tmpl w:val="714A9122"/>
    <w:lvl w:ilvl="0" w:tplc="6840DE6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F1C85"/>
    <w:multiLevelType w:val="multilevel"/>
    <w:tmpl w:val="2EF605F2"/>
    <w:lvl w:ilvl="0">
      <w:start w:val="1"/>
      <w:numFmt w:val="decimal"/>
      <w:lvlText w:val="%1."/>
      <w:lvlJc w:val="left"/>
      <w:pPr>
        <w:ind w:left="360" w:hanging="360"/>
      </w:pPr>
      <w:rPr>
        <w:rFonts w:hint="default"/>
        <w:b w:val="0"/>
        <w:strike w:val="0"/>
        <w:color w:val="auto"/>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strike w:val="0"/>
        <w:color w:val="000000" w:themeColor="text1"/>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682E0595"/>
    <w:multiLevelType w:val="hybridMultilevel"/>
    <w:tmpl w:val="AB485C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E4"/>
    <w:rsid w:val="000118AB"/>
    <w:rsid w:val="00023CD8"/>
    <w:rsid w:val="00030A81"/>
    <w:rsid w:val="00063ECF"/>
    <w:rsid w:val="00065E69"/>
    <w:rsid w:val="000675BB"/>
    <w:rsid w:val="00077F4B"/>
    <w:rsid w:val="00086994"/>
    <w:rsid w:val="0009640E"/>
    <w:rsid w:val="000C4545"/>
    <w:rsid w:val="000D2B1F"/>
    <w:rsid w:val="000E7A71"/>
    <w:rsid w:val="000F2EEE"/>
    <w:rsid w:val="0010494B"/>
    <w:rsid w:val="001220E8"/>
    <w:rsid w:val="00125743"/>
    <w:rsid w:val="001311EC"/>
    <w:rsid w:val="00146BC3"/>
    <w:rsid w:val="00164562"/>
    <w:rsid w:val="00164C8D"/>
    <w:rsid w:val="00187F89"/>
    <w:rsid w:val="001B3733"/>
    <w:rsid w:val="001C258B"/>
    <w:rsid w:val="001E1F28"/>
    <w:rsid w:val="001F39AE"/>
    <w:rsid w:val="001F6518"/>
    <w:rsid w:val="00232968"/>
    <w:rsid w:val="00241483"/>
    <w:rsid w:val="0026617A"/>
    <w:rsid w:val="00270BA0"/>
    <w:rsid w:val="002759E4"/>
    <w:rsid w:val="00275FB4"/>
    <w:rsid w:val="00286363"/>
    <w:rsid w:val="002A7C1D"/>
    <w:rsid w:val="002C7DE5"/>
    <w:rsid w:val="002E75BF"/>
    <w:rsid w:val="00321F33"/>
    <w:rsid w:val="0033361B"/>
    <w:rsid w:val="00337E52"/>
    <w:rsid w:val="00346F52"/>
    <w:rsid w:val="00364C02"/>
    <w:rsid w:val="00374182"/>
    <w:rsid w:val="00384599"/>
    <w:rsid w:val="00396BB3"/>
    <w:rsid w:val="003C7C70"/>
    <w:rsid w:val="003E677A"/>
    <w:rsid w:val="00404CB5"/>
    <w:rsid w:val="00436605"/>
    <w:rsid w:val="00443520"/>
    <w:rsid w:val="0046599D"/>
    <w:rsid w:val="00472EEB"/>
    <w:rsid w:val="00492FA0"/>
    <w:rsid w:val="004B6020"/>
    <w:rsid w:val="004B64C8"/>
    <w:rsid w:val="004C65E4"/>
    <w:rsid w:val="004E03CB"/>
    <w:rsid w:val="004F1C2F"/>
    <w:rsid w:val="0050148D"/>
    <w:rsid w:val="00517DEB"/>
    <w:rsid w:val="005345DE"/>
    <w:rsid w:val="00537421"/>
    <w:rsid w:val="005900D0"/>
    <w:rsid w:val="00591F46"/>
    <w:rsid w:val="005B0CD2"/>
    <w:rsid w:val="005B103D"/>
    <w:rsid w:val="005C564C"/>
    <w:rsid w:val="005E7A6E"/>
    <w:rsid w:val="00601C6A"/>
    <w:rsid w:val="00624631"/>
    <w:rsid w:val="006324AC"/>
    <w:rsid w:val="0064004F"/>
    <w:rsid w:val="0064389A"/>
    <w:rsid w:val="00652DA2"/>
    <w:rsid w:val="006551E7"/>
    <w:rsid w:val="00677B47"/>
    <w:rsid w:val="006B41B0"/>
    <w:rsid w:val="006B5B15"/>
    <w:rsid w:val="006B6E2F"/>
    <w:rsid w:val="006C3B18"/>
    <w:rsid w:val="006D6A3D"/>
    <w:rsid w:val="006D7DF5"/>
    <w:rsid w:val="0074253B"/>
    <w:rsid w:val="00772B86"/>
    <w:rsid w:val="00795D64"/>
    <w:rsid w:val="007970B3"/>
    <w:rsid w:val="007A23C2"/>
    <w:rsid w:val="007C3F41"/>
    <w:rsid w:val="0081536E"/>
    <w:rsid w:val="00822EC2"/>
    <w:rsid w:val="0082350A"/>
    <w:rsid w:val="00830046"/>
    <w:rsid w:val="00836F86"/>
    <w:rsid w:val="008453E4"/>
    <w:rsid w:val="00851257"/>
    <w:rsid w:val="00873D3A"/>
    <w:rsid w:val="008837D7"/>
    <w:rsid w:val="008A68E5"/>
    <w:rsid w:val="008F3173"/>
    <w:rsid w:val="008F7C1F"/>
    <w:rsid w:val="00902835"/>
    <w:rsid w:val="0090379D"/>
    <w:rsid w:val="00945B5E"/>
    <w:rsid w:val="0095640D"/>
    <w:rsid w:val="00962CD2"/>
    <w:rsid w:val="00964108"/>
    <w:rsid w:val="00967453"/>
    <w:rsid w:val="0096778C"/>
    <w:rsid w:val="00970507"/>
    <w:rsid w:val="009932AB"/>
    <w:rsid w:val="00993347"/>
    <w:rsid w:val="009C477A"/>
    <w:rsid w:val="009E7B6D"/>
    <w:rsid w:val="00A15829"/>
    <w:rsid w:val="00A16AFD"/>
    <w:rsid w:val="00A3274B"/>
    <w:rsid w:val="00A34512"/>
    <w:rsid w:val="00A366C7"/>
    <w:rsid w:val="00A40060"/>
    <w:rsid w:val="00A403D4"/>
    <w:rsid w:val="00A55023"/>
    <w:rsid w:val="00A75A10"/>
    <w:rsid w:val="00AD5DFB"/>
    <w:rsid w:val="00AE2491"/>
    <w:rsid w:val="00B451FF"/>
    <w:rsid w:val="00B77FC2"/>
    <w:rsid w:val="00B87645"/>
    <w:rsid w:val="00B92907"/>
    <w:rsid w:val="00B93B81"/>
    <w:rsid w:val="00B95DB3"/>
    <w:rsid w:val="00B97547"/>
    <w:rsid w:val="00BB4787"/>
    <w:rsid w:val="00BB6311"/>
    <w:rsid w:val="00C03F69"/>
    <w:rsid w:val="00C1153C"/>
    <w:rsid w:val="00C22DA5"/>
    <w:rsid w:val="00C3194B"/>
    <w:rsid w:val="00C50C3D"/>
    <w:rsid w:val="00C65975"/>
    <w:rsid w:val="00C74738"/>
    <w:rsid w:val="00C77C98"/>
    <w:rsid w:val="00C93A6A"/>
    <w:rsid w:val="00CA336C"/>
    <w:rsid w:val="00CD091E"/>
    <w:rsid w:val="00CF37BB"/>
    <w:rsid w:val="00D03C92"/>
    <w:rsid w:val="00D101C3"/>
    <w:rsid w:val="00D130CB"/>
    <w:rsid w:val="00D16374"/>
    <w:rsid w:val="00D33751"/>
    <w:rsid w:val="00D33D7D"/>
    <w:rsid w:val="00D55F3B"/>
    <w:rsid w:val="00D86574"/>
    <w:rsid w:val="00D97B36"/>
    <w:rsid w:val="00DB260E"/>
    <w:rsid w:val="00DC379B"/>
    <w:rsid w:val="00DE1B40"/>
    <w:rsid w:val="00E072DA"/>
    <w:rsid w:val="00E10347"/>
    <w:rsid w:val="00E10622"/>
    <w:rsid w:val="00E16F91"/>
    <w:rsid w:val="00E24246"/>
    <w:rsid w:val="00E30A4A"/>
    <w:rsid w:val="00E41FB7"/>
    <w:rsid w:val="00E4621E"/>
    <w:rsid w:val="00E748B4"/>
    <w:rsid w:val="00EC0BBD"/>
    <w:rsid w:val="00F032A8"/>
    <w:rsid w:val="00F23E11"/>
    <w:rsid w:val="00F33B81"/>
    <w:rsid w:val="00F36484"/>
    <w:rsid w:val="00F37A10"/>
    <w:rsid w:val="00F40430"/>
    <w:rsid w:val="00F45A2C"/>
    <w:rsid w:val="00F8052C"/>
    <w:rsid w:val="00F8201C"/>
    <w:rsid w:val="00F84BE3"/>
    <w:rsid w:val="00F86724"/>
    <w:rsid w:val="00F87C07"/>
    <w:rsid w:val="00F95C78"/>
    <w:rsid w:val="00FD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6781"/>
  <w15:docId w15:val="{ABCCD19D-80BE-4B63-A27A-CBCEA51F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id"/>
    </w:rPr>
  </w:style>
  <w:style w:type="paragraph" w:styleId="Heading1">
    <w:name w:val="heading 1"/>
    <w:basedOn w:val="Normal"/>
    <w:uiPriority w:val="1"/>
    <w:qFormat/>
    <w:pPr>
      <w:ind w:left="1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179" w:right="135"/>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line="196" w:lineRule="exact"/>
    </w:pPr>
  </w:style>
  <w:style w:type="paragraph" w:styleId="Header">
    <w:name w:val="header"/>
    <w:basedOn w:val="Normal"/>
    <w:link w:val="HeaderChar"/>
    <w:uiPriority w:val="99"/>
    <w:unhideWhenUsed/>
    <w:rsid w:val="006324AC"/>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6324AC"/>
  </w:style>
  <w:style w:type="character" w:styleId="Hyperlink">
    <w:name w:val="Hyperlink"/>
    <w:basedOn w:val="DefaultParagraphFont"/>
    <w:uiPriority w:val="99"/>
    <w:unhideWhenUsed/>
    <w:rsid w:val="006324AC"/>
    <w:rPr>
      <w:color w:val="0000FF" w:themeColor="hyperlink"/>
      <w:u w:val="single"/>
    </w:rPr>
  </w:style>
  <w:style w:type="table" w:styleId="TableGrid">
    <w:name w:val="Table Grid"/>
    <w:basedOn w:val="TableNormal"/>
    <w:uiPriority w:val="39"/>
    <w:rsid w:val="0081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B92907"/>
    <w:rPr>
      <w:rFonts w:cs="Minion Pro"/>
      <w:color w:val="000000"/>
      <w:sz w:val="16"/>
      <w:szCs w:val="16"/>
    </w:rPr>
  </w:style>
  <w:style w:type="character" w:styleId="CommentReference">
    <w:name w:val="annotation reference"/>
    <w:basedOn w:val="DefaultParagraphFont"/>
    <w:uiPriority w:val="99"/>
    <w:semiHidden/>
    <w:unhideWhenUsed/>
    <w:rsid w:val="00836F86"/>
    <w:rPr>
      <w:sz w:val="16"/>
      <w:szCs w:val="16"/>
    </w:rPr>
  </w:style>
  <w:style w:type="paragraph" w:styleId="CommentText">
    <w:name w:val="annotation text"/>
    <w:basedOn w:val="Normal"/>
    <w:link w:val="CommentTextChar"/>
    <w:uiPriority w:val="99"/>
    <w:semiHidden/>
    <w:unhideWhenUsed/>
    <w:rsid w:val="00836F86"/>
    <w:rPr>
      <w:sz w:val="20"/>
      <w:szCs w:val="20"/>
    </w:rPr>
  </w:style>
  <w:style w:type="character" w:customStyle="1" w:styleId="CommentTextChar">
    <w:name w:val="Comment Text Char"/>
    <w:basedOn w:val="DefaultParagraphFont"/>
    <w:link w:val="CommentText"/>
    <w:uiPriority w:val="99"/>
    <w:semiHidden/>
    <w:rsid w:val="00836F86"/>
    <w:rPr>
      <w:rFonts w:ascii="Tahoma" w:eastAsia="Tahoma" w:hAnsi="Tahoma" w:cs="Tahoma"/>
      <w:sz w:val="20"/>
      <w:szCs w:val="20"/>
      <w:lang w:val="id"/>
    </w:rPr>
  </w:style>
  <w:style w:type="paragraph" w:styleId="CommentSubject">
    <w:name w:val="annotation subject"/>
    <w:basedOn w:val="CommentText"/>
    <w:next w:val="CommentText"/>
    <w:link w:val="CommentSubjectChar"/>
    <w:uiPriority w:val="99"/>
    <w:semiHidden/>
    <w:unhideWhenUsed/>
    <w:rsid w:val="00836F86"/>
    <w:rPr>
      <w:b/>
      <w:bCs/>
    </w:rPr>
  </w:style>
  <w:style w:type="character" w:customStyle="1" w:styleId="CommentSubjectChar">
    <w:name w:val="Comment Subject Char"/>
    <w:basedOn w:val="CommentTextChar"/>
    <w:link w:val="CommentSubject"/>
    <w:uiPriority w:val="99"/>
    <w:semiHidden/>
    <w:rsid w:val="00836F86"/>
    <w:rPr>
      <w:rFonts w:ascii="Tahoma" w:eastAsia="Tahoma" w:hAnsi="Tahoma" w:cs="Tahoma"/>
      <w:b/>
      <w:bCs/>
      <w:sz w:val="20"/>
      <w:szCs w:val="20"/>
      <w:lang w:val="id"/>
    </w:rPr>
  </w:style>
  <w:style w:type="paragraph" w:styleId="BalloonText">
    <w:name w:val="Balloon Text"/>
    <w:basedOn w:val="Normal"/>
    <w:link w:val="BalloonTextChar"/>
    <w:uiPriority w:val="99"/>
    <w:semiHidden/>
    <w:unhideWhenUsed/>
    <w:rsid w:val="00AE2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91"/>
    <w:rPr>
      <w:rFonts w:ascii="Segoe UI" w:eastAsia="Tahoma"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8466">
      <w:bodyDiv w:val="1"/>
      <w:marLeft w:val="0"/>
      <w:marRight w:val="0"/>
      <w:marTop w:val="0"/>
      <w:marBottom w:val="0"/>
      <w:divBdr>
        <w:top w:val="none" w:sz="0" w:space="0" w:color="auto"/>
        <w:left w:val="none" w:sz="0" w:space="0" w:color="auto"/>
        <w:bottom w:val="none" w:sz="0" w:space="0" w:color="auto"/>
        <w:right w:val="none" w:sz="0" w:space="0" w:color="auto"/>
      </w:divBdr>
    </w:div>
    <w:div w:id="755176867">
      <w:bodyDiv w:val="1"/>
      <w:marLeft w:val="0"/>
      <w:marRight w:val="0"/>
      <w:marTop w:val="0"/>
      <w:marBottom w:val="0"/>
      <w:divBdr>
        <w:top w:val="none" w:sz="0" w:space="0" w:color="auto"/>
        <w:left w:val="none" w:sz="0" w:space="0" w:color="auto"/>
        <w:bottom w:val="none" w:sz="0" w:space="0" w:color="auto"/>
        <w:right w:val="none" w:sz="0" w:space="0" w:color="auto"/>
      </w:divBdr>
    </w:div>
    <w:div w:id="1180201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eruddindaengmile@lecture.undip.co.id,%20strudiyanti@yahoo.com%20" TargetMode="External"/><Relationship Id="rId11" Type="http://schemas.microsoft.com/office/2016/09/relationships/commentsIds" Target="commentsIds.xml"/><Relationship Id="rId5" Type="http://schemas.openxmlformats.org/officeDocument/2006/relationships/hyperlink" Target="mailto:sulistiyaniheni0@gmail.com,%20"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TotalTime>
  <Pages>1</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15</cp:revision>
  <cp:lastPrinted>2022-11-02T22:18:00Z</cp:lastPrinted>
  <dcterms:created xsi:type="dcterms:W3CDTF">2022-08-17T23:27:00Z</dcterms:created>
  <dcterms:modified xsi:type="dcterms:W3CDTF">2022-11-02T22:21:00Z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for Microsoft 365</vt:lpwstr>
  </property>
  <property fmtid="{D5CDD505-2E9C-101B-9397-08002B2CF9AE}" pid="4" name="LastSaved">
    <vt:filetime>2022-08-11T00:00:00Z</vt:filetime>
  </property>
</Properties>
</file>