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C6BE0" w14:textId="1484B1E5" w:rsidR="006F41E6" w:rsidRPr="007F51BE" w:rsidRDefault="006F41E6" w:rsidP="006F41E6">
      <w:pPr>
        <w:pStyle w:val="Default"/>
        <w:rPr>
          <w:rFonts w:ascii="Athelas" w:hAnsi="Athelas" w:cs="Dubai Medium"/>
          <w:noProof/>
          <w:sz w:val="22"/>
          <w:szCs w:val="22"/>
          <w:lang w:val="id-ID"/>
        </w:rPr>
      </w:pPr>
      <w:bookmarkStart w:id="0" w:name="_Hlk524577255"/>
      <w:bookmarkStart w:id="1" w:name="_Toc427661915"/>
      <w:bookmarkStart w:id="2" w:name="_Hlk524860808"/>
      <w:r w:rsidRPr="007F51BE">
        <w:rPr>
          <w:rFonts w:ascii="Athelas" w:hAnsi="Athelas" w:cs="Dubai Medium"/>
          <w:noProof/>
          <w:color w:val="000000" w:themeColor="text1"/>
          <w:sz w:val="22"/>
          <w:szCs w:val="22"/>
          <w:lang w:val="id-ID"/>
        </w:rPr>
        <w:drawing>
          <wp:anchor distT="0" distB="0" distL="114300" distR="114300" simplePos="0" relativeHeight="251667456" behindDoc="0" locked="0" layoutInCell="1" allowOverlap="1" wp14:anchorId="24B78B3C" wp14:editId="30653046">
            <wp:simplePos x="0" y="0"/>
            <wp:positionH relativeFrom="column">
              <wp:posOffset>3371995</wp:posOffset>
            </wp:positionH>
            <wp:positionV relativeFrom="paragraph">
              <wp:posOffset>-334645</wp:posOffset>
            </wp:positionV>
            <wp:extent cx="2047875" cy="101857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odel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5" cy="1018573"/>
                    </a:xfrm>
                    <a:prstGeom prst="rect">
                      <a:avLst/>
                    </a:prstGeom>
                  </pic:spPr>
                </pic:pic>
              </a:graphicData>
            </a:graphic>
            <wp14:sizeRelH relativeFrom="page">
              <wp14:pctWidth>0</wp14:pctWidth>
            </wp14:sizeRelH>
            <wp14:sizeRelV relativeFrom="page">
              <wp14:pctHeight>0</wp14:pctHeight>
            </wp14:sizeRelV>
          </wp:anchor>
        </w:drawing>
      </w:r>
      <w:r w:rsidRPr="007F51BE">
        <w:rPr>
          <w:rFonts w:ascii="Athelas" w:hAnsi="Athelas"/>
          <w:noProof/>
          <w:color w:val="000000" w:themeColor="text1"/>
          <w:lang w:val="id-ID"/>
        </w:rPr>
        <mc:AlternateContent>
          <mc:Choice Requires="wps">
            <w:drawing>
              <wp:anchor distT="4294967295" distB="4294967295" distL="114300" distR="114300" simplePos="0" relativeHeight="251666432" behindDoc="0" locked="0" layoutInCell="1" allowOverlap="1" wp14:anchorId="34F9BF1A" wp14:editId="6C2521D5">
                <wp:simplePos x="0" y="0"/>
                <wp:positionH relativeFrom="column">
                  <wp:posOffset>-18415</wp:posOffset>
                </wp:positionH>
                <wp:positionV relativeFrom="paragraph">
                  <wp:posOffset>-38245</wp:posOffset>
                </wp:positionV>
                <wp:extent cx="3635115" cy="0"/>
                <wp:effectExtent l="0" t="0" r="10160" b="12700"/>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35115" cy="0"/>
                        </a:xfrm>
                        <a:prstGeom prst="line">
                          <a:avLst/>
                        </a:prstGeom>
                        <a:ln w="9525">
                          <a:solidFill>
                            <a:schemeClr val="accent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C221885" id="Straight Connector 2" o:spid="_x0000_s1026" style="position:absolute;z-index:2516664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1.45pt,-3pt" to="284.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Zw4wEAAC0EAAAOAAAAZHJzL2Uyb0RvYy54bWysU8GO0zAQvSPxD5bv1ElXXUHUdA9dLZcV&#10;VBQ+wOvYjYXtsWzTpH/P2GnCsiAhEBcr45n3Zt7zZHs3WkPOMkQNrqX1qqJEOgGddqeWfvn88OYt&#10;JTFx13EDTrb0IiO9271+tR18I9fQg+lkIEjiYjP4lvYp+YaxKHppeVyBlw6TCoLlCcNwYl3gA7Jb&#10;w9ZVdcsGCJ0PIGSMeHs/Jemu8CslRfqoVJSJmJbibKmcoZxP+WS7LW9Ogftei+sY/B+msFw7bLpQ&#10;3fPEybegf6GyWgSIoNJKgGWglBayaEA1dfVCzbHnXhYtaE70i03x/9GKD+dDILrDt0N7HLf4RscU&#10;uD71iezBOXQQAllnowYfG6zfu0PIUsXojv4RxNeIOfZTMgfRT2WjCjaXo1YyFuMvi/FyTETg5c3t&#10;zaauN5SIOcd4MwN9iOm9BEvyR0uNdtkT3vDzY0y5NW/mknxtHBla+m6z3pSqCEZ3D9qYnCtrJfcm&#10;kDPHheBCSJfqrA1JnlViZNxV1KSjKEoXI6cWn6RC03DyemqS1/Ulb/GsMGF1himcYgFWfwZe6zNU&#10;llX+G/CCKJ3BpQVstYPwu+5pnK1QU/3swKQ7W/AE3eUQ5vfGnSzOXf+fvPTP4wL/8ZfvvgMAAP//&#10;AwBQSwMEFAAGAAgAAAAhAGnMtwDhAAAADQEAAA8AAABkcnMvZG93bnJldi54bWxMT01PwzAMvSPx&#10;HyIjcdtSJlGxrumEKPTCOGygSdzSxmsLjVOabGv/PUYc4GLLfvb7SNej7cQJB986UnAzj0AgVc60&#10;VCt4e32a3YHwQZPRnSNUMKGHdXZ5kerEuDNt8bQLtWAS8olW0ITQJ1L6qkGr/dz1SIwd3GB14HGo&#10;pRn0mcltJxdRFEurW2KFRvf40GD1uTtaBfvNYSq60hTFe5VPz/vH/Otl86HU9dWYr7jcr0AEHMPf&#10;B/xkYP+QsbHSHcl40SmYLZZ8yT3mXIzfxssYRPm7kFkq/6fIvgEAAP//AwBQSwECLQAUAAYACAAA&#10;ACEAtoM4kv4AAADhAQAAEwAAAAAAAAAAAAAAAAAAAAAAW0NvbnRlbnRfVHlwZXNdLnhtbFBLAQIt&#10;ABQABgAIAAAAIQA4/SH/1gAAAJQBAAALAAAAAAAAAAAAAAAAAC8BAABfcmVscy8ucmVsc1BLAQIt&#10;ABQABgAIAAAAIQDxpeZw4wEAAC0EAAAOAAAAAAAAAAAAAAAAAC4CAABkcnMvZTJvRG9jLnhtbFBL&#10;AQItABQABgAIAAAAIQBpzLcA4QAAAA0BAAAPAAAAAAAAAAAAAAAAAD0EAABkcnMvZG93bnJldi54&#10;bWxQSwUGAAAAAAQABADzAAAASwUAAAAA&#10;" strokecolor="#4472c4 [3204]">
                <v:stroke joinstyle="miter"/>
                <o:lock v:ext="edit" shapetype="f"/>
              </v:line>
            </w:pict>
          </mc:Fallback>
        </mc:AlternateContent>
      </w:r>
      <w:r w:rsidRPr="007F51BE">
        <w:rPr>
          <w:rFonts w:ascii="Athelas" w:hAnsi="Athelas"/>
          <w:noProof/>
          <w:color w:val="000000" w:themeColor="text1"/>
          <w:lang w:val="id-ID"/>
        </w:rPr>
        <mc:AlternateContent>
          <mc:Choice Requires="wps">
            <w:drawing>
              <wp:anchor distT="4294967295" distB="4294967295" distL="114300" distR="114300" simplePos="0" relativeHeight="251665408" behindDoc="0" locked="0" layoutInCell="1" allowOverlap="1" wp14:anchorId="678FDCF7" wp14:editId="151CE1D9">
                <wp:simplePos x="0" y="0"/>
                <wp:positionH relativeFrom="column">
                  <wp:posOffset>-11575</wp:posOffset>
                </wp:positionH>
                <wp:positionV relativeFrom="paragraph">
                  <wp:posOffset>-67945</wp:posOffset>
                </wp:positionV>
                <wp:extent cx="3634740" cy="0"/>
                <wp:effectExtent l="0" t="12700" r="22860" b="1270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34740" cy="0"/>
                        </a:xfrm>
                        <a:prstGeom prst="line">
                          <a:avLst/>
                        </a:prstGeom>
                        <a:ln w="19050">
                          <a:solidFill>
                            <a:schemeClr val="accent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838B6F3" id="Straight Connector 2" o:spid="_x0000_s1026" style="position:absolute;z-index:2516654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9pt,-5.35pt" to="285.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4ly5gEAAC0EAAAOAAAAZHJzL2Uyb0RvYy54bWysU8tu2zAQvBfIPxC8x5KdNGkFyzk4SC9B&#10;a9TNBzAUaREluQTJWvLfd0k98kSBFr0QWu7O7M5wtb7pjSZH4YMCW9PloqREWA6NsoeaPvy4O/9E&#10;SYjMNkyDFTU9iUBvNmcf1p2rxApa0I3wBElsqDpX0zZGVxVF4K0wLCzACYtJCd6wiKE/FI1nHbIb&#10;XazK8qrowDfOAxch4O3tkKSbzC+l4PGblEFEomuKs8V8+nw+prPYrFl18My1io9jsH+YwjBlselM&#10;dcsiI7+8ekNlFPcQQMYFB1OAlIqLrAHVLMtXavYtcyJrQXOCm20K/4+Wfz3uPFFNTa8psczgE+2j&#10;Z+rQRrIFa9FA8GSVfOpcqLB8a3c+KeW93bt74D8D5ooXyRQEN5T10ptUjlJJn30/zb6LPhKOlxdX&#10;F5fXl/g8fMoVrJqAzof4RYAh6aOmWtlkCavY8T7E1JpVU0m61pZ0uIify49lLgugVXOntE7JvFZi&#10;qz05MlwIxrmwcZnEIcuzSoy0HVUNQrKkeNJi6PFdSDQNR18OTdK6vubNpmUmrE4wiVPMwHG6PwHH&#10;+gQVeZX/BjwjcmewcQYbZcG/N3bsJyvkUD85MOhOFjxCc9r56cFxJ7Nz4/+Tlv55nOFPf/nmNwAA&#10;AP//AwBQSwMEFAAGAAgAAAAhABrLW8TfAAAADwEAAA8AAABkcnMvZG93bnJldi54bWxMj01Lw0AQ&#10;hu+C/2EZwVu7W8FW0mxKTREvgpiK5212TUJ3Z0J2m8Z/7xQEe5lhvt553nwzBS9GN8SOUMNirkA4&#10;rMl22Gj43L/MnkDEZNAaT+g0/LgIm+L2JjeZpTN+uLFKjWARjJnR0KbUZ1LGunXBxDn1Dnn2TUMw&#10;icuhkXYwZxYPXj4otZTBdMgfWtO7snX1sToFDfJNPr/Su6evsmuDp301ml2p9f3dtFtz2K5BJDel&#10;/wu4eGB+KBjsQCe0UXgNswXjp0tWKxC88LhSSxCHv44scnnto/gFAAD//wMAUEsBAi0AFAAGAAgA&#10;AAAhALaDOJL+AAAA4QEAABMAAAAAAAAAAAAAAAAAAAAAAFtDb250ZW50X1R5cGVzXS54bWxQSwEC&#10;LQAUAAYACAAAACEAOP0h/9YAAACUAQAACwAAAAAAAAAAAAAAAAAvAQAAX3JlbHMvLnJlbHNQSwEC&#10;LQAUAAYACAAAACEA0puJcuYBAAAtBAAADgAAAAAAAAAAAAAAAAAuAgAAZHJzL2Uyb0RvYy54bWxQ&#10;SwECLQAUAAYACAAAACEAGstbxN8AAAAPAQAADwAAAAAAAAAAAAAAAABABAAAZHJzL2Rvd25yZXYu&#10;eG1sUEsFBgAAAAAEAAQA8wAAAEwFAAAAAA==&#10;" strokecolor="#4472c4 [3204]" strokeweight="1.5pt">
                <v:stroke joinstyle="miter"/>
                <o:lock v:ext="edit" shapetype="f"/>
              </v:line>
            </w:pict>
          </mc:Fallback>
        </mc:AlternateContent>
      </w:r>
      <w:r w:rsidRPr="007F51BE">
        <w:rPr>
          <w:rFonts w:ascii="Athelas" w:hAnsi="Athelas" w:cs="Dubai Medium"/>
          <w:b/>
          <w:bCs/>
          <w:noProof/>
          <w:color w:val="000000" w:themeColor="text1"/>
          <w:sz w:val="22"/>
          <w:szCs w:val="22"/>
          <w:lang w:val="id-ID"/>
        </w:rPr>
        <w:t>POLITIKA</w:t>
      </w:r>
      <w:r w:rsidRPr="007F51BE">
        <w:rPr>
          <w:rFonts w:ascii="Athelas" w:hAnsi="Athelas" w:cs="Dubai Medium"/>
          <w:noProof/>
          <w:color w:val="000000" w:themeColor="text1"/>
          <w:sz w:val="22"/>
          <w:szCs w:val="22"/>
          <w:lang w:val="id-ID"/>
        </w:rPr>
        <w:t xml:space="preserve">: </w:t>
      </w:r>
      <w:r w:rsidRPr="007F51BE">
        <w:rPr>
          <w:rFonts w:ascii="Athelas" w:hAnsi="Athelas" w:cs="Dubai Medium"/>
          <w:b/>
          <w:bCs/>
          <w:noProof/>
          <w:color w:val="000000" w:themeColor="text1"/>
          <w:sz w:val="22"/>
          <w:szCs w:val="22"/>
          <w:lang w:val="id-ID"/>
        </w:rPr>
        <w:t xml:space="preserve">Jurnal </w:t>
      </w:r>
      <w:r w:rsidRPr="007F51BE">
        <w:rPr>
          <w:rFonts w:ascii="Athelas" w:hAnsi="Athelas" w:cs="Dubai Medium"/>
          <w:b/>
          <w:bCs/>
          <w:noProof/>
          <w:sz w:val="22"/>
          <w:szCs w:val="22"/>
          <w:lang w:val="id-ID"/>
        </w:rPr>
        <w:t>Ilmu Politik</w:t>
      </w:r>
    </w:p>
    <w:p w14:paraId="2BA3328A" w14:textId="4C2CC149" w:rsidR="006F41E6" w:rsidRPr="00BB420A" w:rsidRDefault="006F41E6" w:rsidP="006F41E6">
      <w:pPr>
        <w:pStyle w:val="Default"/>
        <w:rPr>
          <w:rFonts w:ascii="Athelas" w:hAnsi="Athelas" w:cs="Dubai Medium"/>
          <w:noProof/>
          <w:sz w:val="22"/>
          <w:szCs w:val="22"/>
        </w:rPr>
      </w:pPr>
      <w:r w:rsidRPr="007F51BE">
        <w:rPr>
          <w:rFonts w:ascii="Athelas" w:hAnsi="Athelas" w:cs="Dubai Medium"/>
          <w:noProof/>
          <w:sz w:val="22"/>
          <w:szCs w:val="22"/>
          <w:lang w:val="id-ID"/>
        </w:rPr>
        <w:t>Vol.</w:t>
      </w:r>
      <w:r w:rsidR="00BB420A">
        <w:rPr>
          <w:rFonts w:ascii="Athelas" w:hAnsi="Athelas" w:cs="Dubai Medium"/>
          <w:noProof/>
          <w:color w:val="FF0000"/>
          <w:sz w:val="22"/>
          <w:szCs w:val="22"/>
        </w:rPr>
        <w:t>x</w:t>
      </w:r>
      <w:r w:rsidRPr="007F51BE">
        <w:rPr>
          <w:rFonts w:ascii="Athelas" w:hAnsi="Athelas" w:cs="Dubai Medium"/>
          <w:noProof/>
          <w:sz w:val="22"/>
          <w:szCs w:val="22"/>
          <w:lang w:val="id-ID"/>
        </w:rPr>
        <w:t xml:space="preserve">, No. </w:t>
      </w:r>
      <w:r w:rsidR="00BB420A">
        <w:rPr>
          <w:rFonts w:ascii="Athelas" w:hAnsi="Athelas" w:cs="Dubai Medium"/>
          <w:noProof/>
          <w:color w:val="FF0000"/>
          <w:sz w:val="22"/>
          <w:szCs w:val="22"/>
        </w:rPr>
        <w:t>x</w:t>
      </w:r>
      <w:r w:rsidRPr="007F51BE">
        <w:rPr>
          <w:rFonts w:ascii="Athelas" w:hAnsi="Athelas" w:cs="Dubai Medium"/>
          <w:noProof/>
          <w:sz w:val="22"/>
          <w:szCs w:val="22"/>
          <w:lang w:val="id-ID"/>
        </w:rPr>
        <w:t>, 20</w:t>
      </w:r>
      <w:r w:rsidR="00655BED" w:rsidRPr="007F51BE">
        <w:rPr>
          <w:rFonts w:ascii="Athelas" w:hAnsi="Athelas" w:cs="Dubai Medium"/>
          <w:noProof/>
          <w:sz w:val="22"/>
          <w:szCs w:val="22"/>
          <w:lang w:val="id-ID"/>
        </w:rPr>
        <w:t>2</w:t>
      </w:r>
      <w:r w:rsidR="00BB420A">
        <w:rPr>
          <w:rFonts w:ascii="Athelas" w:hAnsi="Athelas" w:cs="Dubai Medium"/>
          <w:noProof/>
          <w:color w:val="FF0000"/>
          <w:sz w:val="22"/>
          <w:szCs w:val="22"/>
        </w:rPr>
        <w:t>x</w:t>
      </w:r>
    </w:p>
    <w:p w14:paraId="2ED69A85" w14:textId="7276B4B6" w:rsidR="006F41E6" w:rsidRPr="002F2BC3" w:rsidRDefault="006F41E6" w:rsidP="000A050A">
      <w:pPr>
        <w:rPr>
          <w:rFonts w:ascii="Athelas" w:hAnsi="Athelas"/>
          <w:noProof/>
          <w:lang w:val="en-US"/>
        </w:rPr>
      </w:pPr>
      <w:r w:rsidRPr="007F51BE">
        <w:rPr>
          <w:rFonts w:ascii="Athelas" w:hAnsi="Athelas" w:cs="Dubai Medium"/>
          <w:noProof/>
          <w:sz w:val="22"/>
          <w:szCs w:val="22"/>
          <w:lang w:val="id-ID"/>
        </w:rPr>
        <w:t>doi</w:t>
      </w:r>
      <w:r w:rsidRPr="007F51BE">
        <w:rPr>
          <w:rFonts w:ascii="Athelas" w:hAnsi="Athelas" w:cs="Dubai Medium"/>
          <w:noProof/>
          <w:color w:val="000000"/>
          <w:sz w:val="22"/>
          <w:szCs w:val="22"/>
          <w:lang w:val="id-ID" w:eastAsia="en-US"/>
        </w:rPr>
        <w:t xml:space="preserve">: </w:t>
      </w:r>
      <w:r w:rsidR="000A050A" w:rsidRPr="007F51BE">
        <w:rPr>
          <w:rFonts w:ascii="Athelas" w:hAnsi="Athelas" w:cs="Dubai Medium"/>
          <w:noProof/>
          <w:color w:val="000000"/>
          <w:sz w:val="22"/>
          <w:szCs w:val="22"/>
          <w:lang w:val="id-ID" w:eastAsia="en-US"/>
        </w:rPr>
        <w:t>10.14710/politika.</w:t>
      </w:r>
      <w:r w:rsidR="000A050A" w:rsidRPr="00BB420A">
        <w:rPr>
          <w:rFonts w:ascii="Athelas" w:hAnsi="Athelas" w:cs="Dubai Medium"/>
          <w:noProof/>
          <w:color w:val="FF0000"/>
          <w:sz w:val="22"/>
          <w:szCs w:val="22"/>
          <w:lang w:val="id-ID" w:eastAsia="en-US"/>
        </w:rPr>
        <w:t>1</w:t>
      </w:r>
      <w:r w:rsidR="00BB420A" w:rsidRPr="00BB420A">
        <w:rPr>
          <w:rFonts w:ascii="Athelas" w:hAnsi="Athelas" w:cs="Dubai Medium"/>
          <w:noProof/>
          <w:color w:val="FF0000"/>
          <w:sz w:val="22"/>
          <w:szCs w:val="22"/>
          <w:lang w:val="en-US" w:eastAsia="en-US"/>
        </w:rPr>
        <w:t>x</w:t>
      </w:r>
      <w:r w:rsidR="000A050A" w:rsidRPr="00BB420A">
        <w:rPr>
          <w:rFonts w:ascii="Athelas" w:hAnsi="Athelas" w:cs="Dubai Medium"/>
          <w:noProof/>
          <w:color w:val="FF0000"/>
          <w:sz w:val="22"/>
          <w:szCs w:val="22"/>
          <w:lang w:val="id-ID" w:eastAsia="en-US"/>
        </w:rPr>
        <w:t>.</w:t>
      </w:r>
      <w:r w:rsidR="00BB420A" w:rsidRPr="00BB420A">
        <w:rPr>
          <w:rFonts w:ascii="Athelas" w:hAnsi="Athelas" w:cs="Dubai Medium"/>
          <w:noProof/>
          <w:color w:val="FF0000"/>
          <w:sz w:val="22"/>
          <w:szCs w:val="22"/>
          <w:lang w:val="en-US" w:eastAsia="en-US"/>
        </w:rPr>
        <w:t>x</w:t>
      </w:r>
      <w:r w:rsidR="000A050A" w:rsidRPr="007F51BE">
        <w:rPr>
          <w:rFonts w:ascii="Athelas" w:hAnsi="Athelas" w:cs="Dubai Medium"/>
          <w:noProof/>
          <w:color w:val="000000"/>
          <w:sz w:val="22"/>
          <w:szCs w:val="22"/>
          <w:lang w:val="id-ID" w:eastAsia="en-US"/>
        </w:rPr>
        <w:t>.202</w:t>
      </w:r>
      <w:r w:rsidR="00BB420A" w:rsidRPr="00BB420A">
        <w:rPr>
          <w:rFonts w:ascii="Athelas" w:hAnsi="Athelas" w:cs="Dubai Medium"/>
          <w:noProof/>
          <w:color w:val="FF0000"/>
          <w:sz w:val="22"/>
          <w:szCs w:val="22"/>
          <w:lang w:val="en-US" w:eastAsia="en-US"/>
        </w:rPr>
        <w:t>x</w:t>
      </w:r>
      <w:r w:rsidR="000A050A" w:rsidRPr="007F51BE">
        <w:rPr>
          <w:rFonts w:ascii="Athelas" w:hAnsi="Athelas" w:cs="Dubai Medium"/>
          <w:noProof/>
          <w:color w:val="000000"/>
          <w:sz w:val="22"/>
          <w:szCs w:val="22"/>
          <w:lang w:val="id-ID" w:eastAsia="en-US"/>
        </w:rPr>
        <w:t>.</w:t>
      </w:r>
      <w:r w:rsidR="00BB420A" w:rsidRPr="00BB420A">
        <w:rPr>
          <w:rFonts w:ascii="Athelas" w:hAnsi="Athelas" w:cs="Dubai Medium"/>
          <w:noProof/>
          <w:color w:val="FF0000"/>
          <w:sz w:val="22"/>
          <w:szCs w:val="22"/>
          <w:lang w:val="en-US" w:eastAsia="en-US"/>
        </w:rPr>
        <w:t>x-xxx</w:t>
      </w:r>
    </w:p>
    <w:p w14:paraId="79F2B79B" w14:textId="77777777" w:rsidR="006F41E6" w:rsidRPr="007F51BE" w:rsidRDefault="006F41E6" w:rsidP="006F41E6">
      <w:pPr>
        <w:pStyle w:val="Default"/>
        <w:rPr>
          <w:rFonts w:ascii="Athelas" w:hAnsi="Athelas" w:cs="Arial"/>
          <w:b/>
          <w:noProof/>
          <w:color w:val="0070C0"/>
          <w:lang w:val="id-ID"/>
        </w:rPr>
      </w:pPr>
      <w:r w:rsidRPr="007F51BE">
        <w:rPr>
          <w:rFonts w:ascii="Athelas" w:hAnsi="Athelas"/>
          <w:noProof/>
          <w:color w:val="0070C0"/>
          <w:lang w:val="id-ID"/>
        </w:rPr>
        <mc:AlternateContent>
          <mc:Choice Requires="wps">
            <w:drawing>
              <wp:anchor distT="4294967295" distB="4294967295" distL="114300" distR="114300" simplePos="0" relativeHeight="251660288" behindDoc="0" locked="0" layoutInCell="1" allowOverlap="1" wp14:anchorId="10110DD0" wp14:editId="794B9F14">
                <wp:simplePos x="0" y="0"/>
                <wp:positionH relativeFrom="column">
                  <wp:posOffset>-26670</wp:posOffset>
                </wp:positionH>
                <wp:positionV relativeFrom="paragraph">
                  <wp:posOffset>60325</wp:posOffset>
                </wp:positionV>
                <wp:extent cx="5420360" cy="0"/>
                <wp:effectExtent l="0" t="0" r="15240" b="1270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0360" cy="0"/>
                        </a:xfrm>
                        <a:prstGeom prst="line">
                          <a:avLst/>
                        </a:prstGeom>
                        <a:ln w="9525">
                          <a:solidFill>
                            <a:schemeClr val="accent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4BC0371" id="Straight Connector 2"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2.1pt,4.75pt" to="424.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B4gEAACwEAAAOAAAAZHJzL2Uyb0RvYy54bWysU8GO0zAQvSPxD5bv1GmgK4ia7qGr5bKC&#10;isIHeB27sbA9lm2a9O8ZO01YFiQE4mLFnnlv5r2ZbG9Ha8hZhqjBtXS9qiiRTkCn3amlXz7fv3pL&#10;SUzcddyAky29yEhvdy9fbAffyBp6MJ0MBElcbAbf0j4l3zAWRS8tjyvw0mFQQbA84TWcWBf4gOzW&#10;sLqqbtgAofMBhIwRX++mIN0VfqWkSB+VijIR01LsLZUzlPMxn2y35c0pcN9rcW2D/0MXlmuHRReq&#10;O544+Rb0L1RWiwARVFoJsAyU0kIWDahmXT1Tc+y5l0ULmhP9YlP8f7Tiw/kQiO5wdpQ4bnFExxS4&#10;PvWJ7ME5NBACqbNPg48Npu/dIWSlYnRH/wDia8QY+ymYL9FPaaMKNqejVDIW3y+L73JMRODj5k1d&#10;vb7B8Yg5xngzA32I6b0ES/JHS4122RLe8PNDTLk0b+aU/GwcGVr6blNvSlYEo7t7bUyOla2SexPI&#10;meM+cCGkS+usDUmeZOLNuKuoSUdRlC5GTiU+SYWeYefrqUje1ue8xbPChNkZprCLBVj9GXjNz1BZ&#10;NvlvwAuiVAaXFrDVDsLvqqdxtkJN+bMDk+5swSN0l0OY540rWZy7/j5555/eC/zHT777DgAA//8D&#10;AFBLAwQUAAYACAAAACEAjysxyeEAAAALAQAADwAAAGRycy9kb3ducmV2LnhtbExPy07DMBC8I/EP&#10;1iJxax2qgNo0ToUI5EJ7oK0qcXNiNwnY6xC7bfL3LFzgMtJodueRrgZr2Fn3vnUo4G4aAdNYOdVi&#10;LWC/e5nMgfkgUUnjUAsYtYdVdn2VykS5C77p8zbUjEzQJ1JAE0KXcO6rRlvpp67TSNrR9VYGon3N&#10;VS8vZG4Nn0XRA7eyRUpoZKefGl19bk9WwGF9HAtTqqJ4r/Lx9fCcf23WH0Lc3gz5kuBxCSzoIfx9&#10;wM8G6g8ZFSvdCZVnRsAkntGlgMU9MJLn8SIGVv5ynqX8/4bsGwAA//8DAFBLAQItABQABgAIAAAA&#10;IQC2gziS/gAAAOEBAAATAAAAAAAAAAAAAAAAAAAAAABbQ29udGVudF9UeXBlc10ueG1sUEsBAi0A&#10;FAAGAAgAAAAhADj9If/WAAAAlAEAAAsAAAAAAAAAAAAAAAAALwEAAF9yZWxzLy5yZWxzUEsBAi0A&#10;FAAGAAgAAAAhAAeH7gHiAQAALAQAAA4AAAAAAAAAAAAAAAAALgIAAGRycy9lMm9Eb2MueG1sUEsB&#10;Ai0AFAAGAAgAAAAhAI8rMcnhAAAACwEAAA8AAAAAAAAAAAAAAAAAPAQAAGRycy9kb3ducmV2Lnht&#10;bFBLBQYAAAAABAAEAPMAAABKBQAAAAA=&#10;" strokecolor="#4472c4 [3204]">
                <v:stroke joinstyle="miter"/>
                <o:lock v:ext="edit" shapetype="f"/>
              </v:line>
            </w:pict>
          </mc:Fallback>
        </mc:AlternateContent>
      </w:r>
      <w:r w:rsidRPr="007F51BE">
        <w:rPr>
          <w:rFonts w:ascii="Athelas" w:hAnsi="Athelas"/>
          <w:noProof/>
          <w:color w:val="0070C0"/>
          <w:lang w:val="id-ID"/>
        </w:rPr>
        <mc:AlternateContent>
          <mc:Choice Requires="wps">
            <w:drawing>
              <wp:anchor distT="4294967295" distB="4294967295" distL="114300" distR="114300" simplePos="0" relativeHeight="251664384" behindDoc="0" locked="0" layoutInCell="1" allowOverlap="1" wp14:anchorId="6522BD25" wp14:editId="00BF3074">
                <wp:simplePos x="0" y="0"/>
                <wp:positionH relativeFrom="column">
                  <wp:posOffset>-16510</wp:posOffset>
                </wp:positionH>
                <wp:positionV relativeFrom="paragraph">
                  <wp:posOffset>93835</wp:posOffset>
                </wp:positionV>
                <wp:extent cx="5420360" cy="0"/>
                <wp:effectExtent l="0" t="12700" r="15240" b="1270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0360" cy="0"/>
                        </a:xfrm>
                        <a:prstGeom prst="line">
                          <a:avLst/>
                        </a:prstGeom>
                        <a:ln w="19050">
                          <a:solidFill>
                            <a:schemeClr val="accent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E492179" id="Straight Connector 2" o:spid="_x0000_s1026" style="position:absolute;z-index:2516643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1.3pt,7.4pt" to="425.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2Bk5QEAAC0EAAAOAAAAZHJzL2Uyb0RvYy54bWysU01vEzEQvSPxHyzfiTcprWCVTQ+pyqWC&#10;iMAPcL121sL2WLbJbv49Y+9HS0FIIC7Wjmfem3nPs9vbwRpyliFqcA1drypKpBPQandq6Ncv92/e&#10;URITdy034GRDLzLS293rV9ve13IDHZhWBoIkLta9b2iXkq8Zi6KTlscVeOkwqSBYnjAMJ9YG3iO7&#10;NWxTVTesh9D6AELGiLd3Y5LuCr9SUqRPSkWZiGkozpbKGcr5mE+22/L6FLjvtJjG4P8wheXaYdOF&#10;6o4nTr4H/QuV1SJABJVWAiwDpbSQRQOqWVcv1Bw77mXRguZEv9gU/x+t+Hg+BKLbhl5R4rjFJzqm&#10;wPWpS2QPzqGBEMgm+9T7WGP53h1CVioGd/QPIL5FzLGfkjmIfiwbVLC5HKWSofh+WXyXQyICL6/f&#10;bqqrG3weMecYr2egDzF9kGBJ/mio0S5bwmt+fogpt+b1XJKvjSM9LuL76roqZRGMbu+1MTlZ1kru&#10;TSBnjgvBhZAurbM4ZHlWiZFxk6pRSJGULkaOPT5Lhabh6OuxSV7Xl7zFtMKE1RmmcIoFOE33J+BU&#10;n6GyrPLfgBdE6QwuLWCrHYTfjZ2G2Qo11s8OjLqzBY/QXg5hfnDcyeLc9P/kpX8eF/jTX777AQAA&#10;//8DAFBLAwQUAAYACAAAACEAf1Ag798AAAANAQAADwAAAGRycy9kb3ducmV2LnhtbEyPT0vDQBDF&#10;74LfYRnBW7tp0VLSbIqmiBdBTMXzNLvNhu7Ohuw2jd/eEQ/2MjDvzZ/3K7aTd2I0Q+wCKVjMMxCG&#10;mqA7ahV87l9maxAxIWl0gYyCbxNhW97eFJjrcKEPM9apFXyEYo4KbEp9LmVsrPEY56E3xN4xDB4T&#10;t0Mr9YAXPu6dXGbZSnrsiD9Y7E1lTXOqz16BfJPPr+Hdha+qs96FfT3irlLq/m7abbg8bUAkM6X/&#10;Dfhl4PxQcrBDOJOOwimYLVc8yfoDY7C/flww4OFPkGUhrynKHwAAAP//AwBQSwECLQAUAAYACAAA&#10;ACEAtoM4kv4AAADhAQAAEwAAAAAAAAAAAAAAAAAAAAAAW0NvbnRlbnRfVHlwZXNdLnhtbFBLAQIt&#10;ABQABgAIAAAAIQA4/SH/1gAAAJQBAAALAAAAAAAAAAAAAAAAAC8BAABfcmVscy8ucmVsc1BLAQIt&#10;ABQABgAIAAAAIQAF72Bk5QEAAC0EAAAOAAAAAAAAAAAAAAAAAC4CAABkcnMvZTJvRG9jLnhtbFBL&#10;AQItABQABgAIAAAAIQB/UCDv3wAAAA0BAAAPAAAAAAAAAAAAAAAAAD8EAABkcnMvZG93bnJldi54&#10;bWxQSwUGAAAAAAQABADzAAAASwUAAAAA&#10;" strokecolor="#4472c4 [3204]" strokeweight="1.5pt">
                <v:stroke joinstyle="miter"/>
                <o:lock v:ext="edit" shapetype="f"/>
              </v:line>
            </w:pict>
          </mc:Fallback>
        </mc:AlternateContent>
      </w:r>
      <w:bookmarkEnd w:id="0"/>
    </w:p>
    <w:p w14:paraId="6F7AA699" w14:textId="77777777" w:rsidR="006F41E6" w:rsidRPr="007F51BE" w:rsidRDefault="006F41E6" w:rsidP="00185B05">
      <w:pPr>
        <w:pStyle w:val="NoSpacing"/>
        <w:rPr>
          <w:rFonts w:ascii="Athelas" w:hAnsi="Athelas"/>
          <w:lang w:val="id-ID"/>
        </w:rPr>
      </w:pPr>
    </w:p>
    <w:p w14:paraId="53CBA10D" w14:textId="4465C03B" w:rsidR="00BB420A" w:rsidRPr="00BB420A" w:rsidRDefault="00B47DAD" w:rsidP="00BB420A">
      <w:pPr>
        <w:pStyle w:val="NoSpacing"/>
        <w:ind w:firstLine="0"/>
        <w:rPr>
          <w:rFonts w:ascii="Athelas" w:hAnsi="Athelas" w:cs="Angsana New"/>
          <w:b/>
          <w:color w:val="2F5496" w:themeColor="accent1" w:themeShade="BF"/>
          <w:sz w:val="34"/>
          <w:szCs w:val="34"/>
          <w:lang w:val="id-ID" w:eastAsia="en-GB"/>
        </w:rPr>
      </w:pPr>
      <w:r>
        <w:rPr>
          <w:rFonts w:ascii="Athelas" w:hAnsi="Athelas" w:cs="Angsana New"/>
          <w:b/>
          <w:color w:val="2F5496" w:themeColor="accent1" w:themeShade="BF"/>
          <w:sz w:val="34"/>
          <w:szCs w:val="34"/>
          <w:lang w:val="id-ID" w:eastAsia="en-GB"/>
        </w:rPr>
        <w:t xml:space="preserve">Examining the Impact of E-Government Development Index (EGDI) and </w:t>
      </w:r>
      <w:r w:rsidR="0040708F">
        <w:rPr>
          <w:rFonts w:ascii="Athelas" w:hAnsi="Athelas" w:cs="Angsana New"/>
          <w:b/>
          <w:color w:val="2F5496" w:themeColor="accent1" w:themeShade="BF"/>
          <w:sz w:val="34"/>
          <w:szCs w:val="34"/>
          <w:lang w:val="id-ID" w:eastAsia="en-GB"/>
        </w:rPr>
        <w:t>Worldwide</w:t>
      </w:r>
      <w:r>
        <w:rPr>
          <w:rFonts w:ascii="Athelas" w:hAnsi="Athelas" w:cs="Angsana New"/>
          <w:b/>
          <w:color w:val="2F5496" w:themeColor="accent1" w:themeShade="BF"/>
          <w:sz w:val="34"/>
          <w:szCs w:val="34"/>
          <w:lang w:val="id-ID" w:eastAsia="en-GB"/>
        </w:rPr>
        <w:t xml:space="preserve"> Governance Indicators (WGI): A Comparative Study of Thailand and The Six Selected ASEAN Countries </w:t>
      </w:r>
    </w:p>
    <w:p w14:paraId="419D2844" w14:textId="77777777" w:rsidR="00645C4D" w:rsidRPr="007F51BE" w:rsidRDefault="00645C4D" w:rsidP="00645C4D">
      <w:pPr>
        <w:pStyle w:val="NoSpacing"/>
        <w:ind w:firstLine="0"/>
        <w:rPr>
          <w:rFonts w:ascii="Athelas" w:hAnsi="Athelas"/>
          <w:szCs w:val="24"/>
          <w:lang w:val="id-ID"/>
        </w:rPr>
      </w:pPr>
    </w:p>
    <w:p w14:paraId="792F78F3" w14:textId="1BBC2137" w:rsidR="00BB420A" w:rsidRPr="00B47DAD" w:rsidRDefault="00B47DAD" w:rsidP="00BB420A">
      <w:pPr>
        <w:rPr>
          <w:rFonts w:ascii="Athelas" w:eastAsia="Malgun Gothic" w:hAnsi="Athelas" w:cs="Malgun Gothic"/>
          <w:b/>
          <w:bCs/>
          <w:noProof/>
          <w:sz w:val="26"/>
          <w:szCs w:val="26"/>
          <w:vertAlign w:val="superscript"/>
          <w:lang w:val="id-ID"/>
        </w:rPr>
      </w:pPr>
      <w:r>
        <w:rPr>
          <w:rFonts w:ascii="Athelas" w:eastAsia="Malgun Gothic" w:hAnsi="Athelas" w:cs="Malgun Gothic"/>
          <w:b/>
          <w:bCs/>
          <w:noProof/>
          <w:sz w:val="26"/>
          <w:szCs w:val="26"/>
          <w:lang w:val="id-ID"/>
        </w:rPr>
        <w:t>Utami Nur</w:t>
      </w:r>
      <w:r>
        <w:rPr>
          <w:rFonts w:ascii="Athelas" w:eastAsia="Malgun Gothic" w:hAnsi="Athelas" w:cs="Malgun Gothic"/>
          <w:b/>
          <w:bCs/>
          <w:noProof/>
          <w:sz w:val="26"/>
          <w:szCs w:val="26"/>
          <w:vertAlign w:val="superscript"/>
          <w:lang w:val="id-ID"/>
        </w:rPr>
        <w:t>1</w:t>
      </w:r>
      <w:r>
        <w:rPr>
          <w:rFonts w:ascii="Athelas" w:eastAsia="Malgun Gothic" w:hAnsi="Athelas" w:cs="Malgun Gothic"/>
          <w:b/>
          <w:bCs/>
          <w:noProof/>
          <w:sz w:val="26"/>
          <w:szCs w:val="26"/>
          <w:lang w:val="id-ID"/>
        </w:rPr>
        <w:t>, Achmad Nurmandi</w:t>
      </w:r>
      <w:r>
        <w:rPr>
          <w:rFonts w:ascii="Athelas" w:eastAsia="Malgun Gothic" w:hAnsi="Athelas" w:cs="Malgun Gothic"/>
          <w:b/>
          <w:bCs/>
          <w:noProof/>
          <w:sz w:val="26"/>
          <w:szCs w:val="26"/>
          <w:vertAlign w:val="superscript"/>
          <w:lang w:val="id-ID"/>
        </w:rPr>
        <w:t>2</w:t>
      </w:r>
      <w:r>
        <w:rPr>
          <w:rFonts w:ascii="Athelas" w:eastAsia="Malgun Gothic" w:hAnsi="Athelas" w:cs="Malgun Gothic"/>
          <w:b/>
          <w:bCs/>
          <w:noProof/>
          <w:sz w:val="26"/>
          <w:szCs w:val="26"/>
          <w:vertAlign w:val="superscript"/>
          <w:lang w:val="id-ID"/>
        </w:rPr>
        <w:tab/>
      </w:r>
    </w:p>
    <w:p w14:paraId="364F2033" w14:textId="27A3E195" w:rsidR="00B47DAD" w:rsidRDefault="002C1B8D" w:rsidP="00187714">
      <w:pPr>
        <w:jc w:val="both"/>
        <w:rPr>
          <w:rFonts w:ascii="Athelas" w:hAnsi="Athelas"/>
          <w:noProof/>
          <w:color w:val="111111"/>
          <w:sz w:val="23"/>
          <w:szCs w:val="23"/>
          <w:shd w:val="clear" w:color="auto" w:fill="FFFFFF"/>
          <w:lang w:val="id-ID"/>
        </w:rPr>
      </w:pPr>
      <w:r w:rsidRPr="007F51BE">
        <w:rPr>
          <w:rFonts w:ascii="Athelas" w:hAnsi="Athelas"/>
          <w:noProof/>
          <w:color w:val="111111"/>
          <w:sz w:val="23"/>
          <w:szCs w:val="23"/>
          <w:shd w:val="clear" w:color="auto" w:fill="FFFFFF"/>
          <w:vertAlign w:val="superscript"/>
          <w:lang w:val="id-ID"/>
        </w:rPr>
        <w:t>1</w:t>
      </w:r>
      <w:r w:rsidR="00B47DAD">
        <w:rPr>
          <w:rFonts w:ascii="Athelas" w:hAnsi="Athelas"/>
          <w:noProof/>
          <w:color w:val="111111"/>
          <w:sz w:val="23"/>
          <w:szCs w:val="23"/>
          <w:shd w:val="clear" w:color="auto" w:fill="FFFFFF"/>
          <w:lang w:val="id-ID"/>
        </w:rPr>
        <w:t xml:space="preserve">Master of Government Affairs and Administration, Universitas Muhammadiyah Yogyakarta </w:t>
      </w:r>
    </w:p>
    <w:p w14:paraId="3CD08C51" w14:textId="77777777" w:rsidR="00B47DAD" w:rsidRDefault="00B47DAD" w:rsidP="00187714">
      <w:pPr>
        <w:jc w:val="both"/>
        <w:rPr>
          <w:rFonts w:ascii="Athelas" w:hAnsi="Athelas"/>
          <w:noProof/>
          <w:color w:val="111111"/>
          <w:sz w:val="23"/>
          <w:szCs w:val="23"/>
          <w:shd w:val="clear" w:color="auto" w:fill="FFFFFF"/>
          <w:lang w:val="id-ID"/>
        </w:rPr>
      </w:pPr>
      <w:r w:rsidRPr="007F51BE">
        <w:rPr>
          <w:rFonts w:ascii="Athelas" w:hAnsi="Athelas"/>
          <w:noProof/>
          <w:color w:val="111111"/>
          <w:sz w:val="23"/>
          <w:szCs w:val="23"/>
          <w:shd w:val="clear" w:color="auto" w:fill="FFFFFF"/>
          <w:vertAlign w:val="superscript"/>
          <w:lang w:val="id-ID"/>
        </w:rPr>
        <w:t>2</w:t>
      </w:r>
      <w:r>
        <w:rPr>
          <w:rFonts w:ascii="Athelas" w:hAnsi="Athelas"/>
          <w:noProof/>
          <w:color w:val="111111"/>
          <w:sz w:val="23"/>
          <w:szCs w:val="23"/>
          <w:shd w:val="clear" w:color="auto" w:fill="FFFFFF"/>
          <w:lang w:val="id-ID"/>
        </w:rPr>
        <w:t>Department of Government Affairs and Administration, Jusuf Kalla School of Government, Universitas Muhammadiyah Yogyakarta</w:t>
      </w:r>
    </w:p>
    <w:p w14:paraId="42A7758C" w14:textId="7EB5ADB1" w:rsidR="00BB420A" w:rsidRPr="00B47DAD" w:rsidRDefault="00B47DAD" w:rsidP="00187714">
      <w:pPr>
        <w:jc w:val="both"/>
        <w:rPr>
          <w:rFonts w:asciiTheme="minorHAnsi" w:eastAsia="Malgun Gothic" w:hAnsiTheme="minorHAnsi" w:cstheme="minorHAnsi"/>
          <w:bCs/>
        </w:rPr>
      </w:pPr>
      <w:r>
        <w:rPr>
          <w:rFonts w:ascii="Athelas" w:hAnsi="Athelas"/>
          <w:noProof/>
          <w:color w:val="111111"/>
          <w:sz w:val="23"/>
          <w:szCs w:val="23"/>
          <w:shd w:val="clear" w:color="auto" w:fill="FFFFFF"/>
          <w:lang w:val="id-ID"/>
        </w:rPr>
        <w:t xml:space="preserve"> </w:t>
      </w:r>
      <w:r w:rsidRPr="007F51BE">
        <w:rPr>
          <w:rFonts w:ascii="Athelas" w:hAnsi="Athelas"/>
          <w:noProof/>
          <w:color w:val="111111"/>
          <w:sz w:val="23"/>
          <w:szCs w:val="23"/>
          <w:shd w:val="clear" w:color="auto" w:fill="FFFFFF"/>
          <w:vertAlign w:val="superscript"/>
          <w:lang w:val="id-ID"/>
        </w:rPr>
        <w:t>1</w:t>
      </w:r>
      <w:r w:rsidRPr="00B47DAD">
        <w:rPr>
          <w:rFonts w:ascii="Athelas" w:hAnsi="Athelas"/>
          <w:noProof/>
          <w:color w:val="111111"/>
          <w:sz w:val="23"/>
          <w:szCs w:val="23"/>
          <w:shd w:val="clear" w:color="auto" w:fill="FFFFFF"/>
          <w:lang w:val="id-ID"/>
        </w:rPr>
        <w:t xml:space="preserve"> </w:t>
      </w:r>
      <w:r>
        <w:rPr>
          <w:rFonts w:ascii="Athelas" w:hAnsi="Athelas"/>
          <w:noProof/>
          <w:color w:val="111111"/>
          <w:sz w:val="23"/>
          <w:szCs w:val="23"/>
          <w:shd w:val="clear" w:color="auto" w:fill="FFFFFF"/>
          <w:lang w:val="id-ID"/>
        </w:rPr>
        <w:t>Master of Public Administration, Mindanao S</w:t>
      </w:r>
      <w:r w:rsidR="00187714">
        <w:rPr>
          <w:rFonts w:ascii="Athelas" w:hAnsi="Athelas"/>
          <w:noProof/>
          <w:color w:val="111111"/>
          <w:sz w:val="23"/>
          <w:szCs w:val="23"/>
          <w:shd w:val="clear" w:color="auto" w:fill="FFFFFF"/>
          <w:lang w:val="id-ID"/>
        </w:rPr>
        <w:t>tate University - Iligan Ins</w:t>
      </w:r>
      <w:r w:rsidR="00524229">
        <w:rPr>
          <w:rFonts w:ascii="Athelas" w:hAnsi="Athelas"/>
          <w:noProof/>
          <w:color w:val="111111"/>
          <w:sz w:val="23"/>
          <w:szCs w:val="23"/>
          <w:shd w:val="clear" w:color="auto" w:fill="FFFFFF"/>
          <w:lang w:val="id-ID"/>
        </w:rPr>
        <w:t>t</w:t>
      </w:r>
      <w:r w:rsidR="00187714">
        <w:rPr>
          <w:rFonts w:ascii="Athelas" w:hAnsi="Athelas"/>
          <w:noProof/>
          <w:color w:val="111111"/>
          <w:sz w:val="23"/>
          <w:szCs w:val="23"/>
          <w:shd w:val="clear" w:color="auto" w:fill="FFFFFF"/>
          <w:lang w:val="id-ID"/>
        </w:rPr>
        <w:t>itute of Technolo</w:t>
      </w:r>
      <w:r w:rsidR="0040708F">
        <w:rPr>
          <w:rFonts w:ascii="Athelas" w:hAnsi="Athelas"/>
          <w:noProof/>
          <w:color w:val="111111"/>
          <w:sz w:val="23"/>
          <w:szCs w:val="23"/>
          <w:shd w:val="clear" w:color="auto" w:fill="FFFFFF"/>
          <w:lang w:val="id-ID"/>
        </w:rPr>
        <w:t>gy</w:t>
      </w:r>
      <w:r w:rsidR="00187714">
        <w:rPr>
          <w:rFonts w:ascii="Athelas" w:hAnsi="Athelas"/>
          <w:noProof/>
          <w:color w:val="111111"/>
          <w:sz w:val="23"/>
          <w:szCs w:val="23"/>
          <w:shd w:val="clear" w:color="auto" w:fill="FFFFFF"/>
          <w:lang w:val="id-ID"/>
        </w:rPr>
        <w:t>, Philippines</w:t>
      </w:r>
    </w:p>
    <w:p w14:paraId="08BB555D" w14:textId="2D555639" w:rsidR="006F41E6" w:rsidRPr="00BB420A" w:rsidRDefault="006F41E6" w:rsidP="006F41E6">
      <w:pPr>
        <w:rPr>
          <w:rFonts w:ascii="Athelas" w:hAnsi="Athelas"/>
          <w:noProof/>
          <w:color w:val="111111"/>
          <w:sz w:val="23"/>
          <w:szCs w:val="23"/>
          <w:shd w:val="clear" w:color="auto" w:fill="FFFFFF"/>
          <w:lang w:val="en-US"/>
        </w:rPr>
      </w:pPr>
    </w:p>
    <w:p w14:paraId="15C69233" w14:textId="3648FE47" w:rsidR="006F41E6" w:rsidRPr="007F51BE" w:rsidRDefault="006F41E6" w:rsidP="006F41E6">
      <w:pPr>
        <w:rPr>
          <w:rFonts w:ascii="Athelas" w:hAnsi="Athelas"/>
          <w:noProof/>
          <w:color w:val="111111"/>
          <w:sz w:val="23"/>
          <w:szCs w:val="23"/>
          <w:shd w:val="clear" w:color="auto" w:fill="FFFFFF"/>
          <w:lang w:val="id-ID"/>
        </w:rPr>
      </w:pPr>
    </w:p>
    <w:p w14:paraId="294FB16D" w14:textId="77777777" w:rsidR="004F3B53" w:rsidRPr="007F51BE" w:rsidRDefault="004F3B53" w:rsidP="006F41E6">
      <w:pPr>
        <w:rPr>
          <w:rFonts w:ascii="Athelas" w:hAnsi="Athelas"/>
          <w:b/>
          <w:noProof/>
          <w:lang w:val="id-ID"/>
        </w:rPr>
      </w:pPr>
    </w:p>
    <w:tbl>
      <w:tblPr>
        <w:tblStyle w:val="TableGrid"/>
        <w:tblW w:w="893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40"/>
        <w:gridCol w:w="2830"/>
      </w:tblGrid>
      <w:tr w:rsidR="006F41E6" w:rsidRPr="007F51BE" w14:paraId="095C98E8" w14:textId="77777777" w:rsidTr="005D397C">
        <w:tc>
          <w:tcPr>
            <w:tcW w:w="3261" w:type="dxa"/>
          </w:tcPr>
          <w:p w14:paraId="7DE377F4" w14:textId="6BC249B8" w:rsidR="006F41E6" w:rsidRPr="00BB420A" w:rsidRDefault="006F41E6" w:rsidP="002D0F26">
            <w:pPr>
              <w:rPr>
                <w:rFonts w:ascii="Athelas" w:hAnsi="Athelas"/>
                <w:bCs/>
                <w:i/>
                <w:iCs/>
                <w:noProof/>
                <w:lang w:val="en-US"/>
              </w:rPr>
            </w:pPr>
            <w:r w:rsidRPr="007F51BE">
              <w:rPr>
                <w:rFonts w:ascii="Athelas" w:hAnsi="Athelas"/>
                <w:bCs/>
                <w:i/>
                <w:iCs/>
                <w:noProof/>
                <w:lang w:val="id-ID"/>
              </w:rPr>
              <w:t xml:space="preserve"> Recieved: </w:t>
            </w:r>
            <w:r w:rsidR="00BB420A">
              <w:rPr>
                <w:rFonts w:ascii="Athelas" w:hAnsi="Athelas"/>
                <w:bCs/>
                <w:i/>
                <w:iCs/>
                <w:noProof/>
                <w:lang w:val="en-US"/>
              </w:rPr>
              <w:t>(tidak usah di isi)</w:t>
            </w:r>
          </w:p>
        </w:tc>
        <w:tc>
          <w:tcPr>
            <w:tcW w:w="2840" w:type="dxa"/>
          </w:tcPr>
          <w:p w14:paraId="1A7DCC25" w14:textId="01929029" w:rsidR="006F41E6" w:rsidRPr="007F51BE" w:rsidRDefault="006F41E6" w:rsidP="002D0F26">
            <w:pPr>
              <w:rPr>
                <w:rFonts w:ascii="Athelas" w:hAnsi="Athelas"/>
                <w:bCs/>
                <w:i/>
                <w:iCs/>
                <w:noProof/>
                <w:lang w:val="id-ID"/>
              </w:rPr>
            </w:pPr>
            <w:r w:rsidRPr="007F51BE">
              <w:rPr>
                <w:rFonts w:ascii="Athelas" w:hAnsi="Athelas"/>
                <w:bCs/>
                <w:i/>
                <w:iCs/>
                <w:noProof/>
                <w:lang w:val="id-ID"/>
              </w:rPr>
              <w:t xml:space="preserve">Revised: </w:t>
            </w:r>
            <w:r w:rsidR="00BB420A">
              <w:rPr>
                <w:rFonts w:ascii="Athelas" w:hAnsi="Athelas"/>
                <w:bCs/>
                <w:i/>
                <w:iCs/>
                <w:noProof/>
                <w:lang w:val="en-US"/>
              </w:rPr>
              <w:t>(tidak usah di isi)</w:t>
            </w:r>
          </w:p>
        </w:tc>
        <w:tc>
          <w:tcPr>
            <w:tcW w:w="2830" w:type="dxa"/>
          </w:tcPr>
          <w:p w14:paraId="670D6EB2" w14:textId="6EB13122" w:rsidR="006F41E6" w:rsidRPr="007F51BE" w:rsidRDefault="00176802" w:rsidP="002D0F26">
            <w:pPr>
              <w:rPr>
                <w:rFonts w:ascii="Athelas" w:hAnsi="Athelas"/>
                <w:bCs/>
                <w:noProof/>
                <w:lang w:val="id-ID"/>
              </w:rPr>
            </w:pPr>
            <w:r w:rsidRPr="007F51BE">
              <w:rPr>
                <w:rFonts w:ascii="Athelas" w:hAnsi="Athelas"/>
                <w:bCs/>
                <w:i/>
                <w:iCs/>
                <w:noProof/>
                <w:lang w:val="id-ID"/>
              </w:rPr>
              <w:t>Published</w:t>
            </w:r>
            <w:r w:rsidR="006F41E6" w:rsidRPr="007F51BE">
              <w:rPr>
                <w:rFonts w:ascii="Athelas" w:hAnsi="Athelas"/>
                <w:bCs/>
                <w:i/>
                <w:iCs/>
                <w:noProof/>
                <w:lang w:val="id-ID"/>
              </w:rPr>
              <w:t xml:space="preserve">: </w:t>
            </w:r>
            <w:r w:rsidR="00BB420A">
              <w:rPr>
                <w:rFonts w:ascii="Athelas" w:hAnsi="Athelas"/>
                <w:bCs/>
                <w:i/>
                <w:iCs/>
                <w:noProof/>
                <w:lang w:val="en-US"/>
              </w:rPr>
              <w:t>(tidak usah di isi)</w:t>
            </w:r>
          </w:p>
        </w:tc>
      </w:tr>
    </w:tbl>
    <w:p w14:paraId="4062A185" w14:textId="77777777" w:rsidR="006F41E6" w:rsidRPr="007F51BE" w:rsidRDefault="006F41E6" w:rsidP="006F41E6">
      <w:pPr>
        <w:rPr>
          <w:rFonts w:ascii="Athelas" w:hAnsi="Athelas"/>
          <w:b/>
          <w:noProof/>
          <w:lang w:val="id-ID"/>
        </w:rPr>
      </w:pPr>
      <w:r w:rsidRPr="007F51BE">
        <w:rPr>
          <w:rFonts w:ascii="Athelas" w:hAnsi="Athelas"/>
          <w:noProof/>
          <w:lang w:val="id-ID" w:eastAsia="en-US"/>
        </w:rPr>
        <mc:AlternateContent>
          <mc:Choice Requires="wps">
            <w:drawing>
              <wp:anchor distT="0" distB="0" distL="114300" distR="114300" simplePos="0" relativeHeight="251659264" behindDoc="0" locked="0" layoutInCell="1" allowOverlap="1" wp14:anchorId="41B276DB" wp14:editId="51A22AC1">
                <wp:simplePos x="0" y="0"/>
                <wp:positionH relativeFrom="column">
                  <wp:posOffset>466563</wp:posOffset>
                </wp:positionH>
                <wp:positionV relativeFrom="paragraph">
                  <wp:posOffset>60946</wp:posOffset>
                </wp:positionV>
                <wp:extent cx="4957517" cy="2655652"/>
                <wp:effectExtent l="0" t="0" r="1460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7517" cy="2655652"/>
                        </a:xfrm>
                        <a:prstGeom prst="rect">
                          <a:avLst/>
                        </a:prstGeom>
                        <a:solidFill>
                          <a:schemeClr val="accent1">
                            <a:lumMod val="20000"/>
                            <a:lumOff val="80000"/>
                          </a:schemeClr>
                        </a:solidFill>
                      </wps:spPr>
                      <wps:style>
                        <a:lnRef idx="1">
                          <a:schemeClr val="accent5"/>
                        </a:lnRef>
                        <a:fillRef idx="2">
                          <a:schemeClr val="accent5"/>
                        </a:fillRef>
                        <a:effectRef idx="1">
                          <a:schemeClr val="accent5"/>
                        </a:effectRef>
                        <a:fontRef idx="minor">
                          <a:schemeClr val="dk1"/>
                        </a:fontRef>
                      </wps:style>
                      <wps:txbx>
                        <w:txbxContent>
                          <w:p w14:paraId="7A3F7948" w14:textId="29C27501" w:rsidR="00840B2C" w:rsidRPr="00655BED" w:rsidRDefault="00840B2C" w:rsidP="00655BED">
                            <w:pPr>
                              <w:pStyle w:val="Default"/>
                              <w:jc w:val="both"/>
                              <w:rPr>
                                <w:rFonts w:ascii="Baskerville" w:hAnsi="Baskerville" w:cs="Arial"/>
                                <w:b/>
                                <w:noProof/>
                                <w:color w:val="2F5496" w:themeColor="accent1" w:themeShade="BF"/>
                                <w:sz w:val="22"/>
                                <w:szCs w:val="22"/>
                                <w:lang w:val="id-ID"/>
                              </w:rPr>
                            </w:pPr>
                            <w:r w:rsidRPr="00655BED">
                              <w:rPr>
                                <w:rFonts w:ascii="Baskerville" w:hAnsi="Baskerville" w:cs="Arial"/>
                                <w:b/>
                                <w:noProof/>
                                <w:color w:val="2F5496" w:themeColor="accent1" w:themeShade="BF"/>
                                <w:lang w:val="id-ID"/>
                              </w:rPr>
                              <w:t>Abstra</w:t>
                            </w:r>
                            <w:r>
                              <w:rPr>
                                <w:rFonts w:ascii="Baskerville" w:hAnsi="Baskerville" w:cs="Arial"/>
                                <w:b/>
                                <w:noProof/>
                                <w:color w:val="2F5496" w:themeColor="accent1" w:themeShade="BF"/>
                              </w:rPr>
                              <w:t>k</w:t>
                            </w:r>
                            <w:r w:rsidRPr="00655BED">
                              <w:rPr>
                                <w:rFonts w:ascii="Baskerville" w:hAnsi="Baskerville" w:cs="Arial"/>
                                <w:b/>
                                <w:noProof/>
                                <w:color w:val="2F5496" w:themeColor="accent1" w:themeShade="BF"/>
                                <w:sz w:val="22"/>
                                <w:szCs w:val="22"/>
                                <w:lang w:val="id-ID"/>
                              </w:rPr>
                              <w:t>:</w:t>
                            </w:r>
                          </w:p>
                          <w:p w14:paraId="13C76315" w14:textId="77777777" w:rsidR="00187714" w:rsidRPr="00443D56" w:rsidRDefault="00187714" w:rsidP="00187714">
                            <w:pPr>
                              <w:jc w:val="both"/>
                              <w:rPr>
                                <w:rFonts w:ascii="Athelas" w:hAnsi="Athelas"/>
                                <w:color w:val="000000" w:themeColor="text1"/>
                                <w:sz w:val="22"/>
                                <w:szCs w:val="22"/>
                                <w:lang w:val="id-ID"/>
                              </w:rPr>
                            </w:pPr>
                            <w:r w:rsidRPr="00443D56">
                              <w:rPr>
                                <w:rFonts w:ascii="Athelas" w:hAnsi="Athelas"/>
                                <w:color w:val="000000" w:themeColor="text1"/>
                                <w:sz w:val="22"/>
                                <w:szCs w:val="22"/>
                                <w:lang w:val="id-ID"/>
                              </w:rPr>
                              <w:t>The purpose of this research is to analyze how the comparison between Thailand and the six selected ASEAN countries in this study, namely Singapore, Brunei Darussalam, Malaysia, Thailand, Indonesia, and the Philippines. This study will analyze the data further using Google Data Studio which is correlated between two indicators, namely the World Governance Indicator (WGI) and the E-Government Development Index (EGDI). Based on the six indicators of the World Governance Indicator (WGI), it can be concluded that on the Voice and Accountability indicator, Thailand scored 82.53 because the freedom of expression in Thailand is still not completely free. On the indicator of Political Stability and Absence of Violence/Terrorism Thailand itself experienced several acts of terror in its country. In the Government Effectiveness indicator, Thailand's Government has implemented good regulatory practices and is committed to improving the quality of regulations. On the Regulatory Quality indicator, Thailand has been working to accelerate reforms for three years to set a solid foundation for sustainable regulatory policy intervention.</w:t>
                            </w:r>
                          </w:p>
                          <w:p w14:paraId="645CCD70" w14:textId="72A3DFA3" w:rsidR="004B4CBB" w:rsidRPr="002C1B8D" w:rsidRDefault="004B4CBB" w:rsidP="00187714">
                            <w:pPr>
                              <w:jc w:val="both"/>
                              <w:rPr>
                                <w:rFonts w:ascii="Athelas" w:hAnsi="Athelas"/>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276DB" id="Rectangle 4" o:spid="_x0000_s1026" style="position:absolute;margin-left:36.75pt;margin-top:4.8pt;width:390.35pt;height:20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8EhwIAAIcFAAAOAAAAZHJzL2Uyb0RvYy54bWysVFtr2zAUfh/sPwi9r45D3IuJU0JLxyBr&#10;w9rRZ0WWElNZR5OU2Nmv35F8aejKGGMvQud++86ZX7e1IgdhXQW6oOnZhBKhOZSV3hb0+9Pdp0tK&#10;nGe6ZAq0KOhROHq9+Phh3phcTGEHqhSWoBPt8sYUdOe9yZPE8Z2omTsDIzQKJdiaeSTtNikta9B7&#10;rZLpZHKeNGBLY4EL55B72wnpIvqXUnD/IKUTnqiCYm4+vja+m/AmiznLt5aZXcX7NNg/ZFGzSmPQ&#10;0dUt84zsbfWbq7riFhxIf8ahTkDKiotYA1aTTt5U87hjRsRasDnOjG1y/88tvz88mrUNqTuzAv7i&#10;sCNJY1w+SgLhep1W2jroYuKkjV08jl0UrSccmbOr7CJLLyjhKJueZ9l5Ng19Tlg+mBvr/GcBNQmf&#10;glocU+weO6yc71QHlZgZqKq8q5SKRICGuFGWHBgOlXEutE+judrXX6Hs+AiOST9eZCMIOvblwMZs&#10;IsiCp5ibew0S6+9KjsX7oxIhtNLfhCRViUV2AUcPp7lkfbFRO5hJzHw0nMZM/2jY6wdTESE8Gv9F&#10;1NEiRgbtR+O60mDfi16+pH3KstPvEeC6ukMLfLtpcS7hu4HyuLbEQrdLzvC7Cqe4Ys6vmcXlwTXD&#10;g+Af8JEKmoJC/6NkB/bne/ygj5hGKSUNLmNB3Y89s4IS9UUj2q/S2SxsbyRm2cUUCXsq2ZxK9L6+&#10;AYRGiqfH8PgN+l4NX2mhfsa7sQxRUcQ0x9gF5d4OxI3vjgReHi6Wy6iGG2uYX+lHwwcABJQ+tc/M&#10;mh7KHrfgHobFZfkbRHe6YTQalnsPsopwf+1r33rc9gjK/jKFc3JKR63X+7n4BQAA//8DAFBLAwQU&#10;AAYACAAAACEAKebjEt8AAAAIAQAADwAAAGRycy9kb3ducmV2LnhtbEyPS0+EQBCE7yb+h0mbeHMH&#10;cR+IDBuz0ZMmG/EVbwPTC0SmhzADi/9+25MeK1Wp+irbzrYTEw6+daTgehGBQKqcaalW8Pb6eJWA&#10;8EGT0Z0jVPCDHrb5+VmmU+OO9IJTEWrBJeRTraAJoU+l9FWDVvuF65HYO7jB6sByqKUZ9JHLbSfj&#10;KFpLq1vihUb3uGuw+i5GyyPvT/3hq3j4CPtxV34WJN3ztFfq8mK+vwMRcA5/YfjFZ3TImal0Ixkv&#10;OgWbmxUnFdyuQbCdrJYxiFLBMt4kIPNM/j+QnwAAAP//AwBQSwECLQAUAAYACAAAACEAtoM4kv4A&#10;AADhAQAAEwAAAAAAAAAAAAAAAAAAAAAAW0NvbnRlbnRfVHlwZXNdLnhtbFBLAQItABQABgAIAAAA&#10;IQA4/SH/1gAAAJQBAAALAAAAAAAAAAAAAAAAAC8BAABfcmVscy8ucmVsc1BLAQItABQABgAIAAAA&#10;IQDmNL8EhwIAAIcFAAAOAAAAAAAAAAAAAAAAAC4CAABkcnMvZTJvRG9jLnhtbFBLAQItABQABgAI&#10;AAAAIQAp5uMS3wAAAAgBAAAPAAAAAAAAAAAAAAAAAOEEAABkcnMvZG93bnJldi54bWxQSwUGAAAA&#10;AAQABADzAAAA7QUAAAAA&#10;" fillcolor="#d9e2f3 [660]" strokecolor="#5b9bd5 [3208]" strokeweight=".5pt">
                <v:path arrowok="t"/>
                <v:textbox>
                  <w:txbxContent>
                    <w:p w14:paraId="7A3F7948" w14:textId="29C27501" w:rsidR="00840B2C" w:rsidRPr="00655BED" w:rsidRDefault="00840B2C" w:rsidP="00655BED">
                      <w:pPr>
                        <w:pStyle w:val="Default"/>
                        <w:jc w:val="both"/>
                        <w:rPr>
                          <w:rFonts w:ascii="Baskerville" w:hAnsi="Baskerville" w:cs="Arial"/>
                          <w:b/>
                          <w:noProof/>
                          <w:color w:val="2F5496" w:themeColor="accent1" w:themeShade="BF"/>
                          <w:sz w:val="22"/>
                          <w:szCs w:val="22"/>
                          <w:lang w:val="id-ID"/>
                        </w:rPr>
                      </w:pPr>
                      <w:r w:rsidRPr="00655BED">
                        <w:rPr>
                          <w:rFonts w:ascii="Baskerville" w:hAnsi="Baskerville" w:cs="Arial"/>
                          <w:b/>
                          <w:noProof/>
                          <w:color w:val="2F5496" w:themeColor="accent1" w:themeShade="BF"/>
                          <w:lang w:val="id-ID"/>
                        </w:rPr>
                        <w:t>Abstra</w:t>
                      </w:r>
                      <w:r>
                        <w:rPr>
                          <w:rFonts w:ascii="Baskerville" w:hAnsi="Baskerville" w:cs="Arial"/>
                          <w:b/>
                          <w:noProof/>
                          <w:color w:val="2F5496" w:themeColor="accent1" w:themeShade="BF"/>
                        </w:rPr>
                        <w:t>k</w:t>
                      </w:r>
                      <w:r w:rsidRPr="00655BED">
                        <w:rPr>
                          <w:rFonts w:ascii="Baskerville" w:hAnsi="Baskerville" w:cs="Arial"/>
                          <w:b/>
                          <w:noProof/>
                          <w:color w:val="2F5496" w:themeColor="accent1" w:themeShade="BF"/>
                          <w:sz w:val="22"/>
                          <w:szCs w:val="22"/>
                          <w:lang w:val="id-ID"/>
                        </w:rPr>
                        <w:t>:</w:t>
                      </w:r>
                    </w:p>
                    <w:p w14:paraId="13C76315" w14:textId="77777777" w:rsidR="00187714" w:rsidRPr="00443D56" w:rsidRDefault="00187714" w:rsidP="00187714">
                      <w:pPr>
                        <w:jc w:val="both"/>
                        <w:rPr>
                          <w:rFonts w:ascii="Athelas" w:hAnsi="Athelas"/>
                          <w:color w:val="000000" w:themeColor="text1"/>
                          <w:sz w:val="22"/>
                          <w:szCs w:val="22"/>
                          <w:lang w:val="id-ID"/>
                        </w:rPr>
                      </w:pPr>
                      <w:r w:rsidRPr="00443D56">
                        <w:rPr>
                          <w:rFonts w:ascii="Athelas" w:hAnsi="Athelas"/>
                          <w:color w:val="000000" w:themeColor="text1"/>
                          <w:sz w:val="22"/>
                          <w:szCs w:val="22"/>
                          <w:lang w:val="id-ID"/>
                        </w:rPr>
                        <w:t>The purpose of this research is to analyze how the comparison between Thailand and the six selected ASEAN countries in this study, namely Singapore, Brunei Darussalam, Malaysia, Thailand, Indonesia, and the Philippines. This study will analyze the data further using Google Data Studio which is correlated between two indicators, namely the World Governance Indicator (WGI) and the E-Government Development Index (EGDI). Based on the six indicators of the World Governance Indicator (WGI), it can be concluded that on the Voice and Accountability indicator, Thailand scored 82.53 because the freedom of expression in Thailand is still not completely free. On the indicator of Political Stability and Absence of Violence/Terrorism Thailand itself experienced several acts of terror in its country. In the Government Effectiveness indicator, Thailand's Government has implemented good regulatory practices and is committed to improving the quality of regulations. On the Regulatory Quality indicator, Thailand has been working to accelerate reforms for three years to set a solid foundation for sustainable regulatory policy intervention.</w:t>
                      </w:r>
                    </w:p>
                    <w:p w14:paraId="645CCD70" w14:textId="72A3DFA3" w:rsidR="004B4CBB" w:rsidRPr="002C1B8D" w:rsidRDefault="004B4CBB" w:rsidP="00187714">
                      <w:pPr>
                        <w:jc w:val="both"/>
                        <w:rPr>
                          <w:rFonts w:ascii="Athelas" w:hAnsi="Athelas"/>
                          <w:lang w:val="en-US"/>
                        </w:rPr>
                      </w:pPr>
                    </w:p>
                  </w:txbxContent>
                </v:textbox>
              </v:rect>
            </w:pict>
          </mc:Fallback>
        </mc:AlternateContent>
      </w:r>
    </w:p>
    <w:p w14:paraId="22DB4FB9" w14:textId="77777777" w:rsidR="006F41E6" w:rsidRPr="007F51BE" w:rsidRDefault="006F41E6" w:rsidP="006F41E6">
      <w:pPr>
        <w:rPr>
          <w:rFonts w:ascii="Athelas" w:hAnsi="Athelas"/>
          <w:b/>
          <w:noProof/>
          <w:lang w:val="id-ID"/>
        </w:rPr>
      </w:pPr>
    </w:p>
    <w:p w14:paraId="528E2EF8" w14:textId="77777777" w:rsidR="006F41E6" w:rsidRPr="007F51BE" w:rsidRDefault="006F41E6" w:rsidP="006F41E6">
      <w:pPr>
        <w:rPr>
          <w:rFonts w:ascii="Athelas" w:hAnsi="Athelas"/>
          <w:b/>
          <w:noProof/>
          <w:sz w:val="20"/>
          <w:szCs w:val="20"/>
          <w:lang w:val="id-ID"/>
        </w:rPr>
      </w:pPr>
    </w:p>
    <w:p w14:paraId="33ACB3DD" w14:textId="77777777" w:rsidR="006F41E6" w:rsidRPr="007F51BE" w:rsidRDefault="006F41E6" w:rsidP="006F41E6">
      <w:pPr>
        <w:rPr>
          <w:rFonts w:ascii="Athelas" w:hAnsi="Athelas"/>
          <w:b/>
          <w:noProof/>
          <w:sz w:val="20"/>
          <w:szCs w:val="20"/>
          <w:lang w:val="id-ID"/>
        </w:rPr>
      </w:pPr>
    </w:p>
    <w:p w14:paraId="037D01FA" w14:textId="77777777" w:rsidR="006F41E6" w:rsidRPr="007F51BE" w:rsidRDefault="006F41E6" w:rsidP="006F41E6">
      <w:pPr>
        <w:rPr>
          <w:rFonts w:ascii="Athelas" w:hAnsi="Athelas"/>
          <w:b/>
          <w:noProof/>
          <w:sz w:val="20"/>
          <w:szCs w:val="20"/>
          <w:lang w:val="id-ID"/>
        </w:rPr>
      </w:pPr>
    </w:p>
    <w:p w14:paraId="6DC17B61" w14:textId="77777777" w:rsidR="006F41E6" w:rsidRPr="007F51BE" w:rsidRDefault="006F41E6" w:rsidP="006F41E6">
      <w:pPr>
        <w:rPr>
          <w:rFonts w:ascii="Athelas" w:hAnsi="Athelas"/>
          <w:b/>
          <w:noProof/>
          <w:sz w:val="20"/>
          <w:szCs w:val="20"/>
          <w:lang w:val="id-ID"/>
        </w:rPr>
      </w:pPr>
    </w:p>
    <w:p w14:paraId="32A734D8" w14:textId="77777777" w:rsidR="006F41E6" w:rsidRPr="007F51BE" w:rsidRDefault="006F41E6" w:rsidP="006F41E6">
      <w:pPr>
        <w:rPr>
          <w:rFonts w:ascii="Athelas" w:hAnsi="Athelas"/>
          <w:b/>
          <w:noProof/>
          <w:sz w:val="20"/>
          <w:szCs w:val="20"/>
          <w:lang w:val="id-ID"/>
        </w:rPr>
      </w:pPr>
    </w:p>
    <w:p w14:paraId="53A31F01" w14:textId="77777777" w:rsidR="006F41E6" w:rsidRPr="007F51BE" w:rsidRDefault="006F41E6" w:rsidP="006F41E6">
      <w:pPr>
        <w:rPr>
          <w:rFonts w:ascii="Athelas" w:hAnsi="Athelas"/>
          <w:b/>
          <w:noProof/>
          <w:sz w:val="20"/>
          <w:szCs w:val="20"/>
          <w:lang w:val="id-ID"/>
        </w:rPr>
      </w:pPr>
    </w:p>
    <w:p w14:paraId="33E94FB7" w14:textId="77777777" w:rsidR="006F41E6" w:rsidRPr="007F51BE" w:rsidRDefault="006F41E6" w:rsidP="006F41E6">
      <w:pPr>
        <w:rPr>
          <w:rFonts w:ascii="Athelas" w:hAnsi="Athelas"/>
          <w:b/>
          <w:noProof/>
          <w:sz w:val="20"/>
          <w:szCs w:val="20"/>
          <w:lang w:val="id-ID"/>
        </w:rPr>
      </w:pPr>
    </w:p>
    <w:p w14:paraId="18A3FDF8" w14:textId="77777777" w:rsidR="006F41E6" w:rsidRPr="007F51BE" w:rsidRDefault="006F41E6" w:rsidP="006F41E6">
      <w:pPr>
        <w:rPr>
          <w:rFonts w:ascii="Athelas" w:hAnsi="Athelas"/>
          <w:b/>
          <w:noProof/>
          <w:sz w:val="20"/>
          <w:szCs w:val="20"/>
          <w:lang w:val="id-ID"/>
        </w:rPr>
      </w:pPr>
    </w:p>
    <w:p w14:paraId="6652C871" w14:textId="77777777" w:rsidR="006F41E6" w:rsidRPr="007F51BE" w:rsidRDefault="006F41E6" w:rsidP="006F41E6">
      <w:pPr>
        <w:rPr>
          <w:rFonts w:ascii="Athelas" w:hAnsi="Athelas"/>
          <w:b/>
          <w:noProof/>
          <w:sz w:val="20"/>
          <w:szCs w:val="20"/>
          <w:lang w:val="id-ID"/>
        </w:rPr>
      </w:pPr>
    </w:p>
    <w:p w14:paraId="10E07D7B" w14:textId="77777777" w:rsidR="006F41E6" w:rsidRPr="007F51BE" w:rsidRDefault="006F41E6" w:rsidP="006F41E6">
      <w:pPr>
        <w:rPr>
          <w:rFonts w:ascii="Athelas" w:hAnsi="Athelas"/>
          <w:b/>
          <w:noProof/>
          <w:sz w:val="20"/>
          <w:szCs w:val="20"/>
          <w:lang w:val="id-ID"/>
        </w:rPr>
      </w:pPr>
    </w:p>
    <w:p w14:paraId="0F3A96C7" w14:textId="77777777" w:rsidR="006F41E6" w:rsidRPr="007F51BE" w:rsidRDefault="006F41E6" w:rsidP="006F41E6">
      <w:pPr>
        <w:rPr>
          <w:rFonts w:ascii="Athelas" w:hAnsi="Athelas"/>
          <w:b/>
          <w:noProof/>
          <w:sz w:val="20"/>
          <w:szCs w:val="20"/>
          <w:lang w:val="id-ID"/>
        </w:rPr>
      </w:pPr>
    </w:p>
    <w:bookmarkEnd w:id="1"/>
    <w:p w14:paraId="006D86F3" w14:textId="77777777" w:rsidR="002C1B8D" w:rsidRDefault="002C1B8D" w:rsidP="00BB420A">
      <w:pPr>
        <w:pStyle w:val="FormatPendahuluan"/>
        <w:rPr>
          <w:rFonts w:ascii="Athelas" w:hAnsi="Athelas"/>
          <w:color w:val="2F5496" w:themeColor="accent1" w:themeShade="BF"/>
          <w:sz w:val="24"/>
          <w:szCs w:val="24"/>
        </w:rPr>
      </w:pPr>
    </w:p>
    <w:p w14:paraId="59F287A8" w14:textId="77777777" w:rsidR="00187714" w:rsidRDefault="00187714" w:rsidP="00BB420A">
      <w:pPr>
        <w:pStyle w:val="FormatPendahuluan"/>
        <w:rPr>
          <w:rFonts w:ascii="Athelas" w:hAnsi="Athelas"/>
          <w:color w:val="2F5496" w:themeColor="accent1" w:themeShade="BF"/>
          <w:sz w:val="24"/>
          <w:szCs w:val="24"/>
        </w:rPr>
      </w:pPr>
    </w:p>
    <w:p w14:paraId="11E412DE" w14:textId="77777777" w:rsidR="00187714" w:rsidRDefault="00187714" w:rsidP="00BB420A">
      <w:pPr>
        <w:pStyle w:val="FormatPendahuluan"/>
        <w:rPr>
          <w:rFonts w:ascii="Athelas" w:hAnsi="Athelas"/>
          <w:color w:val="2F5496" w:themeColor="accent1" w:themeShade="BF"/>
          <w:sz w:val="24"/>
          <w:szCs w:val="24"/>
        </w:rPr>
      </w:pPr>
    </w:p>
    <w:p w14:paraId="2AFEDFA2" w14:textId="77777777" w:rsidR="00187714" w:rsidRPr="007F51BE" w:rsidRDefault="00187714" w:rsidP="00BB420A">
      <w:pPr>
        <w:pStyle w:val="FormatPendahuluan"/>
        <w:rPr>
          <w:rFonts w:ascii="Athelas" w:hAnsi="Athelas"/>
          <w:color w:val="2F5496" w:themeColor="accent1" w:themeShade="BF"/>
          <w:sz w:val="24"/>
          <w:szCs w:val="24"/>
        </w:rPr>
      </w:pPr>
    </w:p>
    <w:p w14:paraId="1FD77C74" w14:textId="2CFE56B1" w:rsidR="00187714" w:rsidRPr="007F51BE" w:rsidRDefault="006F41E6" w:rsidP="00187714">
      <w:pPr>
        <w:pStyle w:val="FormatPendahuluan"/>
        <w:ind w:left="131" w:firstLine="720"/>
        <w:rPr>
          <w:rFonts w:ascii="Athelas" w:hAnsi="Athelas"/>
          <w:color w:val="2F5496" w:themeColor="accent1" w:themeShade="BF"/>
          <w:sz w:val="24"/>
          <w:szCs w:val="24"/>
        </w:rPr>
      </w:pPr>
      <w:r w:rsidRPr="007F51BE">
        <w:rPr>
          <w:rFonts w:ascii="Athelas" w:hAnsi="Athelas"/>
          <w:color w:val="2F5496" w:themeColor="accent1" w:themeShade="BF"/>
          <w:sz w:val="24"/>
          <w:szCs w:val="24"/>
        </w:rPr>
        <w:t xml:space="preserve">Keywords: </w:t>
      </w:r>
    </w:p>
    <w:p w14:paraId="5A47B849" w14:textId="2BCB4C93" w:rsidR="00BB420A" w:rsidRPr="00BB420A" w:rsidRDefault="00187714" w:rsidP="00BB420A">
      <w:pPr>
        <w:pStyle w:val="NoSpacing"/>
        <w:ind w:left="851" w:firstLine="0"/>
        <w:rPr>
          <w:rFonts w:ascii="Athelas" w:hAnsi="Athelas"/>
          <w:bCs/>
          <w:color w:val="000000" w:themeColor="text1"/>
          <w:szCs w:val="24"/>
        </w:rPr>
      </w:pPr>
      <w:r w:rsidRPr="00443D56">
        <w:rPr>
          <w:rFonts w:ascii="Athelas" w:hAnsi="Athelas"/>
          <w:color w:val="000000" w:themeColor="text1"/>
          <w:szCs w:val="24"/>
          <w:lang w:val="id-ID"/>
        </w:rPr>
        <w:t>Worldwide Governance Indicator (WGI)</w:t>
      </w:r>
      <w:r>
        <w:rPr>
          <w:rFonts w:ascii="Athelas" w:hAnsi="Athelas"/>
          <w:color w:val="000000" w:themeColor="text1"/>
          <w:lang w:val="id-ID"/>
        </w:rPr>
        <w:t>;</w:t>
      </w:r>
      <w:r w:rsidRPr="00443D56">
        <w:rPr>
          <w:rFonts w:ascii="Athelas" w:hAnsi="Athelas"/>
          <w:color w:val="000000" w:themeColor="text1"/>
          <w:szCs w:val="24"/>
          <w:lang w:val="id-ID"/>
        </w:rPr>
        <w:t xml:space="preserve"> E-Government Development Index (EGDI)</w:t>
      </w:r>
      <w:r>
        <w:rPr>
          <w:rFonts w:ascii="Athelas" w:hAnsi="Athelas"/>
          <w:color w:val="000000" w:themeColor="text1"/>
          <w:lang w:val="id-ID"/>
        </w:rPr>
        <w:t>;</w:t>
      </w:r>
      <w:r w:rsidRPr="00443D56">
        <w:rPr>
          <w:rFonts w:ascii="Athelas" w:hAnsi="Athelas"/>
          <w:color w:val="000000" w:themeColor="text1"/>
          <w:szCs w:val="24"/>
          <w:lang w:val="id-ID"/>
        </w:rPr>
        <w:t xml:space="preserve"> ASEAN</w:t>
      </w:r>
    </w:p>
    <w:p w14:paraId="304EA25A" w14:textId="6A887D42" w:rsidR="00185B05" w:rsidRPr="007F51BE" w:rsidRDefault="00185B05" w:rsidP="006F41E6">
      <w:pPr>
        <w:pStyle w:val="NoSpacing"/>
        <w:ind w:firstLine="0"/>
        <w:rPr>
          <w:rFonts w:ascii="Athelas" w:hAnsi="Athelas"/>
          <w:b/>
          <w:color w:val="ED7D31" w:themeColor="accent2"/>
          <w:szCs w:val="24"/>
          <w:lang w:val="id-ID"/>
        </w:rPr>
      </w:pPr>
    </w:p>
    <w:p w14:paraId="113A3129" w14:textId="77777777" w:rsidR="002C1B8D" w:rsidRDefault="002C1B8D" w:rsidP="006F41E6">
      <w:pPr>
        <w:pStyle w:val="NoSpacing"/>
        <w:ind w:firstLine="0"/>
        <w:rPr>
          <w:rFonts w:ascii="Athelas" w:hAnsi="Athelas"/>
          <w:b/>
          <w:color w:val="ED7D31" w:themeColor="accent2"/>
          <w:szCs w:val="24"/>
          <w:lang w:val="id-ID"/>
        </w:rPr>
      </w:pPr>
    </w:p>
    <w:p w14:paraId="04280E3F" w14:textId="77777777" w:rsidR="0040708F" w:rsidRDefault="0040708F" w:rsidP="006F41E6">
      <w:pPr>
        <w:pStyle w:val="NoSpacing"/>
        <w:ind w:firstLine="0"/>
        <w:rPr>
          <w:rFonts w:ascii="Athelas" w:hAnsi="Athelas"/>
          <w:b/>
          <w:color w:val="ED7D31" w:themeColor="accent2"/>
          <w:szCs w:val="24"/>
          <w:lang w:val="id-ID"/>
        </w:rPr>
      </w:pPr>
    </w:p>
    <w:p w14:paraId="026C5D4A" w14:textId="77777777" w:rsidR="0040708F" w:rsidRDefault="0040708F" w:rsidP="006F41E6">
      <w:pPr>
        <w:pStyle w:val="NoSpacing"/>
        <w:ind w:firstLine="0"/>
        <w:rPr>
          <w:rFonts w:ascii="Athelas" w:hAnsi="Athelas"/>
          <w:b/>
          <w:color w:val="ED7D31" w:themeColor="accent2"/>
          <w:szCs w:val="24"/>
          <w:lang w:val="id-ID"/>
        </w:rPr>
      </w:pPr>
    </w:p>
    <w:p w14:paraId="4625E482" w14:textId="77777777" w:rsidR="0040708F" w:rsidRPr="007F51BE" w:rsidRDefault="0040708F" w:rsidP="006F41E6">
      <w:pPr>
        <w:pStyle w:val="NoSpacing"/>
        <w:ind w:firstLine="0"/>
        <w:rPr>
          <w:rFonts w:ascii="Athelas" w:hAnsi="Athelas"/>
          <w:b/>
          <w:color w:val="ED7D31" w:themeColor="accent2"/>
          <w:szCs w:val="24"/>
          <w:lang w:val="id-ID"/>
        </w:rPr>
      </w:pPr>
    </w:p>
    <w:p w14:paraId="5430C074" w14:textId="1CFF74EB" w:rsidR="006F41E6" w:rsidRPr="007F51BE" w:rsidRDefault="0040708F" w:rsidP="00F410AA">
      <w:pPr>
        <w:pStyle w:val="NoSpacing"/>
        <w:ind w:right="-1" w:firstLine="0"/>
        <w:rPr>
          <w:rFonts w:ascii="Athelas" w:hAnsi="Athelas"/>
          <w:b/>
          <w:color w:val="2F5496" w:themeColor="accent1" w:themeShade="BF"/>
          <w:sz w:val="28"/>
          <w:szCs w:val="28"/>
          <w:lang w:val="id-ID"/>
        </w:rPr>
      </w:pPr>
      <w:r>
        <w:rPr>
          <w:rFonts w:ascii="Athelas" w:hAnsi="Athelas"/>
          <w:b/>
          <w:color w:val="2F5496" w:themeColor="accent1" w:themeShade="BF"/>
          <w:sz w:val="28"/>
          <w:szCs w:val="28"/>
          <w:lang w:val="id-ID"/>
        </w:rPr>
        <w:lastRenderedPageBreak/>
        <w:t>Introduction</w:t>
      </w:r>
    </w:p>
    <w:bookmarkEnd w:id="2"/>
    <w:p w14:paraId="371E639F" w14:textId="33821DE5" w:rsidR="00185B05" w:rsidRPr="007F0B11" w:rsidRDefault="007F0B11" w:rsidP="00556AA8">
      <w:pPr>
        <w:pStyle w:val="NoSpacing"/>
        <w:keepNext/>
        <w:framePr w:dropCap="drop" w:lines="3" w:h="869" w:hRule="exact" w:hSpace="170" w:wrap="around" w:vAnchor="text" w:hAnchor="text" w:y="90"/>
        <w:spacing w:line="869" w:lineRule="exact"/>
        <w:ind w:firstLine="720"/>
        <w:textAlignment w:val="baseline"/>
        <w:rPr>
          <w:rFonts w:ascii="Athelas" w:hAnsi="Athelas"/>
          <w:position w:val="-4"/>
          <w:sz w:val="108"/>
          <w:szCs w:val="24"/>
          <w:lang w:val="id-ID"/>
        </w:rPr>
      </w:pPr>
      <w:r>
        <w:rPr>
          <w:rFonts w:ascii="Athelas" w:hAnsi="Athelas"/>
          <w:position w:val="-4"/>
          <w:sz w:val="108"/>
          <w:szCs w:val="24"/>
          <w:lang w:val="id-ID"/>
        </w:rPr>
        <w:t>E</w:t>
      </w:r>
    </w:p>
    <w:p w14:paraId="3D2DB55A" w14:textId="5C7C20BF" w:rsidR="001612BD" w:rsidRPr="00F139D9" w:rsidRDefault="001612BD" w:rsidP="001612BD">
      <w:pPr>
        <w:pStyle w:val="NormalWeb"/>
        <w:spacing w:line="276" w:lineRule="auto"/>
        <w:jc w:val="both"/>
        <w:rPr>
          <w:rFonts w:ascii="Athelas" w:hAnsi="Athelas"/>
          <w:color w:val="000000" w:themeColor="text1"/>
        </w:rPr>
      </w:pPr>
      <w:proofErr w:type="gramStart"/>
      <w:r w:rsidRPr="00F139D9">
        <w:rPr>
          <w:rFonts w:ascii="Athelas" w:hAnsi="Athelas"/>
          <w:color w:val="000000" w:themeColor="text1"/>
        </w:rPr>
        <w:t>very</w:t>
      </w:r>
      <w:proofErr w:type="gramEnd"/>
      <w:r w:rsidRPr="00F139D9">
        <w:rPr>
          <w:rFonts w:ascii="Athelas" w:hAnsi="Athelas"/>
          <w:color w:val="000000" w:themeColor="text1"/>
        </w:rPr>
        <w:t xml:space="preserve"> country in the world wants to implement </w:t>
      </w:r>
      <w:r w:rsidRPr="00F139D9">
        <w:rPr>
          <w:rFonts w:ascii="Athelas" w:hAnsi="Athelas"/>
          <w:color w:val="000000" w:themeColor="text1"/>
          <w:lang w:val="id-ID"/>
        </w:rPr>
        <w:t>good governance</w:t>
      </w:r>
      <w:r w:rsidRPr="00F139D9">
        <w:rPr>
          <w:rFonts w:ascii="Athelas" w:hAnsi="Athelas"/>
          <w:color w:val="000000" w:themeColor="text1"/>
        </w:rPr>
        <w:t xml:space="preserve"> in their country. The implementation of good governance certainly encourages the formulation and implementation of government programs that will have an impact on economic life and human development in the country itself</w:t>
      </w:r>
      <w:r w:rsidRPr="00F139D9">
        <w:rPr>
          <w:rFonts w:ascii="Athelas" w:hAnsi="Athelas"/>
          <w:color w:val="000000" w:themeColor="text1"/>
          <w:lang w:val="id-ID"/>
        </w:rPr>
        <w:t xml:space="preserve"> </w:t>
      </w:r>
      <w:r w:rsidRPr="00F139D9">
        <w:rPr>
          <w:rFonts w:ascii="Athelas" w:hAnsi="Athelas"/>
          <w:color w:val="000000" w:themeColor="text1"/>
          <w:lang w:val="id-ID"/>
        </w:rPr>
        <w:fldChar w:fldCharType="begin" w:fldLock="1"/>
      </w:r>
      <w:r w:rsidRPr="00F139D9">
        <w:rPr>
          <w:rFonts w:ascii="Athelas" w:hAnsi="Athelas"/>
          <w:color w:val="000000" w:themeColor="text1"/>
          <w:lang w:val="id-ID"/>
        </w:rPr>
        <w:instrText>ADDIN CSL_CITATION {"citationItems":[{"id":"ITEM-1","itemData":{"DOI":"10.31629/kemudi.v5i02.3141","ISSN":"2528-5580","abstract":"The Surabaya City Government under the leadership of Tri Risma Harini in the 2015-2020 period has shown various successes with indicators from the economic, development, and environmental sectors. The research method used in this study is a qualitative descriptive method with a literature review approach. The results showed that several internal and external factors of government greatly influenced the development of good governance, which had an impact on the success of governance.","author":[{"dropping-particle":"","family":"Muhammad Quranul Kariem","given":"","non-dropping-particle":"","parse-names":false,"suffix":""},{"dropping-particle":"","family":"Ishmatuddin","given":"Noor","non-dropping-particle":"","parse-names":false,"suffix":""}],"container-title":"KEMUDI : Jurnal Ilmu Pemerintahan","id":"ITEM-1","issue":"02","issued":{"date-parts":[["2021"]]},"page":"239-248","title":"Analisis Faktor-Faktor Penentu Tata Kelola Pemerintahan Di Pemerintah Kota Surabaya Periode Kepemimpinan Tri Risma Harini Tahun 2015-2020","type":"article-journal","volume":"5"},"uris":["http://www.mendeley.com/documents/?uuid=3f6d0371-9910-45ac-8090-814b55a936f4"]}],"mendeley":{"formattedCitation":"(Muhammad Quranul Kariem &amp; Ishmatuddin, 2021)","plainTextFormattedCitation":"(Muhammad Quranul Kariem &amp; Ishmatuddin, 2021)","previouslyFormattedCitation":"(Muhammad Quranul Kariem &amp; Ishmatuddin, 2021)"},"properties":{"noteIndex":0},"schema":"https://github.com/citation-style-language/schema/raw/master/csl-citation.json"}</w:instrText>
      </w:r>
      <w:r w:rsidRPr="00F139D9">
        <w:rPr>
          <w:rFonts w:ascii="Athelas" w:hAnsi="Athelas"/>
          <w:color w:val="000000" w:themeColor="text1"/>
          <w:lang w:val="id-ID"/>
        </w:rPr>
        <w:fldChar w:fldCharType="separate"/>
      </w:r>
      <w:r w:rsidRPr="00F139D9">
        <w:rPr>
          <w:rFonts w:ascii="Athelas" w:hAnsi="Athelas"/>
          <w:noProof/>
          <w:color w:val="000000" w:themeColor="text1"/>
          <w:lang w:val="id-ID"/>
        </w:rPr>
        <w:t>(Muhammad Quranul Kariem &amp; Ishmatuddin, 2021)</w:t>
      </w:r>
      <w:r w:rsidRPr="00F139D9">
        <w:rPr>
          <w:rFonts w:ascii="Athelas" w:hAnsi="Athelas"/>
          <w:color w:val="000000" w:themeColor="text1"/>
          <w:lang w:val="id-ID"/>
        </w:rPr>
        <w:fldChar w:fldCharType="end"/>
      </w:r>
      <w:r w:rsidRPr="00F139D9">
        <w:rPr>
          <w:rFonts w:ascii="Athelas" w:hAnsi="Athelas"/>
          <w:color w:val="000000" w:themeColor="text1"/>
        </w:rPr>
        <w:t>.</w:t>
      </w:r>
      <w:r w:rsidRPr="00F139D9">
        <w:rPr>
          <w:rFonts w:ascii="Athelas" w:hAnsi="Athelas"/>
          <w:color w:val="000000" w:themeColor="text1"/>
          <w:lang w:val="id-ID"/>
        </w:rPr>
        <w:t xml:space="preserve"> </w:t>
      </w:r>
      <w:r w:rsidRPr="00F139D9">
        <w:rPr>
          <w:rFonts w:ascii="Athelas" w:hAnsi="Athelas"/>
          <w:color w:val="000000" w:themeColor="text1"/>
        </w:rPr>
        <w:t xml:space="preserve">The application of </w:t>
      </w:r>
      <w:r w:rsidRPr="00F139D9">
        <w:rPr>
          <w:rFonts w:ascii="Athelas" w:hAnsi="Athelas"/>
          <w:color w:val="000000" w:themeColor="text1"/>
          <w:lang w:val="id-ID"/>
        </w:rPr>
        <w:t>good governance</w:t>
      </w:r>
      <w:r w:rsidRPr="00F139D9">
        <w:rPr>
          <w:rFonts w:ascii="Athelas" w:hAnsi="Athelas"/>
          <w:color w:val="000000" w:themeColor="text1"/>
        </w:rPr>
        <w:t xml:space="preserve"> has a great influence in every developing country, especially the quality of government, which is an important factor in achieving high human development because the government can efficiently convey existing resources to the community to improve the welfare of its people</w:t>
      </w:r>
      <w:r w:rsidRPr="00F139D9">
        <w:rPr>
          <w:rFonts w:ascii="Athelas" w:hAnsi="Athelas"/>
          <w:color w:val="000000" w:themeColor="text1"/>
          <w:lang w:val="id-ID"/>
        </w:rPr>
        <w:t xml:space="preserve"> </w:t>
      </w:r>
      <w:r w:rsidRPr="00F139D9">
        <w:rPr>
          <w:rFonts w:ascii="Athelas" w:hAnsi="Athelas"/>
          <w:color w:val="000000" w:themeColor="text1"/>
          <w:lang w:val="id-ID"/>
        </w:rPr>
        <w:fldChar w:fldCharType="begin" w:fldLock="1"/>
      </w:r>
      <w:r w:rsidRPr="00F139D9">
        <w:rPr>
          <w:rFonts w:ascii="Athelas" w:hAnsi="Athelas"/>
          <w:color w:val="000000" w:themeColor="text1"/>
          <w:lang w:val="id-ID"/>
        </w:rPr>
        <w:instrText>ADDIN CSL_CITATION {"citationItems":[{"id":"ITEM-1","itemData":{"DOI":"10.30656/sawala.v10i1.4619","ISBN":"1810631180014","ISSN":"2302-2221","abstract":"Ditengah mewabahnya pandemi Covid-19 yang mewajibkan masyarakat selalu menjaga jarak membuat pemerintah khususnya lembaga pemberi pelayanan publik membuat onovasi-inovasi kebijakan di tengah pandemi. Pelayanan publik berbasis online kemudian hadir sebagai solusi dari pelayanan publik yang tetap harus dilakukan ditengah terjadinya pandemi covid-19. Begitupun dengan DISDUKCAPIL Kab. Sukabumi yang membuat inovasi pelayanan online yaitu SIMPELIN (Sistem Pelayanan Online). Dalam pengimplementasiannya, terdapat beberapa permasalahan yang terjadi dalam SIMPELIN yaitu masih banyak masyarakat yang belum mengerti cara penggunaan berbasis online, masih kurang sempurnanya SIMPELIN dalam melakukan pelayanan publik, terjadinya sistem yang error dan jaringan yang tidak stabil. Tujuan dari penelitian ini yaitu peneliti ingin mengetahui bagaimana efektivitas penerapan pelayanan publik berbasis e-government dengan menggunakan Simpelin di DISDUKCAPIL Kab. Sukabumi dengan menggunakan tolak ukur teori efektivitas menurut Gibson Ivancevich Donnelly (2003). Metode yang digunakan pada penelitian ini adalah metode kualitatif. Dengan metode ini penulis memperoleh hasil bahwa pelayanan SIMPELIN sudah berjalan efektif jika di tinjau dari teori Gibson Ivancevich Donnelly (2003), yaitu produksi, efisiensi, kepuasan, keadaptasian dan pengembangan inovasi.","author":[{"dropping-particle":"","family":"Muzni Hanipah","given":"","non-dropping-particle":"","parse-names":false,"suffix":""},{"dropping-particle":"","family":"Aryani","given":"Lina","non-dropping-particle":"","parse-names":false,"suffix":""}],"container-title":"Sawala : Jurnal Administrasi Negara","id":"ITEM-1","issue":"1","issued":{"date-parts":[["2022"]]},"page":"112-128","title":"Efektivitas Inovasi Pelayanan Publik Berbasis E-Government (Simpelin) di Masa Pandemi Covid-19 (Studi Kasus di Dinas Kependudukan dan Pencatatan Sipil Kab. Sukabumi)","type":"article-journal","volume":"10"},"uris":["http://www.mendeley.com/documents/?uuid=0cc2d609-085e-4064-b459-dc105f8dc7ae"]}],"mendeley":{"formattedCitation":"(Muzni Hanipah &amp; Aryani, 2022)","plainTextFormattedCitation":"(Muzni Hanipah &amp; Aryani, 2022)","previouslyFormattedCitation":"(Muzni Hanipah &amp; Aryani, 2022)"},"properties":{"noteIndex":0},"schema":"https://github.com/citation-style-language/schema/raw/master/csl-citation.json"}</w:instrText>
      </w:r>
      <w:r w:rsidRPr="00F139D9">
        <w:rPr>
          <w:rFonts w:ascii="Athelas" w:hAnsi="Athelas"/>
          <w:color w:val="000000" w:themeColor="text1"/>
          <w:lang w:val="id-ID"/>
        </w:rPr>
        <w:fldChar w:fldCharType="separate"/>
      </w:r>
      <w:r w:rsidRPr="00F139D9">
        <w:rPr>
          <w:rFonts w:ascii="Athelas" w:hAnsi="Athelas"/>
          <w:noProof/>
          <w:color w:val="000000" w:themeColor="text1"/>
          <w:lang w:val="id-ID"/>
        </w:rPr>
        <w:t>(Muzni Hanipah &amp; Aryani, 2022)</w:t>
      </w:r>
      <w:r w:rsidRPr="00F139D9">
        <w:rPr>
          <w:rFonts w:ascii="Athelas" w:hAnsi="Athelas"/>
          <w:color w:val="000000" w:themeColor="text1"/>
          <w:lang w:val="id-ID"/>
        </w:rPr>
        <w:fldChar w:fldCharType="end"/>
      </w:r>
      <w:r w:rsidRPr="00F139D9">
        <w:rPr>
          <w:rFonts w:ascii="Athelas" w:hAnsi="Athelas"/>
          <w:color w:val="000000" w:themeColor="text1"/>
        </w:rPr>
        <w:t>.</w:t>
      </w:r>
      <w:r w:rsidRPr="00F139D9">
        <w:rPr>
          <w:rFonts w:ascii="Athelas" w:hAnsi="Athelas"/>
          <w:color w:val="000000" w:themeColor="text1"/>
          <w:lang w:val="id-ID"/>
        </w:rPr>
        <w:t xml:space="preserve"> </w:t>
      </w:r>
      <w:r w:rsidRPr="00F139D9">
        <w:rPr>
          <w:rFonts w:ascii="Athelas" w:hAnsi="Athelas"/>
          <w:color w:val="000000" w:themeColor="text1"/>
        </w:rPr>
        <w:t>The concept of good governance is very diverse, and according to the World Bank, good governance is a process of implementing responsible development that is in line with the principles of democracy and an efficient market, avoiding the wrong allocation of investment funds and preventing corruption, implementing budgetary discipline, and creating a legal and political framework for the growth of business activities</w:t>
      </w:r>
      <w:r w:rsidRPr="00F139D9">
        <w:rPr>
          <w:rFonts w:ascii="Athelas" w:hAnsi="Athelas"/>
          <w:color w:val="000000" w:themeColor="text1"/>
          <w:lang w:val="id-ID"/>
        </w:rPr>
        <w:t xml:space="preserve"> </w:t>
      </w:r>
      <w:r w:rsidRPr="00F139D9">
        <w:rPr>
          <w:rFonts w:ascii="Athelas" w:hAnsi="Athelas"/>
          <w:color w:val="000000" w:themeColor="text1"/>
          <w:lang w:val="id-ID"/>
        </w:rPr>
        <w:fldChar w:fldCharType="begin" w:fldLock="1"/>
      </w:r>
      <w:r w:rsidRPr="00F139D9">
        <w:rPr>
          <w:rFonts w:ascii="Athelas" w:hAnsi="Athelas"/>
          <w:color w:val="000000" w:themeColor="text1"/>
          <w:lang w:val="id-ID"/>
        </w:rPr>
        <w:instrText>ADDIN CSL_CITATION {"citationItems":[{"id":"ITEM-1","itemData":{"DOI":"10.32834/gg.v17i2.340","ISSN":"14124246","abstract":"Kajian ini bertujuan untuk mengevaluasi hubungan enam  varaibel  Tatakelola Pemerintahan Yang Baik ( Good Governance ) terhadap pertumbuhan ekonomi. Variabel tersebut antara lain : 1) kebebasaan berpendapat dan tanggungjawab ( Voice and Accountablity), 2) Stabilitas Politik dan Rendahnya Tingkat Intensitas Tindak Kekerasan/Teror (Political Stability and Absence of Violence), 3) Efektivitas Pemerintahan  (Government  Effectiveness),  4)  Kualitas Peraturan  Perundang  Undangan  (  Regulatory Quality ), 5) Supremasi Hukum (Rule of Law ); 6)   Kontrol Korupsi ( Control Coruption). Kajian ini menggunakan  metode  regresi  data  panel  (Random Effect) dengan   5 purposive sample negara  yang pertumbuhan ekonominya relatif tinggi. Negara tersebut yaitu : 1)    Vietnam, 2)Singapura, 3)Thailand; 4)Mayasia, 5)  Indonesia. Hasil  kajian menunjukkan bahwa dua varibel yaitu : 1)Kebebasan berpendapat dan tanggung jawab   dan 2) Kestabilan Politik, berpengaruh signifikan positif terhadap pertumbuhan ekonomi.Kata Kunci : Tatakelelola Pemerintahan yang Baik; Pertumbuhan Ekonomi.","author":[{"dropping-particle":"","family":"Widjanarko","given":"Widjanarko","non-dropping-particle":"","parse-names":false,"suffix":""}],"container-title":"Jurnal Good Governance","id":"ITEM-1","issue":"2","issued":{"date-parts":[["2021"]]},"page":"155-168","title":"Analisis Hubungan Good Governance Dan Pertumbuhan Ekonomi Indonesia 2013-2019","type":"article-journal","volume":"17"},"uris":["http://www.mendeley.com/documents/?uuid=2ca3ec21-19a5-4e32-bdee-d9a19bbfaef9"]}],"mendeley":{"formattedCitation":"(Widjanarko, 2021)","plainTextFormattedCitation":"(Widjanarko, 2021)","previouslyFormattedCitation":"(Widjanarko, 2021)"},"properties":{"noteIndex":0},"schema":"https://github.com/citation-style-language/schema/raw/master/csl-citation.json"}</w:instrText>
      </w:r>
      <w:r w:rsidRPr="00F139D9">
        <w:rPr>
          <w:rFonts w:ascii="Athelas" w:hAnsi="Athelas"/>
          <w:color w:val="000000" w:themeColor="text1"/>
          <w:lang w:val="id-ID"/>
        </w:rPr>
        <w:fldChar w:fldCharType="separate"/>
      </w:r>
      <w:r w:rsidRPr="00F139D9">
        <w:rPr>
          <w:rFonts w:ascii="Athelas" w:hAnsi="Athelas"/>
          <w:noProof/>
          <w:color w:val="000000" w:themeColor="text1"/>
          <w:lang w:val="id-ID"/>
        </w:rPr>
        <w:t>(Widjanarko, 2021)</w:t>
      </w:r>
      <w:r w:rsidRPr="00F139D9">
        <w:rPr>
          <w:rFonts w:ascii="Athelas" w:hAnsi="Athelas"/>
          <w:color w:val="000000" w:themeColor="text1"/>
          <w:lang w:val="id-ID"/>
        </w:rPr>
        <w:fldChar w:fldCharType="end"/>
      </w:r>
      <w:r w:rsidRPr="00F139D9">
        <w:rPr>
          <w:rFonts w:ascii="Athelas" w:hAnsi="Athelas"/>
          <w:color w:val="000000" w:themeColor="text1"/>
        </w:rPr>
        <w:t>.</w:t>
      </w:r>
    </w:p>
    <w:p w14:paraId="1D930B2C" w14:textId="77777777" w:rsidR="001612BD" w:rsidRPr="00F139D9" w:rsidRDefault="001612BD" w:rsidP="001612BD">
      <w:pPr>
        <w:pStyle w:val="NormalWeb"/>
        <w:spacing w:line="276" w:lineRule="auto"/>
        <w:ind w:firstLine="720"/>
        <w:jc w:val="both"/>
        <w:rPr>
          <w:rFonts w:ascii="Athelas" w:hAnsi="Athelas"/>
          <w:color w:val="000000" w:themeColor="text1"/>
        </w:rPr>
      </w:pPr>
      <w:r w:rsidRPr="00F139D9">
        <w:rPr>
          <w:rFonts w:ascii="Athelas" w:hAnsi="Athelas"/>
          <w:color w:val="000000" w:themeColor="text1"/>
        </w:rPr>
        <w:t xml:space="preserve">Good Governance </w:t>
      </w:r>
      <w:r w:rsidRPr="00F139D9">
        <w:rPr>
          <w:rFonts w:ascii="Athelas" w:hAnsi="Athelas"/>
          <w:color w:val="000000" w:themeColor="text1"/>
          <w:lang w:val="id-ID"/>
        </w:rPr>
        <w:t>is</w:t>
      </w:r>
      <w:r w:rsidRPr="00F139D9">
        <w:rPr>
          <w:rFonts w:ascii="Athelas" w:hAnsi="Athelas"/>
          <w:color w:val="000000" w:themeColor="text1"/>
        </w:rPr>
        <w:t xml:space="preserve"> the basis for democratizing </w:t>
      </w:r>
      <w:r w:rsidRPr="00F139D9">
        <w:rPr>
          <w:rFonts w:ascii="Athelas" w:hAnsi="Athelas"/>
          <w:color w:val="000000" w:themeColor="text1"/>
          <w:lang w:val="id-ID"/>
        </w:rPr>
        <w:t>a country’s administration and improving</w:t>
      </w:r>
      <w:r w:rsidRPr="00F139D9">
        <w:rPr>
          <w:rFonts w:ascii="Athelas" w:hAnsi="Athelas"/>
          <w:color w:val="000000" w:themeColor="text1"/>
        </w:rPr>
        <w:t xml:space="preserve"> governance</w:t>
      </w:r>
      <w:r w:rsidRPr="00F139D9">
        <w:rPr>
          <w:rFonts w:ascii="Athelas" w:hAnsi="Athelas"/>
          <w:color w:val="000000" w:themeColor="text1"/>
          <w:lang w:val="id-ID"/>
        </w:rPr>
        <w:t xml:space="preserve"> </w:t>
      </w:r>
      <w:r w:rsidRPr="00F139D9">
        <w:rPr>
          <w:rFonts w:ascii="Athelas" w:hAnsi="Athelas"/>
          <w:color w:val="000000" w:themeColor="text1"/>
          <w:lang w:val="id-ID"/>
        </w:rPr>
        <w:fldChar w:fldCharType="begin" w:fldLock="1"/>
      </w:r>
      <w:r w:rsidRPr="00F139D9">
        <w:rPr>
          <w:rFonts w:ascii="Athelas" w:hAnsi="Athelas"/>
          <w:color w:val="000000" w:themeColor="text1"/>
          <w:lang w:val="id-ID"/>
        </w:rPr>
        <w:instrText>ADDIN CSL_CITATION {"citationItems":[{"id":"ITEM-1","itemData":{"DOI":"10.22373/jep.v12i1.606","ISSN":"0852-9124","abstract":"Penelitian ini bertujuan untuk menganalisis pengaruh tata kelola pemerintah(governance) terhadap pertumbuhan ekonomi di ASEAN. Adapun variabel-variabel yangditeliti dalam penelitian ini meliputi Pertumbuhan Ekonomi, Governance Indicators yangdijelaskan dengan proksi voice and accountability, political stability, governanceeffectiveness, regulatory quality, rule of law, dan control of corruption. Jumlah penduduksebagai variabel kontrol. Fokus penelitian terdiri dari 10 negara ASEAN meliputi,Indonesia, Malaysia, Filipina, Singapura, Thailand, Brunei Darussalam, Kamboja, Laos,Myanmar, dan Vietnam dengan periode penelitian tahun 2010 sampai 2019 menggunakananalisis data panel. Hasil Penelitian menunjukkan, bahwa variabel GovernanceEffectiveness, Political Stability, Regulatory Quality dan Rule of Law berpengaruh positifsignifikan pada Pertumbuhan Ekonomi, sedangkan untuk variabel Control of Corruptiondan Voice and Accountability tidak berpengaruh terhadap Pertumbuhan Ekonomi diASEAN.","author":[{"dropping-particle":"","family":"Eka Asbarini","given":"Nur Fitri","non-dropping-particle":"","parse-names":false,"suffix":""},{"dropping-particle":"","family":"Isnaini","given":"Laili","non-dropping-particle":"","parse-names":false,"suffix":""},{"dropping-particle":"","family":"Wibowo","given":"Muhammad Ghafur","non-dropping-particle":"","parse-names":false,"suffix":""}],"container-title":"Jurnal Ekonomi dan Pembangunan","id":"ITEM-1","issue":"1","issued":{"date-parts":[["2021"]]},"page":"82-93","title":"Pengaruh Tata Kelola Pemerintah Terhadap Pertumbuhan Ekonomi Di ASEAN","type":"article-journal","volume":"12"},"uris":["http://www.mendeley.com/documents/?uuid=0592fc85-f47f-490b-9b87-0e52fac73a6a"]}],"mendeley":{"formattedCitation":"(Eka Asbarini et al., 2021)","plainTextFormattedCitation":"(Eka Asbarini et al., 2021)","previouslyFormattedCitation":"(Eka Asbarini et al., 2021)"},"properties":{"noteIndex":0},"schema":"https://github.com/citation-style-language/schema/raw/master/csl-citation.json"}</w:instrText>
      </w:r>
      <w:r w:rsidRPr="00F139D9">
        <w:rPr>
          <w:rFonts w:ascii="Athelas" w:hAnsi="Athelas"/>
          <w:color w:val="000000" w:themeColor="text1"/>
          <w:lang w:val="id-ID"/>
        </w:rPr>
        <w:fldChar w:fldCharType="separate"/>
      </w:r>
      <w:r w:rsidRPr="00F139D9">
        <w:rPr>
          <w:rFonts w:ascii="Athelas" w:hAnsi="Athelas"/>
          <w:noProof/>
          <w:color w:val="000000" w:themeColor="text1"/>
          <w:lang w:val="id-ID"/>
        </w:rPr>
        <w:t>(Eka Asbarini, 2021)</w:t>
      </w:r>
      <w:r w:rsidRPr="00F139D9">
        <w:rPr>
          <w:rFonts w:ascii="Athelas" w:hAnsi="Athelas"/>
          <w:color w:val="000000" w:themeColor="text1"/>
          <w:lang w:val="id-ID"/>
        </w:rPr>
        <w:fldChar w:fldCharType="end"/>
      </w:r>
      <w:r w:rsidRPr="00F139D9">
        <w:rPr>
          <w:rFonts w:ascii="Athelas" w:hAnsi="Athelas"/>
          <w:color w:val="000000" w:themeColor="text1"/>
        </w:rPr>
        <w:t xml:space="preserve">. The performance and involvement of three main actors—the government, the community, and the private sector—determine the success or failure of the implementation of good governance </w:t>
      </w:r>
      <w:r w:rsidRPr="00F139D9">
        <w:rPr>
          <w:rFonts w:ascii="Athelas" w:hAnsi="Athelas"/>
          <w:color w:val="000000" w:themeColor="text1"/>
        </w:rPr>
        <w:fldChar w:fldCharType="begin" w:fldLock="1"/>
      </w:r>
      <w:r w:rsidRPr="00F139D9">
        <w:rPr>
          <w:rFonts w:ascii="Athelas" w:hAnsi="Athelas"/>
          <w:color w:val="000000" w:themeColor="text1"/>
        </w:rPr>
        <w:instrText>ADDIN CSL_CITATION {"citationItems":[{"id":"ITEM-1","itemData":{"ISBN":"9781119130536","abstract":"Predicting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approach.","author":[{"dropping-particle":"","family":"Putri","given":"Reniza Helena","non-dropping-particle":"","parse-names":false,"suffix":""}],"id":"ITEM-1","issue":"1","issued":{"date-parts":[["2022"]]},"page":"123-136","title":"Pengaruh Kebijakan Subsidi, Foreign Direct Investment (FDI) dan Tata Kelola Pemerintahan Terhadap Pertumbuhan Ekonomi (Studi Kasus Negara - Negara di ASEAN)","type":"article-journal","volume":"3"},"uris":["http://www.mendeley.com/documents/?uuid=de0300f0-ca71-4571-a161-35f60b839c8d"]}],"mendeley":{"formattedCitation":"(R. H. Putri, 2022)","plainTextFormattedCitation":"(R. H. Putri, 2022)","previouslyFormattedCitation":"(R. H. Putri, 2022)"},"properties":{"noteIndex":0},"schema":"https://github.com/citation-style-language/schema/raw/master/csl-citation.json"}</w:instrText>
      </w:r>
      <w:r w:rsidRPr="00F139D9">
        <w:rPr>
          <w:rFonts w:ascii="Athelas" w:hAnsi="Athelas"/>
          <w:color w:val="000000" w:themeColor="text1"/>
        </w:rPr>
        <w:fldChar w:fldCharType="separate"/>
      </w:r>
      <w:r w:rsidRPr="00F139D9">
        <w:rPr>
          <w:rFonts w:ascii="Athelas" w:hAnsi="Athelas"/>
          <w:noProof/>
          <w:color w:val="000000" w:themeColor="text1"/>
        </w:rPr>
        <w:t>(R. H. Putri, 2022)</w:t>
      </w:r>
      <w:r w:rsidRPr="00F139D9">
        <w:rPr>
          <w:rFonts w:ascii="Athelas" w:hAnsi="Athelas"/>
          <w:color w:val="000000" w:themeColor="text1"/>
        </w:rPr>
        <w:fldChar w:fldCharType="end"/>
      </w:r>
      <w:r w:rsidRPr="00F139D9">
        <w:rPr>
          <w:rFonts w:ascii="Athelas" w:hAnsi="Athelas"/>
          <w:color w:val="000000" w:themeColor="text1"/>
          <w:lang w:val="id-ID"/>
        </w:rPr>
        <w:t>.</w:t>
      </w:r>
      <w:r w:rsidRPr="00F139D9">
        <w:rPr>
          <w:rFonts w:ascii="Athelas" w:hAnsi="Athelas"/>
          <w:color w:val="000000" w:themeColor="text1"/>
        </w:rPr>
        <w:t>The concept of good governance was first proposed by the World Bank, UNDP, and Asian Development Bank (ADB), then developed with many contributions from experts in developing countries</w:t>
      </w:r>
      <w:r w:rsidRPr="00F139D9">
        <w:rPr>
          <w:rFonts w:ascii="Athelas" w:hAnsi="Athelas"/>
          <w:color w:val="000000" w:themeColor="text1"/>
          <w:lang w:val="id-ID"/>
        </w:rPr>
        <w:t xml:space="preserve"> </w:t>
      </w:r>
      <w:r w:rsidRPr="00F139D9">
        <w:rPr>
          <w:rFonts w:ascii="Athelas" w:hAnsi="Athelas"/>
          <w:color w:val="000000" w:themeColor="text1"/>
          <w:lang w:val="id-ID"/>
        </w:rPr>
        <w:fldChar w:fldCharType="begin" w:fldLock="1"/>
      </w:r>
      <w:r w:rsidRPr="00F139D9">
        <w:rPr>
          <w:rFonts w:ascii="Athelas" w:hAnsi="Athelas"/>
          <w:color w:val="000000" w:themeColor="text1"/>
          <w:lang w:val="id-ID"/>
        </w:rPr>
        <w:instrText>ADDIN CSL_CITATION {"citationItems":[{"id":"ITEM-1","itemData":{"author":[{"dropping-particle":"","family":"Viona","given":"Jenasti","non-dropping-particle":"","parse-names":false,"suffix":""},{"dropping-particle":"","family":"Khairiyah","given":"","non-dropping-particle":"","parse-names":false,"suffix":""}],"container-title":"Jurnal Suara Politik","id":"ITEM-1","issue":"1","issued":{"date-parts":[["2022"]]},"page":"22-28","title":"TRANSFORMATION OF GOVERNMENT MANAGEMENT BASED ON E-GOVERNMENT (Case Study: Padang City Government Constraints in the Implementation of e-Government)","type":"article-journal","volume":"1"},"uris":["http://www.mendeley.com/documents/?uuid=0ea5b3c7-d70d-45f2-93bf-5832aef4d959"]}],"mendeley":{"formattedCitation":"(Viona &amp; Khairiyah, 2022)","plainTextFormattedCitation":"(Viona &amp; Khairiyah, 2022)","previouslyFormattedCitation":"(Viona &amp; Khairiyah, 2022)"},"properties":{"noteIndex":0},"schema":"https://github.com/citation-style-language/schema/raw/master/csl-citation.json"}</w:instrText>
      </w:r>
      <w:r w:rsidRPr="00F139D9">
        <w:rPr>
          <w:rFonts w:ascii="Athelas" w:hAnsi="Athelas"/>
          <w:color w:val="000000" w:themeColor="text1"/>
          <w:lang w:val="id-ID"/>
        </w:rPr>
        <w:fldChar w:fldCharType="separate"/>
      </w:r>
      <w:r w:rsidRPr="00F139D9">
        <w:rPr>
          <w:rFonts w:ascii="Athelas" w:hAnsi="Athelas"/>
          <w:noProof/>
          <w:color w:val="000000" w:themeColor="text1"/>
          <w:lang w:val="id-ID"/>
        </w:rPr>
        <w:t>(Viona &amp; Khairiyah, 2022)</w:t>
      </w:r>
      <w:r w:rsidRPr="00F139D9">
        <w:rPr>
          <w:rFonts w:ascii="Athelas" w:hAnsi="Athelas"/>
          <w:color w:val="000000" w:themeColor="text1"/>
          <w:lang w:val="id-ID"/>
        </w:rPr>
        <w:fldChar w:fldCharType="end"/>
      </w:r>
      <w:r w:rsidRPr="00F139D9">
        <w:rPr>
          <w:rFonts w:ascii="Athelas" w:hAnsi="Athelas"/>
          <w:color w:val="000000" w:themeColor="text1"/>
        </w:rPr>
        <w:t>.</w:t>
      </w:r>
      <w:r w:rsidRPr="00F139D9">
        <w:rPr>
          <w:rFonts w:ascii="Athelas" w:hAnsi="Athelas"/>
          <w:color w:val="000000" w:themeColor="text1"/>
          <w:lang w:val="id-ID"/>
        </w:rPr>
        <w:t xml:space="preserve"> </w:t>
      </w:r>
      <w:r w:rsidRPr="00F139D9">
        <w:rPr>
          <w:rFonts w:ascii="Athelas" w:hAnsi="Athelas"/>
          <w:color w:val="000000" w:themeColor="text1"/>
        </w:rPr>
        <w:t>Several countries in the world measure how far the implementation of good governance in their country is based on the World Governance Indicator (WGI), as well as seven countries in ASEAN such as Thailand, Singapore, Myanmar, Brunei Darussalam, Malaysia, Indonesia, and the Philippines. The World Governance Indicator (WGI) is one of the important aspects of measuring how far good governance has been implemented</w:t>
      </w:r>
      <w:r w:rsidRPr="00F139D9">
        <w:rPr>
          <w:rFonts w:ascii="Athelas" w:hAnsi="Athelas"/>
          <w:color w:val="000000" w:themeColor="text1"/>
          <w:lang w:val="id-ID"/>
        </w:rPr>
        <w:t xml:space="preserve"> </w:t>
      </w:r>
      <w:r w:rsidRPr="00F139D9">
        <w:rPr>
          <w:rFonts w:ascii="Athelas" w:hAnsi="Athelas"/>
          <w:color w:val="000000" w:themeColor="text1"/>
          <w:lang w:val="id-ID"/>
        </w:rPr>
        <w:fldChar w:fldCharType="begin" w:fldLock="1"/>
      </w:r>
      <w:r w:rsidRPr="00F139D9">
        <w:rPr>
          <w:rFonts w:ascii="Athelas" w:hAnsi="Athelas"/>
          <w:color w:val="000000" w:themeColor="text1"/>
          <w:lang w:val="id-ID"/>
        </w:rPr>
        <w:instrText>ADDIN CSL_CITATION {"citationItems":[{"id":"ITEM-1","itemData":{"DOI":"10.3390/su14148802","ISSN":"20711050","abstract":"The access to open government data has been a relevant topic for societies around the world, especially over the last ten years. This paper aims to analyze the indicators of the São Paulo City Observatory (ObservaSampa), confronting them with the ISO 3712x series (sustainable, smart, and resilient cities) standards, to assess if the former meet both open data principles and the ISO prescriptions. Bibliometric analysis, comparative analysis, cluster analysis, and principal component analysis (PCA) were the methods used in this research. From the comparative analysis, 18 indicators were identified as conforming and 41 as partially conforming. Thus, 20% of the ObservaSampa indicators adhere to the ISO standards. The PCA applied to the conforming indicators shows component 1 is related to socioeconomic dimensions, while component 2 refers to social policy, with both appraisals confirmed by cluster analysis. Measuring and presenting city data in compliance with indicator standards is relevant because they open the possibility of comparing different cities. However, there is still a lack of consensus on a common set of indicators to be accommodated within the current ISO standards system.","author":[{"dropping-particle":"","family":"Takiya","given":"Harmi","non-dropping-particle":"","parse-names":false,"suffix":""},{"dropping-particle":"","family":"Negreiros","given":"Iara","non-dropping-particle":"","parse-names":false,"suffix":""},{"dropping-particle":"","family":"Yamamura","given":"Charles Lincoln Kenji","non-dropping-particle":"","parse-names":false,"suffix":""},{"dropping-particle":"","family":"Quintanilha","given":"José Alberto","non-dropping-particle":"","parse-names":false,"suffix":""},{"dropping-particle":"","family":"Machado","given":"Cláudia Aparecida Soares","non-dropping-particle":"","parse-names":false,"suffix":""},{"dropping-particle":"","family":"Abiko","given":"Alex","non-dropping-particle":"","parse-names":false,"suffix":""},{"dropping-particle":"de","family":"Campos","given":"Cintia Isabel","non-dropping-particle":"","parse-names":false,"suffix":""},{"dropping-particle":"","family":"Pessoa","given":"Marcelo Schneck de Paula","non-dropping-particle":"","parse-names":false,"suffix":""},{"dropping-particle":"","family":"Berssaneti","given":"Fernando Tobal","non-dropping-particle":"","parse-names":false,"suffix":""}],"container-title":"Sustainability (Switzerland)","id":"ITEM-1","issued":{"date-parts":[["2022"]]},"page":"1-30","title":"Application of Open Government Data to Sustainable City Indicators: A Megacity Case Study","type":"article-journal","volume":"14"},"uris":["http://www.mendeley.com/documents/?uuid=0fb72f6d-2430-4b0a-a49d-ce99b9246b6e"]}],"mendeley":{"formattedCitation":"(Takiya et al., 2022)","plainTextFormattedCitation":"(Takiya et al., 2022)","previouslyFormattedCitation":"(Takiya et al., 2022)"},"properties":{"noteIndex":0},"schema":"https://github.com/citation-style-language/schema/raw/master/csl-citation.json"}</w:instrText>
      </w:r>
      <w:r w:rsidRPr="00F139D9">
        <w:rPr>
          <w:rFonts w:ascii="Athelas" w:hAnsi="Athelas"/>
          <w:color w:val="000000" w:themeColor="text1"/>
          <w:lang w:val="id-ID"/>
        </w:rPr>
        <w:fldChar w:fldCharType="separate"/>
      </w:r>
      <w:r w:rsidRPr="00F139D9">
        <w:rPr>
          <w:rFonts w:ascii="Athelas" w:hAnsi="Athelas"/>
          <w:noProof/>
          <w:color w:val="000000" w:themeColor="text1"/>
          <w:lang w:val="id-ID"/>
        </w:rPr>
        <w:t>(Takiya, 2022)</w:t>
      </w:r>
      <w:r w:rsidRPr="00F139D9">
        <w:rPr>
          <w:rFonts w:ascii="Athelas" w:hAnsi="Athelas"/>
          <w:color w:val="000000" w:themeColor="text1"/>
          <w:lang w:val="id-ID"/>
        </w:rPr>
        <w:fldChar w:fldCharType="end"/>
      </w:r>
      <w:r w:rsidRPr="00F139D9">
        <w:rPr>
          <w:rFonts w:ascii="Athelas" w:hAnsi="Athelas"/>
          <w:color w:val="000000" w:themeColor="text1"/>
        </w:rPr>
        <w:t>.</w:t>
      </w:r>
    </w:p>
    <w:p w14:paraId="2D2069C8" w14:textId="77777777" w:rsidR="001612BD" w:rsidRPr="00F139D9" w:rsidRDefault="001612BD" w:rsidP="001612BD">
      <w:pPr>
        <w:pStyle w:val="NormalWeb"/>
        <w:spacing w:line="276" w:lineRule="auto"/>
        <w:ind w:firstLine="720"/>
        <w:jc w:val="both"/>
        <w:rPr>
          <w:rFonts w:ascii="Athelas" w:hAnsi="Athelas"/>
          <w:color w:val="000000" w:themeColor="text1"/>
        </w:rPr>
      </w:pPr>
      <w:r w:rsidRPr="00F139D9">
        <w:rPr>
          <w:rFonts w:ascii="Athelas" w:hAnsi="Athelas"/>
          <w:color w:val="000000" w:themeColor="text1"/>
        </w:rPr>
        <w:t xml:space="preserve">The World Governance Indicator (WGI) is a collection of indicators in the field of governance published by the World Bank through the Macroeconomics and Growth Team-Development Research Group since 1996. The World Governance Indicator (WGI) measures six dimensions of governance, namely Based on the World Bank report written by Kaufman, Kraay, and </w:t>
      </w:r>
      <w:proofErr w:type="spellStart"/>
      <w:r w:rsidRPr="00F139D9">
        <w:rPr>
          <w:rFonts w:ascii="Athelas" w:hAnsi="Athelas"/>
          <w:color w:val="000000" w:themeColor="text1"/>
        </w:rPr>
        <w:t>Zoido-Lobatón</w:t>
      </w:r>
      <w:proofErr w:type="spellEnd"/>
      <w:r w:rsidRPr="00F139D9">
        <w:rPr>
          <w:rFonts w:ascii="Athelas" w:hAnsi="Athelas"/>
          <w:color w:val="000000" w:themeColor="text1"/>
        </w:rPr>
        <w:t xml:space="preserve"> in 2009, there is a direct relationship between good governance, stable government, and good socioeconomic conditions</w:t>
      </w:r>
      <w:r w:rsidRPr="00F139D9">
        <w:rPr>
          <w:rFonts w:ascii="Athelas" w:hAnsi="Athelas"/>
          <w:color w:val="000000" w:themeColor="text1"/>
          <w:lang w:val="id-ID"/>
        </w:rPr>
        <w:t xml:space="preserve"> </w:t>
      </w:r>
      <w:r w:rsidRPr="00F139D9">
        <w:rPr>
          <w:rFonts w:ascii="Athelas" w:hAnsi="Athelas"/>
          <w:color w:val="000000" w:themeColor="text1"/>
          <w:lang w:val="id-ID"/>
        </w:rPr>
        <w:fldChar w:fldCharType="begin" w:fldLock="1"/>
      </w:r>
      <w:r w:rsidRPr="00F139D9">
        <w:rPr>
          <w:rFonts w:ascii="Athelas" w:hAnsi="Athelas"/>
          <w:color w:val="000000" w:themeColor="text1"/>
          <w:lang w:val="id-ID"/>
        </w:rPr>
        <w:instrText>ADDIN CSL_CITATION {"citationItems":[{"id":"ITEM-1","itemData":{"author":[{"dropping-particle":"","family":"Putri","given":"Annisa Fitria Jasmine","non-dropping-particle":"","parse-names":false,"suffix":""},{"dropping-particle":"","family":"Herdika","given":"Mutiara","non-dropping-particle":"","parse-names":false,"suffix":""},{"dropping-particle":"","family":"Fendita","given":"Xena Alvina","non-dropping-particle":"","parse-names":false,"suffix":""},{"dropping-particle":"","family":"Fratiwi","given":"","non-dropping-particle":"","parse-names":false,"suffix":""}],"container-title":"BULLET : Jurnal Multidisiplin Ilmu","id":"ITEM-1","issue":"03","issued":{"date-parts":[["2022"]]},"page":"400-408","title":"Desentralisasi Sebagai Upaya Penanggulangan Problematika Serta Tantangan dalam Penyelenggaraan Pemerintahan Daerah","type":"article-journal","volume":"1"},"uris":["http://www.mendeley.com/documents/?uuid=f0cf7c6f-376a-4525-aa3c-13e7bb4345c8"]}],"mendeley":{"formattedCitation":"(A. F. J. Putri et al., 2022)","plainTextFormattedCitation":"(A. F. J. Putri et al., 2022)","previouslyFormattedCitation":"(A. F. J. Putri et al., 2022)"},"properties":{"noteIndex":0},"schema":"https://github.com/citation-style-language/schema/raw/master/csl-citation.json"}</w:instrText>
      </w:r>
      <w:r w:rsidRPr="00F139D9">
        <w:rPr>
          <w:rFonts w:ascii="Athelas" w:hAnsi="Athelas"/>
          <w:color w:val="000000" w:themeColor="text1"/>
          <w:lang w:val="id-ID"/>
        </w:rPr>
        <w:fldChar w:fldCharType="separate"/>
      </w:r>
      <w:r w:rsidRPr="00F139D9">
        <w:rPr>
          <w:rFonts w:ascii="Athelas" w:hAnsi="Athelas"/>
          <w:noProof/>
          <w:color w:val="000000" w:themeColor="text1"/>
          <w:lang w:val="id-ID"/>
        </w:rPr>
        <w:t>(A. F. J. Putri et al., 2022)</w:t>
      </w:r>
      <w:r w:rsidRPr="00F139D9">
        <w:rPr>
          <w:rFonts w:ascii="Athelas" w:hAnsi="Athelas"/>
          <w:color w:val="000000" w:themeColor="text1"/>
          <w:lang w:val="id-ID"/>
        </w:rPr>
        <w:fldChar w:fldCharType="end"/>
      </w:r>
      <w:r w:rsidRPr="00F139D9">
        <w:rPr>
          <w:rFonts w:ascii="Athelas" w:hAnsi="Athelas"/>
          <w:color w:val="000000" w:themeColor="text1"/>
          <w:lang w:val="id-ID"/>
        </w:rPr>
        <w:t xml:space="preserve">. </w:t>
      </w:r>
      <w:r w:rsidRPr="00F139D9">
        <w:rPr>
          <w:rFonts w:ascii="Athelas" w:hAnsi="Athelas"/>
          <w:color w:val="000000" w:themeColor="text1"/>
        </w:rPr>
        <w:t xml:space="preserve">Based on the concept of good governance from the World Bank (2022), good governance has a World Governance Indicator (WGI) with six index indicators, namely: Voice and Accountability, Political Stability and Absence of violence or </w:t>
      </w:r>
      <w:r w:rsidRPr="00F139D9">
        <w:rPr>
          <w:rFonts w:ascii="Athelas" w:hAnsi="Athelas"/>
          <w:color w:val="000000" w:themeColor="text1"/>
        </w:rPr>
        <w:lastRenderedPageBreak/>
        <w:t>terrorism, Government Effectiveness, Regulatory Quality, Rule of Law, and control of Corruption</w:t>
      </w:r>
      <w:r w:rsidRPr="00F139D9">
        <w:rPr>
          <w:rFonts w:ascii="Athelas" w:hAnsi="Athelas"/>
          <w:color w:val="000000" w:themeColor="text1"/>
          <w:lang w:val="id-ID"/>
        </w:rPr>
        <w:t xml:space="preserve"> </w:t>
      </w:r>
      <w:r w:rsidRPr="00F139D9">
        <w:rPr>
          <w:rFonts w:ascii="Athelas" w:hAnsi="Athelas"/>
          <w:color w:val="000000" w:themeColor="text1"/>
          <w:lang w:val="id-ID"/>
        </w:rPr>
        <w:fldChar w:fldCharType="begin" w:fldLock="1"/>
      </w:r>
      <w:r w:rsidRPr="00F139D9">
        <w:rPr>
          <w:rFonts w:ascii="Athelas" w:hAnsi="Athelas"/>
          <w:color w:val="000000" w:themeColor="text1"/>
          <w:lang w:val="id-ID"/>
        </w:rPr>
        <w:instrText>ADDIN CSL_CITATION {"citationItems":[{"id":"ITEM-1","itemData":{"author":[{"dropping-particle":"","family":"Sukarno","given":"Mohamad","non-dropping-particle":"","parse-names":false,"suffix":""},{"dropping-particle":"","family":"Nurmandi","given":"Achmad","non-dropping-particle":"","parse-names":false,"suffix":""}],"container-title":"Journal of Contemporary Governance and Public Policy","id":"ITEM-1","issue":"April","issued":{"date-parts":[["2023"]]},"page":"97-114","title":"E-Government Development Index Impact on World Governance Indicator Index in Southeast Asian Countries","type":"article-journal","volume":"4"},"uris":["http://www.mendeley.com/documents/?uuid=d7d7058d-1eb2-4ad2-96dc-b4456338b0aa"]}],"mendeley":{"formattedCitation":"(Sukarno &amp; Nurmandi, 2023)","plainTextFormattedCitation":"(Sukarno &amp; Nurmandi, 2023)","previouslyFormattedCitation":"(Sukarno &amp; Nurmandi, 2023)"},"properties":{"noteIndex":0},"schema":"https://github.com/citation-style-language/schema/raw/master/csl-citation.json"}</w:instrText>
      </w:r>
      <w:r w:rsidRPr="00F139D9">
        <w:rPr>
          <w:rFonts w:ascii="Athelas" w:hAnsi="Athelas"/>
          <w:color w:val="000000" w:themeColor="text1"/>
          <w:lang w:val="id-ID"/>
        </w:rPr>
        <w:fldChar w:fldCharType="separate"/>
      </w:r>
      <w:r w:rsidRPr="00F139D9">
        <w:rPr>
          <w:rFonts w:ascii="Athelas" w:hAnsi="Athelas"/>
          <w:noProof/>
          <w:color w:val="000000" w:themeColor="text1"/>
          <w:lang w:val="id-ID"/>
        </w:rPr>
        <w:t>(Sukarno &amp; Nurmandi, 2023)</w:t>
      </w:r>
      <w:r w:rsidRPr="00F139D9">
        <w:rPr>
          <w:rFonts w:ascii="Athelas" w:hAnsi="Athelas"/>
          <w:color w:val="000000" w:themeColor="text1"/>
          <w:lang w:val="id-ID"/>
        </w:rPr>
        <w:fldChar w:fldCharType="end"/>
      </w:r>
      <w:r w:rsidRPr="00F139D9">
        <w:rPr>
          <w:rFonts w:ascii="Athelas" w:hAnsi="Athelas"/>
          <w:color w:val="000000" w:themeColor="text1"/>
        </w:rPr>
        <w:t>.</w:t>
      </w:r>
    </w:p>
    <w:p w14:paraId="4F86EC7B" w14:textId="77777777" w:rsidR="001612BD" w:rsidRPr="00F139D9" w:rsidRDefault="001612BD" w:rsidP="001612BD">
      <w:pPr>
        <w:pStyle w:val="NormalWeb"/>
        <w:spacing w:line="276" w:lineRule="auto"/>
        <w:ind w:firstLine="720"/>
        <w:jc w:val="both"/>
        <w:rPr>
          <w:rFonts w:ascii="Athelas" w:hAnsi="Athelas"/>
          <w:color w:val="000000" w:themeColor="text1"/>
        </w:rPr>
      </w:pPr>
      <w:r w:rsidRPr="00F139D9">
        <w:rPr>
          <w:rFonts w:ascii="Athelas" w:hAnsi="Athelas"/>
          <w:color w:val="000000" w:themeColor="text1"/>
        </w:rPr>
        <w:t xml:space="preserve">The World Governance Indicator (WGI) is a collection of indicators in the field of governance published by the World Bank through the Macroeconomics and Growth Team-Development Research Group since 1996. The World Governance Indicator (WGI) measures six dimensions of governance, namely Based on the World Bank report written by Kaufman, Kraay, and </w:t>
      </w:r>
      <w:proofErr w:type="spellStart"/>
      <w:r w:rsidRPr="00F139D9">
        <w:rPr>
          <w:rFonts w:ascii="Athelas" w:hAnsi="Athelas"/>
          <w:color w:val="000000" w:themeColor="text1"/>
        </w:rPr>
        <w:t>Zoido-Lobatón</w:t>
      </w:r>
      <w:proofErr w:type="spellEnd"/>
      <w:r w:rsidRPr="00F139D9">
        <w:rPr>
          <w:rFonts w:ascii="Athelas" w:hAnsi="Athelas"/>
          <w:color w:val="000000" w:themeColor="text1"/>
        </w:rPr>
        <w:t xml:space="preserve"> in 2009, there is a direct relationship between good governance, stable government, and good socioeconomic conditions</w:t>
      </w:r>
      <w:r w:rsidRPr="00F139D9">
        <w:rPr>
          <w:rFonts w:ascii="Athelas" w:hAnsi="Athelas"/>
          <w:color w:val="000000" w:themeColor="text1"/>
          <w:lang w:val="id-ID"/>
        </w:rPr>
        <w:t xml:space="preserve"> </w:t>
      </w:r>
      <w:r w:rsidRPr="00F139D9">
        <w:rPr>
          <w:rFonts w:ascii="Athelas" w:hAnsi="Athelas"/>
          <w:color w:val="000000" w:themeColor="text1"/>
          <w:lang w:val="id-ID"/>
        </w:rPr>
        <w:fldChar w:fldCharType="begin" w:fldLock="1"/>
      </w:r>
      <w:r w:rsidRPr="00F139D9">
        <w:rPr>
          <w:rFonts w:ascii="Athelas" w:hAnsi="Athelas"/>
          <w:color w:val="000000" w:themeColor="text1"/>
          <w:lang w:val="id-ID"/>
        </w:rPr>
        <w:instrText>ADDIN CSL_CITATION {"citationItems":[{"id":"ITEM-1","itemData":{"DOI":"10.46306/ncabet.v1i1.28","ISSN":"2808-4594","abstract":"This study aims to analyze the effect of foreign debt and country risk on capital flight in ASEAN developing countries. The country's risks include the current account/export ratio, economic growth, inflation, and political instability. Determination of the sample is based on annual time-series data for the period 2005 to 2019. The data used in this study is secondary data from the World Bank 2021 and the World Governance Indicator (WGI) 2021. This study uses panel data regression analysis with Fixed Effect Model using cross-section SUR (Seemingly Unrelated Regression). Based on the results of the F statistical test (simultaneous test) shows that foreign debt, current account/export ratio, economic growth, inflation, and political instability simultaneously have a significant effect on capital flight in ASEAN developing countries from 2005 to 2019. Then, based on the results t statistical test (partial test) shows that foreign debt, economic growth, inflation, and political instability have a significant positive effect on capital flight, while the current account/export ratio has a significant negative effect on capital flight in ASEAN developing countries from 2005 to 2019","author":[{"dropping-particle":"","family":"Lutfiah","given":"Rt. Ainun","non-dropping-particle":"","parse-names":false,"suffix":""},{"dropping-particle":"","family":"Zahara","given":"Vadilla Mutia","non-dropping-particle":"","parse-names":false,"suffix":""},{"dropping-particle":"","family":"Anwar","given":"Cep Jandi","non-dropping-particle":"","parse-names":false,"suffix":""}],"container-title":"National Conference on Applied Business, Education, &amp; Technology (NCABET)","id":"ITEM-1","issue":"1","issued":{"date-parts":[["2021"]]},"page":"334-348","title":"Analisis Pengaruh Utang Luar Negeri Dan Risiko Negara Terhadap Capital Flight Di Negara Berkembang Asean","type":"article-journal","volume":"1"},"uris":["http://www.mendeley.com/documents/?uuid=63a76584-ced2-4b8a-b4af-67a10580abde"]}],"mendeley":{"formattedCitation":"(Lutfiah et al., 2021)","plainTextFormattedCitation":"(Lutfiah et al., 2021)","previouslyFormattedCitation":"(Lutfiah et al., 2021)"},"properties":{"noteIndex":0},"schema":"https://github.com/citation-style-language/schema/raw/master/csl-citation.json"}</w:instrText>
      </w:r>
      <w:r w:rsidRPr="00F139D9">
        <w:rPr>
          <w:rFonts w:ascii="Athelas" w:hAnsi="Athelas"/>
          <w:color w:val="000000" w:themeColor="text1"/>
          <w:lang w:val="id-ID"/>
        </w:rPr>
        <w:fldChar w:fldCharType="separate"/>
      </w:r>
      <w:r w:rsidRPr="00F139D9">
        <w:rPr>
          <w:rFonts w:ascii="Athelas" w:hAnsi="Athelas"/>
          <w:noProof/>
          <w:color w:val="000000" w:themeColor="text1"/>
          <w:lang w:val="id-ID"/>
        </w:rPr>
        <w:t>(Lutfiah et al., 2021)</w:t>
      </w:r>
      <w:r w:rsidRPr="00F139D9">
        <w:rPr>
          <w:rFonts w:ascii="Athelas" w:hAnsi="Athelas"/>
          <w:color w:val="000000" w:themeColor="text1"/>
          <w:lang w:val="id-ID"/>
        </w:rPr>
        <w:fldChar w:fldCharType="end"/>
      </w:r>
      <w:r w:rsidRPr="00F139D9">
        <w:rPr>
          <w:rFonts w:ascii="Athelas" w:hAnsi="Athelas"/>
          <w:color w:val="000000" w:themeColor="text1"/>
          <w:lang w:val="id-ID"/>
        </w:rPr>
        <w:t xml:space="preserve">. </w:t>
      </w:r>
      <w:r w:rsidRPr="00F139D9">
        <w:rPr>
          <w:rFonts w:ascii="Athelas" w:hAnsi="Athelas"/>
          <w:color w:val="000000" w:themeColor="text1"/>
        </w:rPr>
        <w:t>Based on the concept of good governance from the World Bank (2022), good governance has a World Governance Indicator (WGI) with six index indicators, namely: Voice and Accountability, Political Stability and Absence of violence or terrorism, Government Effectiveness, Regulatory Quality, Rule of Law, and control of Corruption</w:t>
      </w:r>
      <w:r w:rsidRPr="00F139D9">
        <w:rPr>
          <w:rFonts w:ascii="Athelas" w:hAnsi="Athelas"/>
          <w:color w:val="000000" w:themeColor="text1"/>
          <w:lang w:val="id-ID"/>
        </w:rPr>
        <w:t xml:space="preserve"> </w:t>
      </w:r>
      <w:r w:rsidRPr="00F139D9">
        <w:rPr>
          <w:rFonts w:ascii="Athelas" w:hAnsi="Athelas"/>
          <w:color w:val="000000" w:themeColor="text1"/>
          <w:lang w:val="id-ID"/>
        </w:rPr>
        <w:fldChar w:fldCharType="begin" w:fldLock="1"/>
      </w:r>
      <w:r w:rsidRPr="00F139D9">
        <w:rPr>
          <w:rFonts w:ascii="Athelas" w:hAnsi="Athelas"/>
          <w:color w:val="000000" w:themeColor="text1"/>
          <w:lang w:val="id-ID"/>
        </w:rPr>
        <w:instrText>ADDIN CSL_CITATION {"citationItems":[{"id":"ITEM-1","itemData":{"DOI":"10.33395/owner.v6i2.805","ISSN":"2548-7507","abstract":"Political risk is a risk that occurs due to political disturbances in a country that can affect its economy. This risk is one of the risks that investors consider when investing in a country. High political risks can create obstacles that potentially disrupt investors' business operations. This study aims to see the impact of political risk on Foreign Direct Investment (FDI) in the ASEAN region in 1996-2019 using panel data analysis with the best model, namely the fixed effect model (FEM). Sources of data in this study came from the World Governance Indicator (WGI) and World Development Indicator (WDI). The results of this study indicate that political risk as reflected in political stability and regulatory quality has a significant influence on FDI inflows in the ASEAN region. Political instability could make investors reluctant to invest in the country due to the concern about disturbances that will occur in the future. The role of governments in ASEAN countries is needed to maintain political stability and attract more foreign investors to invest in the ASEAN region. In addition, a country needs to have good regulatory quality so that investors do not experience obstacles in the early stages of investment. Complicated licensing and many regulations can be one of the obstacles in investing.","author":[{"dropping-particle":"","family":"Tanaya","given":"Olivia","non-dropping-particle":"","parse-names":false,"suffix":""},{"dropping-particle":"","family":"Kanti Wilujeng","given":"Rr. Savina","non-dropping-particle":"","parse-names":false,"suffix":""},{"dropping-particle":"","family":"Putri Radjamin","given":"Irzameingindra","non-dropping-particle":"","parse-names":false,"suffix":""}],"container-title":"Owner Riset dan Jurnal Akuntansi","id":"ITEM-1","issue":"2","issued":{"date-parts":[["2022"]]},"page":"1610-1620","title":"Foreign Direct Investment dan Risiko Politik di ASEAN","type":"article-journal","volume":"6"},"uris":["http://www.mendeley.com/documents/?uuid=ba29b95e-8af2-4d8b-9385-baea924ddc48"]}],"mendeley":{"formattedCitation":"(Tanaya et al., 2022)","plainTextFormattedCitation":"(Tanaya et al., 2022)","previouslyFormattedCitation":"(Tanaya et al., 2022)"},"properties":{"noteIndex":0},"schema":"https://github.com/citation-style-language/schema/raw/master/csl-citation.json"}</w:instrText>
      </w:r>
      <w:r w:rsidRPr="00F139D9">
        <w:rPr>
          <w:rFonts w:ascii="Athelas" w:hAnsi="Athelas"/>
          <w:color w:val="000000" w:themeColor="text1"/>
          <w:lang w:val="id-ID"/>
        </w:rPr>
        <w:fldChar w:fldCharType="separate"/>
      </w:r>
      <w:r w:rsidRPr="00F139D9">
        <w:rPr>
          <w:rFonts w:ascii="Athelas" w:hAnsi="Athelas"/>
          <w:noProof/>
          <w:color w:val="000000" w:themeColor="text1"/>
          <w:lang w:val="id-ID"/>
        </w:rPr>
        <w:t>(Tanaya et al., 2022)</w:t>
      </w:r>
      <w:r w:rsidRPr="00F139D9">
        <w:rPr>
          <w:rFonts w:ascii="Athelas" w:hAnsi="Athelas"/>
          <w:color w:val="000000" w:themeColor="text1"/>
          <w:lang w:val="id-ID"/>
        </w:rPr>
        <w:fldChar w:fldCharType="end"/>
      </w:r>
      <w:r w:rsidRPr="00F139D9">
        <w:rPr>
          <w:rFonts w:ascii="Athelas" w:hAnsi="Athelas"/>
          <w:color w:val="000000" w:themeColor="text1"/>
          <w:lang w:val="id-ID"/>
        </w:rPr>
        <w:t xml:space="preserve"> </w:t>
      </w:r>
      <w:r w:rsidRPr="00F139D9">
        <w:rPr>
          <w:rFonts w:ascii="Athelas" w:hAnsi="Athelas"/>
          <w:color w:val="000000" w:themeColor="text1"/>
        </w:rPr>
        <w:t>.</w:t>
      </w:r>
    </w:p>
    <w:p w14:paraId="062B07D3" w14:textId="4EC5B711" w:rsidR="001612BD" w:rsidRPr="00F139D9" w:rsidRDefault="001612BD" w:rsidP="001612BD">
      <w:pPr>
        <w:pStyle w:val="NormalWeb"/>
        <w:spacing w:line="276" w:lineRule="auto"/>
        <w:ind w:firstLine="720"/>
        <w:jc w:val="both"/>
        <w:rPr>
          <w:rFonts w:ascii="Athelas" w:hAnsi="Athelas"/>
          <w:color w:val="000000" w:themeColor="text1"/>
        </w:rPr>
      </w:pPr>
      <w:r w:rsidRPr="00F139D9">
        <w:rPr>
          <w:rFonts w:ascii="Athelas" w:hAnsi="Athelas"/>
          <w:color w:val="000000" w:themeColor="text1"/>
        </w:rPr>
        <w:t xml:space="preserve">In Eka </w:t>
      </w:r>
      <w:proofErr w:type="spellStart"/>
      <w:r w:rsidRPr="00F139D9">
        <w:rPr>
          <w:rFonts w:ascii="Athelas" w:hAnsi="Athelas"/>
          <w:color w:val="000000" w:themeColor="text1"/>
        </w:rPr>
        <w:t>Asbarini's</w:t>
      </w:r>
      <w:proofErr w:type="spellEnd"/>
      <w:r w:rsidRPr="00F139D9">
        <w:rPr>
          <w:rFonts w:ascii="Athelas" w:hAnsi="Athelas"/>
          <w:color w:val="000000" w:themeColor="text1"/>
        </w:rPr>
        <w:t xml:space="preserve"> research (2021), these indicators can be explained as follows: Voice and Accountability is a description of the extent to which citizens in that country participate in choosing their leaders and how citizens are free to express themselves, freely associate, and express opinions. Political Stability and Absence of Violence or Terrorism is a standard to measure the picture of political instability and or politically motivated violence, including terrorism, in a country.</w:t>
      </w:r>
      <w:r w:rsidR="00AC038D">
        <w:rPr>
          <w:rFonts w:ascii="Athelas" w:hAnsi="Athelas"/>
          <w:color w:val="000000" w:themeColor="text1"/>
          <w:lang w:val="id-ID"/>
        </w:rPr>
        <w:t xml:space="preserve"> </w:t>
      </w:r>
      <w:r w:rsidR="00AC038D" w:rsidRPr="00AC038D">
        <w:rPr>
          <w:rFonts w:ascii="Athelas" w:hAnsi="Athelas"/>
          <w:color w:val="000000" w:themeColor="text1"/>
          <w:lang w:val="id-ID"/>
        </w:rPr>
        <w:t>Government effectiveness is a representation of the caliber of public services, the caliber of civil services and the degree to which they are free from political influence, the caliber of policy creation and implementation, and the legitimacy of the government's adherence to a policy</w:t>
      </w:r>
      <w:r w:rsidRPr="00F139D9">
        <w:rPr>
          <w:rFonts w:ascii="Athelas" w:hAnsi="Athelas"/>
          <w:color w:val="000000" w:themeColor="text1"/>
        </w:rPr>
        <w:t xml:space="preserve">. </w:t>
      </w:r>
      <w:r w:rsidR="00AC038D" w:rsidRPr="00AC038D">
        <w:rPr>
          <w:rFonts w:ascii="Athelas" w:hAnsi="Athelas"/>
          <w:color w:val="000000" w:themeColor="text1"/>
        </w:rPr>
        <w:t>The ability of the government to create sound regulations, put them into action, and advance the growth of the private sector is known as regulatory quality</w:t>
      </w:r>
      <w:r w:rsidRPr="00F139D9">
        <w:rPr>
          <w:rFonts w:ascii="Athelas" w:hAnsi="Athelas"/>
          <w:color w:val="000000" w:themeColor="text1"/>
        </w:rPr>
        <w:t xml:space="preserve">. </w:t>
      </w:r>
      <w:r w:rsidR="00AC038D" w:rsidRPr="00AC038D">
        <w:rPr>
          <w:rFonts w:ascii="Athelas" w:hAnsi="Athelas"/>
          <w:color w:val="000000" w:themeColor="text1"/>
        </w:rPr>
        <w:t xml:space="preserve">The term "control of corruption" refers to the degree to which public power is used for personal gain, including minor and major forms of corruption and the state's arrest of elites </w:t>
      </w:r>
      <w:proofErr w:type="gramStart"/>
      <w:r w:rsidR="00AC038D" w:rsidRPr="00AC038D">
        <w:rPr>
          <w:rFonts w:ascii="Athelas" w:hAnsi="Athelas"/>
          <w:color w:val="000000" w:themeColor="text1"/>
        </w:rPr>
        <w:t>as a result of</w:t>
      </w:r>
      <w:proofErr w:type="gramEnd"/>
      <w:r w:rsidR="00AC038D" w:rsidRPr="00AC038D">
        <w:rPr>
          <w:rFonts w:ascii="Athelas" w:hAnsi="Athelas"/>
          <w:color w:val="000000" w:themeColor="text1"/>
        </w:rPr>
        <w:t xml:space="preserve"> these elites' mistakes. The term "rule of law" refers to the degree to which agents have trust and adhere to social norms</w:t>
      </w:r>
      <w:r w:rsidR="00AC038D">
        <w:rPr>
          <w:rFonts w:ascii="Athelas" w:hAnsi="Athelas"/>
          <w:color w:val="000000" w:themeColor="text1"/>
          <w:lang w:val="id-ID"/>
        </w:rPr>
        <w:t xml:space="preserve"> </w:t>
      </w:r>
      <w:r w:rsidRPr="00F139D9">
        <w:rPr>
          <w:rFonts w:ascii="Athelas" w:hAnsi="Athelas"/>
          <w:color w:val="000000" w:themeColor="text1"/>
          <w:lang w:val="id-ID"/>
        </w:rPr>
        <w:fldChar w:fldCharType="begin" w:fldLock="1"/>
      </w:r>
      <w:r w:rsidRPr="00F139D9">
        <w:rPr>
          <w:rFonts w:ascii="Athelas" w:hAnsi="Athelas"/>
          <w:color w:val="000000" w:themeColor="text1"/>
          <w:lang w:val="id-ID"/>
        </w:rPr>
        <w:instrText>ADDIN CSL_CITATION {"citationItems":[{"id":"ITEM-1","itemData":{"DOI":"10.22373/jep.v12i1.606","ISSN":"0852-9124","abstract":"Penelitian ini bertujuan untuk menganalisis pengaruh tata kelola pemerintah(governance) terhadap pertumbuhan ekonomi di ASEAN. Adapun variabel-variabel yangditeliti dalam penelitian ini meliputi Pertumbuhan Ekonomi, Governance Indicators yangdijelaskan dengan proksi voice and accountability, political stability, governanceeffectiveness, regulatory quality, rule of law, dan control of corruption. Jumlah penduduksebagai variabel kontrol. Fokus penelitian terdiri dari 10 negara ASEAN meliputi,Indonesia, Malaysia, Filipina, Singapura, Thailand, Brunei Darussalam, Kamboja, Laos,Myanmar, dan Vietnam dengan periode penelitian tahun 2010 sampai 2019 menggunakananalisis data panel. Hasil Penelitian menunjukkan, bahwa variabel GovernanceEffectiveness, Political Stability, Regulatory Quality dan Rule of Law berpengaruh positifsignifikan pada Pertumbuhan Ekonomi, sedangkan untuk variabel Control of Corruptiondan Voice and Accountability tidak berpengaruh terhadap Pertumbuhan Ekonomi diASEAN.","author":[{"dropping-particle":"","family":"Eka Asbarini","given":"Nur Fitri","non-dropping-particle":"","parse-names":false,"suffix":""},{"dropping-particle":"","family":"Isnaini","given":"Laili","non-dropping-particle":"","parse-names":false,"suffix":""},{"dropping-particle":"","family":"Wibowo","given":"Muhammad Ghafur","non-dropping-particle":"","parse-names":false,"suffix":""}],"container-title":"Jurnal Ekonomi dan Pembangunan","id":"ITEM-1","issue":"1","issued":{"date-parts":[["2021"]]},"page":"82-93","title":"Pengaruh Tata Kelola Pemerintah Terhadap Pertumbuhan Ekonomi Di ASEAN","type":"article-journal","volume":"12"},"uris":["http://www.mendeley.com/documents/?uuid=0592fc85-f47f-490b-9b87-0e52fac73a6a"]}],"mendeley":{"formattedCitation":"(Eka Asbarini et al., 2021)","plainTextFormattedCitation":"(Eka Asbarini et al., 2021)","previouslyFormattedCitation":"(Eka Asbarini et al., 2021)"},"properties":{"noteIndex":0},"schema":"https://github.com/citation-style-language/schema/raw/master/csl-citation.json"}</w:instrText>
      </w:r>
      <w:r w:rsidRPr="00F139D9">
        <w:rPr>
          <w:rFonts w:ascii="Athelas" w:hAnsi="Athelas"/>
          <w:color w:val="000000" w:themeColor="text1"/>
          <w:lang w:val="id-ID"/>
        </w:rPr>
        <w:fldChar w:fldCharType="separate"/>
      </w:r>
      <w:r w:rsidRPr="00F139D9">
        <w:rPr>
          <w:rFonts w:ascii="Athelas" w:hAnsi="Athelas"/>
          <w:noProof/>
          <w:color w:val="000000" w:themeColor="text1"/>
          <w:lang w:val="id-ID"/>
        </w:rPr>
        <w:t>(Eka Asbarini et al., 2021)</w:t>
      </w:r>
      <w:r w:rsidRPr="00F139D9">
        <w:rPr>
          <w:rFonts w:ascii="Athelas" w:hAnsi="Athelas"/>
          <w:color w:val="000000" w:themeColor="text1"/>
          <w:lang w:val="id-ID"/>
        </w:rPr>
        <w:fldChar w:fldCharType="end"/>
      </w:r>
      <w:r w:rsidRPr="00F139D9">
        <w:rPr>
          <w:rFonts w:ascii="Athelas" w:hAnsi="Athelas"/>
          <w:color w:val="000000" w:themeColor="text1"/>
        </w:rPr>
        <w:t>.</w:t>
      </w:r>
    </w:p>
    <w:p w14:paraId="3BD7D4A9" w14:textId="4643C7F4" w:rsidR="001612BD" w:rsidRPr="00F139D9" w:rsidRDefault="001612BD" w:rsidP="001612BD">
      <w:pPr>
        <w:pStyle w:val="NormalWeb"/>
        <w:spacing w:line="276" w:lineRule="auto"/>
        <w:ind w:firstLine="720"/>
        <w:jc w:val="both"/>
        <w:rPr>
          <w:rFonts w:ascii="Athelas" w:hAnsi="Athelas"/>
          <w:color w:val="000000" w:themeColor="text1"/>
        </w:rPr>
      </w:pPr>
      <w:r w:rsidRPr="00F139D9">
        <w:rPr>
          <w:rFonts w:ascii="Athelas" w:hAnsi="Athelas"/>
          <w:color w:val="000000" w:themeColor="text1"/>
        </w:rPr>
        <w:t xml:space="preserve">On the other hand, The United Nations Department of Economic and Social Affairs (UN DESA) publishes EGDI 2001 every two years which is used as a guideline for implementing e-government and a policy tool for making decisions </w:t>
      </w:r>
      <w:r w:rsidRPr="00F139D9">
        <w:rPr>
          <w:rFonts w:ascii="Athelas" w:hAnsi="Athelas"/>
          <w:color w:val="000000" w:themeColor="text1"/>
          <w:lang w:val="id-ID"/>
        </w:rPr>
        <w:t>, t</w:t>
      </w:r>
      <w:r w:rsidRPr="00F139D9">
        <w:rPr>
          <w:rFonts w:ascii="Athelas" w:hAnsi="Athelas"/>
          <w:color w:val="000000" w:themeColor="text1"/>
        </w:rPr>
        <w:t>he E-Government Development Index (EG</w:t>
      </w:r>
      <w:r w:rsidR="009B7ECF">
        <w:rPr>
          <w:rFonts w:ascii="Athelas" w:hAnsi="Athelas"/>
          <w:color w:val="000000" w:themeColor="text1"/>
          <w:lang w:val="id-ID"/>
        </w:rPr>
        <w:t>D</w:t>
      </w:r>
      <w:r w:rsidRPr="00F139D9">
        <w:rPr>
          <w:rFonts w:ascii="Athelas" w:hAnsi="Athelas"/>
          <w:color w:val="000000" w:themeColor="text1"/>
        </w:rPr>
        <w:t>I) is a composite indicator that measures the willingness and capacity of government administration</w:t>
      </w:r>
      <w:r w:rsidRPr="00F139D9">
        <w:rPr>
          <w:rFonts w:ascii="Athelas" w:hAnsi="Athelas"/>
          <w:color w:val="000000" w:themeColor="text1"/>
          <w:lang w:val="id-ID"/>
        </w:rPr>
        <w:t xml:space="preserve"> </w:t>
      </w:r>
      <w:r w:rsidRPr="00F139D9">
        <w:rPr>
          <w:rFonts w:ascii="Athelas" w:hAnsi="Athelas"/>
          <w:color w:val="000000" w:themeColor="text1"/>
          <w:lang w:val="id-ID"/>
        </w:rPr>
        <w:fldChar w:fldCharType="begin" w:fldLock="1"/>
      </w:r>
      <w:r w:rsidRPr="00F139D9">
        <w:rPr>
          <w:rFonts w:ascii="Athelas" w:hAnsi="Athelas"/>
          <w:color w:val="000000" w:themeColor="text1"/>
          <w:lang w:val="id-ID"/>
        </w:rPr>
        <w:instrText>ADDIN CSL_CITATION {"citationItems":[{"id":"ITEM-1","itemData":{"URL":"https://aptika.kominfo.go.id/2022/10/signifikan-hasil-survei-e-government-indonesia-naik-11-peringkat/","author":[{"dropping-particle":"","family":"Saefudin","given":"","non-dropping-particle":"","parse-names":false,"suffix":""}],"container-title":"DitjenAptika","id":"ITEM-1","issued":{"date-parts":[["2022"]]},"title":"Signifikan, Hasil Survei e-Government Indonesia Naik 11 Peringkat","type":"webpage"},"uris":["http://www.mendeley.com/documents/?uuid=1dabc5df-1269-44fd-846b-a86c1c81b912"]}],"mendeley":{"formattedCitation":"(Saefudin, 2022)","plainTextFormattedCitation":"(Saefudin, 2022)","previouslyFormattedCitation":"(Saefudin, 2022)"},"properties":{"noteIndex":0},"schema":"https://github.com/citation-style-language/schema/raw/master/csl-citation.json"}</w:instrText>
      </w:r>
      <w:r w:rsidRPr="00F139D9">
        <w:rPr>
          <w:rFonts w:ascii="Athelas" w:hAnsi="Athelas"/>
          <w:color w:val="000000" w:themeColor="text1"/>
          <w:lang w:val="id-ID"/>
        </w:rPr>
        <w:fldChar w:fldCharType="separate"/>
      </w:r>
      <w:r w:rsidRPr="00F139D9">
        <w:rPr>
          <w:rFonts w:ascii="Athelas" w:hAnsi="Athelas"/>
          <w:noProof/>
          <w:color w:val="000000" w:themeColor="text1"/>
          <w:lang w:val="id-ID"/>
        </w:rPr>
        <w:t>(Saefudin, 2022)</w:t>
      </w:r>
      <w:r w:rsidRPr="00F139D9">
        <w:rPr>
          <w:rFonts w:ascii="Athelas" w:hAnsi="Athelas"/>
          <w:color w:val="000000" w:themeColor="text1"/>
          <w:lang w:val="id-ID"/>
        </w:rPr>
        <w:fldChar w:fldCharType="end"/>
      </w:r>
      <w:r w:rsidRPr="00F139D9">
        <w:rPr>
          <w:rFonts w:ascii="Athelas" w:hAnsi="Athelas"/>
          <w:color w:val="000000" w:themeColor="text1"/>
        </w:rPr>
        <w:t>. Systematically in the Ministry of Electronics &amp; Information Technology</w:t>
      </w:r>
      <w:r w:rsidRPr="00F139D9">
        <w:rPr>
          <w:rFonts w:ascii="Athelas" w:hAnsi="Athelas"/>
          <w:color w:val="000000" w:themeColor="text1"/>
          <w:lang w:val="id-ID"/>
        </w:rPr>
        <w:t>,</w:t>
      </w:r>
      <w:r w:rsidRPr="00F139D9">
        <w:rPr>
          <w:rFonts w:ascii="Athelas" w:hAnsi="Athelas"/>
          <w:color w:val="000000" w:themeColor="text1"/>
        </w:rPr>
        <w:t xml:space="preserve"> it is explained that the E-Government Development Index (EG</w:t>
      </w:r>
      <w:r w:rsidR="009B7ECF">
        <w:rPr>
          <w:rFonts w:ascii="Athelas" w:hAnsi="Athelas"/>
          <w:color w:val="000000" w:themeColor="text1"/>
          <w:lang w:val="id-ID"/>
        </w:rPr>
        <w:t>D</w:t>
      </w:r>
      <w:r w:rsidRPr="00F139D9">
        <w:rPr>
          <w:rFonts w:ascii="Athelas" w:hAnsi="Athelas"/>
          <w:color w:val="000000" w:themeColor="text1"/>
        </w:rPr>
        <w:t xml:space="preserve">I) has three most important dimensions of E-Government, namely Online Service Index (OSI), is defined as the presence of the government online with the availability of information related to processes and policies and online services </w:t>
      </w:r>
      <w:r w:rsidRPr="00F139D9">
        <w:rPr>
          <w:rFonts w:ascii="Athelas" w:hAnsi="Athelas"/>
          <w:color w:val="000000" w:themeColor="text1"/>
        </w:rPr>
        <w:lastRenderedPageBreak/>
        <w:t>that make it easier for the public</w:t>
      </w:r>
      <w:r w:rsidRPr="00F139D9">
        <w:rPr>
          <w:rFonts w:ascii="Athelas" w:hAnsi="Athelas"/>
          <w:color w:val="000000" w:themeColor="text1"/>
          <w:lang w:val="id-ID"/>
        </w:rPr>
        <w:t xml:space="preserve">, </w:t>
      </w:r>
      <w:r w:rsidRPr="00F139D9">
        <w:rPr>
          <w:rFonts w:ascii="Athelas" w:hAnsi="Athelas"/>
          <w:color w:val="000000" w:themeColor="text1"/>
        </w:rPr>
        <w:t xml:space="preserve">Telecommunications Infrastructure Index (TII), is defined as the status of the development of telecommunications </w:t>
      </w:r>
      <w:r w:rsidRPr="00F139D9">
        <w:rPr>
          <w:rFonts w:ascii="Athelas" w:hAnsi="Athelas"/>
          <w:color w:val="000000" w:themeColor="text1"/>
          <w:lang w:val="id-ID"/>
        </w:rPr>
        <w:t>infrastructures</w:t>
      </w:r>
      <w:r w:rsidRPr="00F139D9">
        <w:rPr>
          <w:rFonts w:ascii="Athelas" w:hAnsi="Athelas"/>
          <w:color w:val="000000" w:themeColor="text1"/>
        </w:rPr>
        <w:t xml:space="preserve"> such as the Internet, signals</w:t>
      </w:r>
      <w:r w:rsidRPr="00F139D9">
        <w:rPr>
          <w:rFonts w:ascii="Athelas" w:hAnsi="Athelas"/>
          <w:color w:val="000000" w:themeColor="text1"/>
          <w:lang w:val="id-ID"/>
        </w:rPr>
        <w:t>,</w:t>
      </w:r>
      <w:r w:rsidRPr="00F139D9">
        <w:rPr>
          <w:rFonts w:ascii="Athelas" w:hAnsi="Athelas"/>
          <w:color w:val="000000" w:themeColor="text1"/>
        </w:rPr>
        <w:t xml:space="preserve"> and others</w:t>
      </w:r>
      <w:r w:rsidRPr="00F139D9">
        <w:rPr>
          <w:rFonts w:ascii="Athelas" w:hAnsi="Athelas"/>
          <w:color w:val="000000" w:themeColor="text1"/>
          <w:lang w:val="id-ID"/>
        </w:rPr>
        <w:t xml:space="preserve"> </w:t>
      </w:r>
      <w:r w:rsidRPr="00F139D9">
        <w:rPr>
          <w:rFonts w:ascii="Athelas" w:hAnsi="Athelas"/>
          <w:color w:val="000000" w:themeColor="text1"/>
          <w:lang w:val="id-ID"/>
        </w:rPr>
        <w:fldChar w:fldCharType="begin" w:fldLock="1"/>
      </w:r>
      <w:r w:rsidRPr="00F139D9">
        <w:rPr>
          <w:rFonts w:ascii="Athelas" w:hAnsi="Athelas"/>
          <w:color w:val="000000" w:themeColor="text1"/>
          <w:lang w:val="id-ID"/>
        </w:rPr>
        <w:instrText>ADDIN CSL_CITATION {"citationItems":[{"id":"ITEM-1","itemData":{"abstract":"… includes in its multivariate regression model economic freedom as … to be present in crossnational income data. To further guard … , e-government could promote good governance …","author":[{"dropping-particle":"","family":"Rahman","given":"A","non-dropping-particle":"","parse-names":false,"suffix":""}],"container-title":"Athens Journal of Social Sciences","id":"ITEM-1","issue":"9","issued":{"date-parts":[["2022"]]},"page":"1-16","title":"Revisiting the Relationship between E-Government and Corruption: An Empirical Investigation","type":"article-journal","volume":"X"},"uris":["http://www.mendeley.com/documents/?uuid=2ad69c4f-882f-452b-8777-bc8e4cdf1a8c"]},{"id":"ITEM-2","itemData":{"DOI":"10.35586/velrev.v4i2.2669","ISSN":"2655-1594","author":[{"dropping-particle":"","family":"Nasution","given":"Dicky Kurniawan","non-dropping-particle":"","parse-names":false,"suffix":""},{"dropping-particle":"","family":"Fauzi","given":"Ahmad","non-dropping-particle":"","parse-names":false,"suffix":""},{"dropping-particle":"","family":"Ruslan","given":"Ruslan","non-dropping-particle":"","parse-names":false,"suffix":""}],"container-title":"Veteran Law Review","id":"ITEM-2","issue":"2","issued":{"date-parts":[["2021"]]},"page":"120","title":"Legal Certainty on The Implementation of Electronic Registration of Liability Rights Performed by The Office of The Land Act Maker (Study at the Office of the Land Act Maker Deli Serdang)","type":"article-journal","volume":"4"},"uris":["http://www.mendeley.com/documents/?uuid=993859d0-632b-4d07-9ea8-a4be5a056c45"]},{"id":"ITEM-3","itemData":{"DOI":"10.22161/ijebm.5.1.5","abstract":"The research aimed to analyse the factors influencing citizens' acceptance of electronic government in Kurdistan region of Iraq. The researcher developed six research hypotheses. A quantitative method used in order to analyse this study in Kurdistan region of Iraq. The present study was confined to 256 units from Kurdish citizens were selected. A focus method sampling used to analyse this research by focusing on students' perceptions. The researcher used single regression analysis to investigate the technology acceptance model and its relationship with e-government in Kurdistan region of Iraq. It was found that increases in perceptions of ease of use an electronic government should lead to increased perceptions of usefulness in an electronic government. It was found that increases in the perceived ease of use of an electronic government will lead to increases behavioural intention to use electronic government, and finally, it was found that the positive attitude toward an electronic government will lead to increases behavioural intention to use electronic government.This thesis is expected to be interesting to the information systems consultants, experts and specialists who provide and study the factors influencing consumers' acceptance of electronic government services. Also, it could be interesting to academics and researchers who research on the factors that influence citizens' in implementing electronic government.","author":[{"dropping-particle":"","family":"Ali","given":"Bayad Jamal","non-dropping-particle":"","parse-names":false,"suffix":""},{"dropping-particle":"","family":"Anwar","given":"Govand","non-dropping-particle":"","parse-names":false,"suffix":""}],"container-title":"International Journal of Engineering, Business and Management","id":"ITEM-3","issue":"1","issued":{"date-parts":[["2021"]]},"page":"48-60","title":"Factors Influencing the Citizens’ Acceptance of Electronic Government","type":"article-journal","volume":"5"},"uris":["http://www.mendeley.com/documents/?uuid=9305a49c-15dd-4d5d-8e8e-6f82f011d4eb"]}],"mendeley":{"formattedCitation":"(Ali &amp; Anwar, 2021; Nasution et al., 2021; Rahman, 2022)","plainTextFormattedCitation":"(Ali &amp; Anwar, 2021; Nasution et al., 2021; Rahman, 2022)","previouslyFormattedCitation":"(Ali &amp; Anwar, 2021; Nasution et al., 2021; Rahman, 2022)"},"properties":{"noteIndex":0},"schema":"https://github.com/citation-style-language/schema/raw/master/csl-citation.json"}</w:instrText>
      </w:r>
      <w:r w:rsidRPr="00F139D9">
        <w:rPr>
          <w:rFonts w:ascii="Athelas" w:hAnsi="Athelas"/>
          <w:color w:val="000000" w:themeColor="text1"/>
          <w:lang w:val="id-ID"/>
        </w:rPr>
        <w:fldChar w:fldCharType="separate"/>
      </w:r>
      <w:r w:rsidRPr="00F139D9">
        <w:rPr>
          <w:rFonts w:ascii="Athelas" w:hAnsi="Athelas"/>
          <w:noProof/>
          <w:color w:val="000000" w:themeColor="text1"/>
          <w:lang w:val="id-ID"/>
        </w:rPr>
        <w:t>(Ali &amp; Anwar, 2021; Nasution et al., 2021; Rahman, 2022)</w:t>
      </w:r>
      <w:r w:rsidRPr="00F139D9">
        <w:rPr>
          <w:rFonts w:ascii="Athelas" w:hAnsi="Athelas"/>
          <w:color w:val="000000" w:themeColor="text1"/>
          <w:lang w:val="id-ID"/>
        </w:rPr>
        <w:fldChar w:fldCharType="end"/>
      </w:r>
      <w:r w:rsidRPr="00F139D9">
        <w:rPr>
          <w:rFonts w:ascii="Athelas" w:hAnsi="Athelas"/>
          <w:color w:val="000000" w:themeColor="text1"/>
        </w:rPr>
        <w:t xml:space="preserve">. This infrastructure is related to meeting the needs of the community, and the Human Capital Index (HCI) is defined as how well the government utilizes existing human resources. How far is the government's initiative to improve the quality of existing human resources in the </w:t>
      </w:r>
      <w:proofErr w:type="spellStart"/>
      <w:r w:rsidRPr="00F139D9">
        <w:rPr>
          <w:rFonts w:ascii="Athelas" w:hAnsi="Athelas"/>
          <w:color w:val="000000" w:themeColor="text1"/>
        </w:rPr>
        <w:t>countr</w:t>
      </w:r>
      <w:proofErr w:type="spellEnd"/>
      <w:r w:rsidRPr="00F139D9">
        <w:rPr>
          <w:rFonts w:ascii="Athelas" w:hAnsi="Athelas"/>
          <w:color w:val="000000" w:themeColor="text1"/>
          <w:lang w:val="id-ID"/>
        </w:rPr>
        <w:t xml:space="preserve">y </w:t>
      </w:r>
      <w:r w:rsidRPr="00F139D9">
        <w:rPr>
          <w:rFonts w:ascii="Athelas" w:hAnsi="Athelas"/>
          <w:color w:val="000000" w:themeColor="text1"/>
          <w:lang w:val="id-ID"/>
        </w:rPr>
        <w:fldChar w:fldCharType="begin" w:fldLock="1"/>
      </w:r>
      <w:r w:rsidRPr="00F139D9">
        <w:rPr>
          <w:rFonts w:ascii="Athelas" w:hAnsi="Athelas"/>
          <w:color w:val="000000" w:themeColor="text1"/>
          <w:lang w:val="id-ID"/>
        </w:rPr>
        <w:instrText>ADDIN CSL_CITATION {"citationItems":[{"id":"ITEM-1","itemData":{"DOI":"10.47134/villages.v3i1.27","abstract":"Pentingnya partisipasi masyarakat dalam pelaksanaan e-government di Indonesia, maka diperlukan kajian tentang e-partisipasi masyarakat dalam pelaksanaan e-government di Indonesia tahun 2003-2020. Tujuan dari tulisan ini adalah untuk menggambarkan partisipasi masyarakat dalam pelaksanaan e-government di Indonesia tahun 2003-2020. Metode yang digunakan adalah kualitatif dengan analisis isi. Temuan penelitian adalah bahwa pelaksanaan e-partisipasi belum tentu dapat memperlihatkan keterlibatan masyarakat secara utuh dalam pelaksanaan e-government. Pelaksanaan e-participation dapat memperlihatkan partisipasi masyarakat secara utuh apabila diikuti oleh usaha pemerintah dalam menyediakan infrastruktur telekomunikasi yang baik, sesuai dengan data yang peneliti dapat dalam EDGI yang menyatakan bahwa dari tahun 2003 hingga 2020, TII selalu memiliki poin terendah di antara kedua komponen EDGI yang lain, yaitu HCI dan OSI. Campur tangan kekuasaan dalam pemerintah dalam governance dan e-government itu ada, tetapi yang lebih dominan adalah keinginan untuk menjadikan tata kelola yang baik sehingga pelayanan kepada masyarakat dapat dilaksanakan secara efektif dan efisien.","author":[{"dropping-particle":"","family":"Wijaya","given":"Junior Hendri","non-dropping-particle":"","parse-names":false,"suffix":""},{"dropping-particle":"","family":"Yunanto","given":"Sutoro Eko","non-dropping-particle":"","parse-names":false,"suffix":""},{"dropping-particle":"","family":"Setyowati","given":"Yuli","non-dropping-particle":"","parse-names":false,"suffix":""},{"dropping-particle":"","family":"Supardal","given":"","non-dropping-particle":"","parse-names":false,"suffix":""}],"container-title":"Jurnal Administrasi Pemerintahan Desa","id":"ITEM-1","issue":"1","issued":{"date-parts":[["2022"]]},"page":"37-53","title":"E-partisipasi Masyarakat dalam Pelaksanaan E-government di Indonesia Tahun 2003-2020","type":"article-journal","volume":"3"},"uris":["http://www.mendeley.com/documents/?uuid=5467309a-0463-4cc0-878c-f37facf18092"]}],"mendeley":{"formattedCitation":"(Wijaya et al., 2022a)","plainTextFormattedCitation":"(Wijaya et al., 2022a)","previouslyFormattedCitation":"(Wijaya et al., 2022a)"},"properties":{"noteIndex":0},"schema":"https://github.com/citation-style-language/schema/raw/master/csl-citation.json"}</w:instrText>
      </w:r>
      <w:r w:rsidRPr="00F139D9">
        <w:rPr>
          <w:rFonts w:ascii="Athelas" w:hAnsi="Athelas"/>
          <w:color w:val="000000" w:themeColor="text1"/>
          <w:lang w:val="id-ID"/>
        </w:rPr>
        <w:fldChar w:fldCharType="separate"/>
      </w:r>
      <w:r w:rsidRPr="00F139D9">
        <w:rPr>
          <w:rFonts w:ascii="Athelas" w:hAnsi="Athelas"/>
          <w:noProof/>
          <w:color w:val="000000" w:themeColor="text1"/>
          <w:lang w:val="id-ID"/>
        </w:rPr>
        <w:t>(Wijaya et al., 2022a)</w:t>
      </w:r>
      <w:r w:rsidRPr="00F139D9">
        <w:rPr>
          <w:rFonts w:ascii="Athelas" w:hAnsi="Athelas"/>
          <w:color w:val="000000" w:themeColor="text1"/>
          <w:lang w:val="id-ID"/>
        </w:rPr>
        <w:fldChar w:fldCharType="end"/>
      </w:r>
      <w:r w:rsidRPr="00F139D9">
        <w:rPr>
          <w:rFonts w:ascii="Athelas" w:hAnsi="Athelas"/>
          <w:color w:val="000000" w:themeColor="text1"/>
          <w:lang w:val="id-ID"/>
        </w:rPr>
        <w:t>.</w:t>
      </w:r>
    </w:p>
    <w:p w14:paraId="62063B46" w14:textId="77777777" w:rsidR="001612BD" w:rsidRPr="00F139D9" w:rsidRDefault="001612BD" w:rsidP="001612BD">
      <w:pPr>
        <w:pStyle w:val="NormalWeb"/>
        <w:spacing w:line="276" w:lineRule="auto"/>
        <w:ind w:firstLine="720"/>
        <w:jc w:val="both"/>
        <w:rPr>
          <w:rFonts w:ascii="Athelas" w:hAnsi="Athelas"/>
          <w:color w:val="000000" w:themeColor="text1"/>
        </w:rPr>
      </w:pPr>
      <w:r w:rsidRPr="00F139D9">
        <w:rPr>
          <w:rFonts w:ascii="Athelas" w:hAnsi="Athelas"/>
          <w:color w:val="000000" w:themeColor="text1"/>
        </w:rPr>
        <w:t>In this study, we will discuss the regional context of Thailand and The Six Selected ASEAN Countries, which are located in Southeast Asia, and compare their E-Government Development Index (EGDI) scores to provide insight into the broader regional trends in e-government development there</w:t>
      </w:r>
      <w:r w:rsidRPr="00F139D9">
        <w:rPr>
          <w:rFonts w:ascii="Athelas" w:hAnsi="Athelas"/>
          <w:color w:val="000000" w:themeColor="text1"/>
          <w:lang w:val="id-ID"/>
        </w:rPr>
        <w:t xml:space="preserve"> </w:t>
      </w:r>
      <w:r w:rsidRPr="00F139D9">
        <w:rPr>
          <w:rFonts w:ascii="Athelas" w:hAnsi="Athelas"/>
          <w:color w:val="000000" w:themeColor="text1"/>
          <w:lang w:val="id-ID"/>
        </w:rPr>
        <w:fldChar w:fldCharType="begin" w:fldLock="1"/>
      </w:r>
      <w:r w:rsidRPr="00F139D9">
        <w:rPr>
          <w:rFonts w:ascii="Athelas" w:hAnsi="Athelas"/>
          <w:color w:val="000000" w:themeColor="text1"/>
          <w:lang w:val="id-ID"/>
        </w:rPr>
        <w:instrText>ADDIN CSL_CITATION {"citationItems":[{"id":"ITEM-1","itemData":{"DOI":"10.14710/alj.v3i2.220-231","abstract":"Covid-19 pandemic has a significant impact on society in Indonesia. New Normal discourse will be applied soon in Indonesia. Basically, it will give the same restriction and limitation of the interaction between individuals. Before pandemic, Conventional Public services required direct interaction between citizens and public servants in public office. But then, there will be a limitation to this direct interaction, and it also has to switch into the online services model. This study examined the urgency of the transformation of public services during the New Normal period through E-Government. This research used the normative juridical method. The author finds that the use of e-government in Indonesia is still far below Singapore. Indonesia needs to optimize the use of vertical and horizontal integration models that present one-stop service network services that require the transformation of public services from the Old Public Administration model to the New Public Service. This transformation should also be supported by regulatory reforms in the field of State Administration to increase synergy and harmonization between government institutions, so there is no overlapping of authority and conflicts between institutions that can hinder service delivery to the public. Keywords : Transformation of Government Services; E-Government; New Normal Abstrak Pandemi Covid-19 membawa dampak yang besar bagi masyarakat di Indonesia. Wacana New Normal yang akan diberlakukan, secara garis besar tetap membatasi interaksi antar individu. Pelayanan publik yang selama ini dilakukan dengan beinteraksi secara langsung harus dibatasi bahkan harus beralih kepada pelayanan secara online. Penelitian ini hendak mengkaji urgensi transformasi pelayanan publik pada masa New Normal melalui E-Government. Penelitian ini menggunakan metode yuridis normatif. Penulis menemukan bahwa penggunaan e-government di Indonesia masih jauh di bawah negara Singapura. Indonesia perlu mengoptimalkan penggunaan model integrasi vertikal dan integrasi horizontal yang menghadirkan network service layanan satu pintu yang membutuhkan transformasi pelayanan publik dari model Old Administration Public menuju New Public Service. Hal ini perlu juga ditunjang dengan adanya reformasi regulasi di bidang Administrasi Negara untuk meningkatkan sinergitas dan harmonisasi antar lembaga pemerintah, agar tidak terjadi tumpang tindih kewenangan dan konflik antar lembaga yang dapat menghambat pemberian layanan kepada masya…","author":[{"dropping-particle":"","family":"Doramia Lumbanraja","given":"Anggita","non-dropping-particle":"","parse-names":false,"suffix":""}],"container-title":"Administrative Law and Governance Journal","id":"ITEM-1","issue":"2","issued":{"date-parts":[["2020"]]},"page":"220-231","title":"Urgensi Transformasi Pelayanan Publik melalui E-Government Pada New Normal dan Reformasi Regulasi Birokrasi","type":"article-journal","volume":"3"},"uris":["http://www.mendeley.com/documents/?uuid=2a295126-ffb8-44b0-add9-0e85be89345f"]}],"mendeley":{"formattedCitation":"(Doramia Lumbanraja, 2020)","plainTextFormattedCitation":"(Doramia Lumbanraja, 2020)","previouslyFormattedCitation":"(Doramia Lumbanraja, 2020)"},"properties":{"noteIndex":0},"schema":"https://github.com/citation-style-language/schema/raw/master/csl-citation.json"}</w:instrText>
      </w:r>
      <w:r w:rsidRPr="00F139D9">
        <w:rPr>
          <w:rFonts w:ascii="Athelas" w:hAnsi="Athelas"/>
          <w:color w:val="000000" w:themeColor="text1"/>
          <w:lang w:val="id-ID"/>
        </w:rPr>
        <w:fldChar w:fldCharType="separate"/>
      </w:r>
      <w:r w:rsidRPr="00F139D9">
        <w:rPr>
          <w:rFonts w:ascii="Athelas" w:hAnsi="Athelas"/>
          <w:noProof/>
          <w:color w:val="000000" w:themeColor="text1"/>
          <w:lang w:val="id-ID"/>
        </w:rPr>
        <w:t>(Doramia Lumbanraja, 2020)</w:t>
      </w:r>
      <w:r w:rsidRPr="00F139D9">
        <w:rPr>
          <w:rFonts w:ascii="Athelas" w:hAnsi="Athelas"/>
          <w:color w:val="000000" w:themeColor="text1"/>
          <w:lang w:val="id-ID"/>
        </w:rPr>
        <w:fldChar w:fldCharType="end"/>
      </w:r>
      <w:r w:rsidRPr="00F139D9">
        <w:rPr>
          <w:rFonts w:ascii="Athelas" w:hAnsi="Athelas"/>
          <w:color w:val="000000" w:themeColor="text1"/>
          <w:lang w:val="id-ID"/>
        </w:rPr>
        <w:t>.  Memilih The Six Selected ASEAN Countries (</w:t>
      </w:r>
      <w:r w:rsidRPr="00F139D9">
        <w:rPr>
          <w:rFonts w:ascii="Athelas" w:hAnsi="Athelas"/>
          <w:color w:val="000000" w:themeColor="text1"/>
        </w:rPr>
        <w:t>Singapore, Myanmar, Brunei Darussalam, Malaysia, Indonesia</w:t>
      </w:r>
      <w:r w:rsidRPr="00F139D9">
        <w:rPr>
          <w:rFonts w:ascii="Athelas" w:hAnsi="Athelas"/>
          <w:color w:val="000000" w:themeColor="text1"/>
          <w:lang w:val="id-ID"/>
        </w:rPr>
        <w:t>,</w:t>
      </w:r>
      <w:r w:rsidRPr="00F139D9">
        <w:rPr>
          <w:rFonts w:ascii="Athelas" w:hAnsi="Athelas"/>
          <w:color w:val="000000" w:themeColor="text1"/>
        </w:rPr>
        <w:t xml:space="preserve"> and the Philippines</w:t>
      </w:r>
      <w:r w:rsidRPr="00F139D9">
        <w:rPr>
          <w:rFonts w:ascii="Athelas" w:hAnsi="Athelas"/>
          <w:color w:val="000000" w:themeColor="text1"/>
          <w:lang w:val="id-ID"/>
        </w:rPr>
        <w:t>) dikarenakan keenam negara ini adalah negara yang dekat dengan negara Thailand. Selanjutnya memilih The Six Selected ASEAN Countries berdasarkan data berikut:</w:t>
      </w:r>
    </w:p>
    <w:tbl>
      <w:tblPr>
        <w:tblStyle w:val="TableGrid"/>
        <w:tblpPr w:leftFromText="180" w:rightFromText="180" w:vertAnchor="text" w:horzAnchor="margin" w:tblpXSpec="center" w:tblpY="72"/>
        <w:tblOverlap w:val="never"/>
        <w:tblW w:w="351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53"/>
        <w:gridCol w:w="2157"/>
      </w:tblGrid>
      <w:tr w:rsidR="001612BD" w:rsidRPr="00F139D9" w14:paraId="35290CF2" w14:textId="77777777" w:rsidTr="00650253">
        <w:trPr>
          <w:trHeight w:val="851"/>
        </w:trPr>
        <w:tc>
          <w:tcPr>
            <w:tcW w:w="1329" w:type="dxa"/>
          </w:tcPr>
          <w:p w14:paraId="241CCB24" w14:textId="77777777" w:rsidR="001612BD" w:rsidRPr="00F139D9" w:rsidRDefault="001612BD" w:rsidP="00650253">
            <w:pPr>
              <w:spacing w:line="276" w:lineRule="auto"/>
              <w:jc w:val="both"/>
              <w:rPr>
                <w:rFonts w:ascii="Athelas" w:hAnsi="Athelas"/>
                <w:color w:val="000000" w:themeColor="text1"/>
                <w:lang w:val="id-ID"/>
              </w:rPr>
            </w:pPr>
            <w:r w:rsidRPr="00F139D9">
              <w:rPr>
                <w:rFonts w:ascii="Athelas" w:hAnsi="Athelas"/>
                <w:color w:val="000000" w:themeColor="text1"/>
              </w:rPr>
              <w:t>Countr</w:t>
            </w:r>
            <w:r w:rsidRPr="00F139D9">
              <w:rPr>
                <w:rFonts w:ascii="Athelas" w:hAnsi="Athelas"/>
                <w:color w:val="000000" w:themeColor="text1"/>
                <w:lang w:val="id-ID"/>
              </w:rPr>
              <w:t>y</w:t>
            </w:r>
          </w:p>
        </w:tc>
        <w:tc>
          <w:tcPr>
            <w:tcW w:w="2181" w:type="dxa"/>
          </w:tcPr>
          <w:p w14:paraId="7FA9EE54" w14:textId="77777777" w:rsidR="001612BD" w:rsidRPr="00F139D9" w:rsidRDefault="001612BD" w:rsidP="00650253">
            <w:pPr>
              <w:spacing w:line="276" w:lineRule="auto"/>
              <w:jc w:val="both"/>
              <w:rPr>
                <w:rFonts w:ascii="Athelas" w:hAnsi="Athelas"/>
                <w:color w:val="000000" w:themeColor="text1"/>
                <w:lang w:val="id-ID"/>
              </w:rPr>
            </w:pPr>
            <w:r w:rsidRPr="00F139D9">
              <w:rPr>
                <w:rFonts w:ascii="Athelas" w:hAnsi="Athelas"/>
                <w:color w:val="000000" w:themeColor="text1"/>
                <w:lang w:val="id-ID"/>
              </w:rPr>
              <w:t>Score</w:t>
            </w:r>
          </w:p>
        </w:tc>
      </w:tr>
      <w:tr w:rsidR="001612BD" w:rsidRPr="00F139D9" w14:paraId="7403FF95" w14:textId="77777777" w:rsidTr="00650253">
        <w:trPr>
          <w:trHeight w:val="437"/>
        </w:trPr>
        <w:tc>
          <w:tcPr>
            <w:tcW w:w="1329" w:type="dxa"/>
          </w:tcPr>
          <w:p w14:paraId="02E26048" w14:textId="77777777" w:rsidR="001612BD" w:rsidRPr="00F139D9" w:rsidRDefault="001612BD" w:rsidP="00650253">
            <w:pPr>
              <w:spacing w:line="276" w:lineRule="auto"/>
              <w:jc w:val="both"/>
              <w:rPr>
                <w:rFonts w:ascii="Athelas" w:hAnsi="Athelas"/>
                <w:color w:val="000000" w:themeColor="text1"/>
              </w:rPr>
            </w:pPr>
            <w:r w:rsidRPr="00F139D9">
              <w:rPr>
                <w:rFonts w:ascii="Athelas" w:hAnsi="Athelas"/>
                <w:color w:val="000000" w:themeColor="text1"/>
              </w:rPr>
              <w:t>Singapura</w:t>
            </w:r>
          </w:p>
        </w:tc>
        <w:tc>
          <w:tcPr>
            <w:tcW w:w="2181" w:type="dxa"/>
          </w:tcPr>
          <w:p w14:paraId="41945EC2" w14:textId="77777777" w:rsidR="001612BD" w:rsidRPr="00F139D9" w:rsidRDefault="001612BD" w:rsidP="00650253">
            <w:pPr>
              <w:spacing w:line="276" w:lineRule="auto"/>
              <w:jc w:val="both"/>
              <w:rPr>
                <w:rFonts w:ascii="Athelas" w:hAnsi="Athelas"/>
                <w:color w:val="000000" w:themeColor="text1"/>
                <w:lang w:val="id-ID"/>
              </w:rPr>
            </w:pPr>
            <w:r w:rsidRPr="00F139D9">
              <w:rPr>
                <w:rFonts w:ascii="Athelas" w:hAnsi="Athelas"/>
                <w:color w:val="000000" w:themeColor="text1"/>
                <w:lang w:val="id-ID"/>
              </w:rPr>
              <w:t>0,913</w:t>
            </w:r>
          </w:p>
        </w:tc>
      </w:tr>
      <w:tr w:rsidR="001612BD" w:rsidRPr="00F139D9" w14:paraId="334168CC" w14:textId="77777777" w:rsidTr="00650253">
        <w:trPr>
          <w:trHeight w:val="477"/>
        </w:trPr>
        <w:tc>
          <w:tcPr>
            <w:tcW w:w="1329" w:type="dxa"/>
          </w:tcPr>
          <w:p w14:paraId="5870F66E" w14:textId="77777777" w:rsidR="001612BD" w:rsidRPr="00F139D9" w:rsidRDefault="001612BD" w:rsidP="00650253">
            <w:pPr>
              <w:spacing w:line="276" w:lineRule="auto"/>
              <w:jc w:val="both"/>
              <w:rPr>
                <w:rFonts w:ascii="Athelas" w:hAnsi="Athelas"/>
                <w:color w:val="000000" w:themeColor="text1"/>
                <w:lang w:val="id-ID"/>
              </w:rPr>
            </w:pPr>
            <w:r w:rsidRPr="00F139D9">
              <w:rPr>
                <w:rFonts w:ascii="Athelas" w:hAnsi="Athelas"/>
                <w:color w:val="000000" w:themeColor="text1"/>
                <w:lang w:val="id-ID"/>
              </w:rPr>
              <w:t xml:space="preserve"> Malaysia</w:t>
            </w:r>
          </w:p>
        </w:tc>
        <w:tc>
          <w:tcPr>
            <w:tcW w:w="2181" w:type="dxa"/>
          </w:tcPr>
          <w:p w14:paraId="00AACB2F" w14:textId="77777777" w:rsidR="001612BD" w:rsidRPr="00F139D9" w:rsidRDefault="001612BD" w:rsidP="00650253">
            <w:pPr>
              <w:spacing w:line="276" w:lineRule="auto"/>
              <w:jc w:val="both"/>
              <w:rPr>
                <w:rFonts w:ascii="Athelas" w:hAnsi="Athelas"/>
                <w:color w:val="000000" w:themeColor="text1"/>
                <w:lang w:val="id-ID"/>
              </w:rPr>
            </w:pPr>
            <w:r w:rsidRPr="00F139D9">
              <w:rPr>
                <w:rFonts w:ascii="Athelas" w:hAnsi="Athelas"/>
                <w:color w:val="000000" w:themeColor="text1"/>
                <w:lang w:val="id-ID"/>
              </w:rPr>
              <w:t>0,774</w:t>
            </w:r>
          </w:p>
        </w:tc>
      </w:tr>
      <w:tr w:rsidR="001612BD" w:rsidRPr="00F139D9" w14:paraId="07E84B61" w14:textId="77777777" w:rsidTr="00650253">
        <w:trPr>
          <w:trHeight w:val="437"/>
        </w:trPr>
        <w:tc>
          <w:tcPr>
            <w:tcW w:w="1329" w:type="dxa"/>
          </w:tcPr>
          <w:p w14:paraId="6F5E1FB7" w14:textId="77777777" w:rsidR="001612BD" w:rsidRPr="00F139D9" w:rsidRDefault="001612BD" w:rsidP="00650253">
            <w:pPr>
              <w:spacing w:line="276" w:lineRule="auto"/>
              <w:jc w:val="both"/>
              <w:rPr>
                <w:rFonts w:ascii="Athelas" w:hAnsi="Athelas"/>
                <w:color w:val="000000" w:themeColor="text1"/>
                <w:lang w:val="id-ID"/>
              </w:rPr>
            </w:pPr>
            <w:r w:rsidRPr="00F139D9">
              <w:rPr>
                <w:rFonts w:ascii="Athelas" w:hAnsi="Athelas"/>
                <w:color w:val="000000" w:themeColor="text1"/>
                <w:lang w:val="id-ID"/>
              </w:rPr>
              <w:t>Thailand</w:t>
            </w:r>
          </w:p>
        </w:tc>
        <w:tc>
          <w:tcPr>
            <w:tcW w:w="2181" w:type="dxa"/>
          </w:tcPr>
          <w:p w14:paraId="08F3B15F" w14:textId="77777777" w:rsidR="001612BD" w:rsidRPr="00F139D9" w:rsidRDefault="001612BD" w:rsidP="00650253">
            <w:pPr>
              <w:spacing w:line="276" w:lineRule="auto"/>
              <w:jc w:val="both"/>
              <w:rPr>
                <w:rFonts w:ascii="Athelas" w:hAnsi="Athelas"/>
                <w:color w:val="000000" w:themeColor="text1"/>
                <w:lang w:val="id-ID"/>
              </w:rPr>
            </w:pPr>
            <w:r w:rsidRPr="00F139D9">
              <w:rPr>
                <w:rFonts w:ascii="Athelas" w:hAnsi="Athelas"/>
                <w:color w:val="000000" w:themeColor="text1"/>
                <w:lang w:val="id-ID"/>
              </w:rPr>
              <w:t>0,766</w:t>
            </w:r>
          </w:p>
        </w:tc>
      </w:tr>
      <w:tr w:rsidR="001612BD" w:rsidRPr="00F139D9" w14:paraId="071F3B8D" w14:textId="77777777" w:rsidTr="00650253">
        <w:trPr>
          <w:trHeight w:val="437"/>
        </w:trPr>
        <w:tc>
          <w:tcPr>
            <w:tcW w:w="1329" w:type="dxa"/>
          </w:tcPr>
          <w:p w14:paraId="75A06EC0" w14:textId="77777777" w:rsidR="001612BD" w:rsidRPr="00F139D9" w:rsidRDefault="001612BD" w:rsidP="00650253">
            <w:pPr>
              <w:spacing w:line="276" w:lineRule="auto"/>
              <w:jc w:val="both"/>
              <w:rPr>
                <w:rFonts w:ascii="Athelas" w:hAnsi="Athelas"/>
                <w:color w:val="000000" w:themeColor="text1"/>
                <w:lang w:val="id-ID"/>
              </w:rPr>
            </w:pPr>
            <w:r w:rsidRPr="00F139D9">
              <w:rPr>
                <w:rFonts w:ascii="Athelas" w:hAnsi="Athelas"/>
                <w:color w:val="000000" w:themeColor="text1"/>
                <w:lang w:val="id-ID"/>
              </w:rPr>
              <w:t>Brunai Darussalam</w:t>
            </w:r>
          </w:p>
        </w:tc>
        <w:tc>
          <w:tcPr>
            <w:tcW w:w="2181" w:type="dxa"/>
          </w:tcPr>
          <w:p w14:paraId="26C5A387" w14:textId="77777777" w:rsidR="001612BD" w:rsidRPr="00F139D9" w:rsidRDefault="001612BD" w:rsidP="00650253">
            <w:pPr>
              <w:spacing w:line="276" w:lineRule="auto"/>
              <w:jc w:val="both"/>
              <w:rPr>
                <w:rFonts w:ascii="Athelas" w:hAnsi="Athelas"/>
                <w:color w:val="000000" w:themeColor="text1"/>
                <w:lang w:val="id-ID"/>
              </w:rPr>
            </w:pPr>
            <w:r w:rsidRPr="00F139D9">
              <w:rPr>
                <w:rFonts w:ascii="Athelas" w:hAnsi="Athelas"/>
                <w:color w:val="000000" w:themeColor="text1"/>
                <w:lang w:val="id-ID"/>
              </w:rPr>
              <w:t>0,727</w:t>
            </w:r>
          </w:p>
        </w:tc>
      </w:tr>
      <w:tr w:rsidR="001612BD" w:rsidRPr="00F139D9" w14:paraId="415BFAD0" w14:textId="77777777" w:rsidTr="00650253">
        <w:trPr>
          <w:trHeight w:val="477"/>
        </w:trPr>
        <w:tc>
          <w:tcPr>
            <w:tcW w:w="1329" w:type="dxa"/>
          </w:tcPr>
          <w:p w14:paraId="543C4AF7" w14:textId="77777777" w:rsidR="001612BD" w:rsidRPr="00F139D9" w:rsidRDefault="001612BD" w:rsidP="00650253">
            <w:pPr>
              <w:spacing w:line="276" w:lineRule="auto"/>
              <w:jc w:val="both"/>
              <w:rPr>
                <w:rFonts w:ascii="Athelas" w:hAnsi="Athelas"/>
                <w:color w:val="000000" w:themeColor="text1"/>
                <w:lang w:val="id-ID"/>
              </w:rPr>
            </w:pPr>
            <w:r w:rsidRPr="00F139D9">
              <w:rPr>
                <w:rFonts w:ascii="Athelas" w:hAnsi="Athelas"/>
                <w:color w:val="000000" w:themeColor="text1"/>
                <w:lang w:val="id-ID"/>
              </w:rPr>
              <w:t>Indonesia</w:t>
            </w:r>
          </w:p>
        </w:tc>
        <w:tc>
          <w:tcPr>
            <w:tcW w:w="2181" w:type="dxa"/>
          </w:tcPr>
          <w:p w14:paraId="2814CF28" w14:textId="77777777" w:rsidR="001612BD" w:rsidRPr="00F139D9" w:rsidRDefault="001612BD" w:rsidP="00650253">
            <w:pPr>
              <w:spacing w:line="276" w:lineRule="auto"/>
              <w:jc w:val="both"/>
              <w:rPr>
                <w:rFonts w:ascii="Athelas" w:hAnsi="Athelas"/>
                <w:color w:val="000000" w:themeColor="text1"/>
                <w:lang w:val="id-ID"/>
              </w:rPr>
            </w:pPr>
            <w:r w:rsidRPr="00F139D9">
              <w:rPr>
                <w:rFonts w:ascii="Athelas" w:hAnsi="Athelas"/>
                <w:color w:val="000000" w:themeColor="text1"/>
                <w:lang w:val="id-ID"/>
              </w:rPr>
              <w:t>0,716</w:t>
            </w:r>
          </w:p>
        </w:tc>
      </w:tr>
      <w:tr w:rsidR="001612BD" w:rsidRPr="00F139D9" w14:paraId="00476FA6" w14:textId="77777777" w:rsidTr="00650253">
        <w:trPr>
          <w:trHeight w:val="477"/>
        </w:trPr>
        <w:tc>
          <w:tcPr>
            <w:tcW w:w="1329" w:type="dxa"/>
          </w:tcPr>
          <w:p w14:paraId="00B1C9C5" w14:textId="77777777" w:rsidR="001612BD" w:rsidRPr="00F139D9" w:rsidRDefault="001612BD" w:rsidP="00650253">
            <w:pPr>
              <w:spacing w:line="276" w:lineRule="auto"/>
              <w:jc w:val="both"/>
              <w:rPr>
                <w:rFonts w:ascii="Athelas" w:hAnsi="Athelas"/>
                <w:color w:val="000000" w:themeColor="text1"/>
                <w:lang w:val="id-ID"/>
              </w:rPr>
            </w:pPr>
            <w:r w:rsidRPr="00F139D9">
              <w:rPr>
                <w:rFonts w:ascii="Athelas" w:hAnsi="Athelas"/>
                <w:color w:val="000000" w:themeColor="text1"/>
                <w:lang w:val="id-ID"/>
              </w:rPr>
              <w:t>Philippines</w:t>
            </w:r>
          </w:p>
        </w:tc>
        <w:tc>
          <w:tcPr>
            <w:tcW w:w="2181" w:type="dxa"/>
          </w:tcPr>
          <w:p w14:paraId="3F9633A1" w14:textId="77777777" w:rsidR="001612BD" w:rsidRPr="00F139D9" w:rsidRDefault="001612BD" w:rsidP="00650253">
            <w:pPr>
              <w:spacing w:line="276" w:lineRule="auto"/>
              <w:jc w:val="both"/>
              <w:rPr>
                <w:rFonts w:ascii="Athelas" w:hAnsi="Athelas"/>
                <w:color w:val="000000" w:themeColor="text1"/>
                <w:lang w:val="id-ID"/>
              </w:rPr>
            </w:pPr>
            <w:r w:rsidRPr="00F139D9">
              <w:rPr>
                <w:rFonts w:ascii="Athelas" w:hAnsi="Athelas"/>
                <w:color w:val="000000" w:themeColor="text1"/>
                <w:lang w:val="id-ID"/>
              </w:rPr>
              <w:t>0,716</w:t>
            </w:r>
          </w:p>
        </w:tc>
      </w:tr>
      <w:tr w:rsidR="001612BD" w:rsidRPr="00F139D9" w14:paraId="1A93CA0C" w14:textId="77777777" w:rsidTr="00650253">
        <w:trPr>
          <w:trHeight w:val="477"/>
        </w:trPr>
        <w:tc>
          <w:tcPr>
            <w:tcW w:w="1329" w:type="dxa"/>
          </w:tcPr>
          <w:p w14:paraId="4F92EF2C" w14:textId="77777777" w:rsidR="001612BD" w:rsidRPr="00F139D9" w:rsidRDefault="001612BD" w:rsidP="00650253">
            <w:pPr>
              <w:spacing w:line="276" w:lineRule="auto"/>
              <w:jc w:val="both"/>
              <w:rPr>
                <w:rFonts w:ascii="Athelas" w:hAnsi="Athelas"/>
                <w:color w:val="000000" w:themeColor="text1"/>
              </w:rPr>
            </w:pPr>
            <w:r w:rsidRPr="00F139D9">
              <w:rPr>
                <w:rFonts w:ascii="Athelas" w:hAnsi="Athelas"/>
                <w:color w:val="000000" w:themeColor="text1"/>
              </w:rPr>
              <w:t>Myanmar</w:t>
            </w:r>
          </w:p>
        </w:tc>
        <w:tc>
          <w:tcPr>
            <w:tcW w:w="2181" w:type="dxa"/>
          </w:tcPr>
          <w:p w14:paraId="52EE49D8" w14:textId="77777777" w:rsidR="001612BD" w:rsidRPr="00F139D9" w:rsidRDefault="001612BD" w:rsidP="00650253">
            <w:pPr>
              <w:spacing w:line="276" w:lineRule="auto"/>
              <w:jc w:val="both"/>
              <w:rPr>
                <w:rFonts w:ascii="Athelas" w:hAnsi="Athelas"/>
                <w:color w:val="000000" w:themeColor="text1"/>
                <w:lang w:val="id-ID"/>
              </w:rPr>
            </w:pPr>
            <w:r w:rsidRPr="00F139D9">
              <w:rPr>
                <w:rFonts w:ascii="Athelas" w:hAnsi="Athelas"/>
                <w:color w:val="000000" w:themeColor="text1"/>
                <w:lang w:val="id-ID"/>
              </w:rPr>
              <w:t>3.634</w:t>
            </w:r>
          </w:p>
        </w:tc>
      </w:tr>
    </w:tbl>
    <w:p w14:paraId="32BAFB63" w14:textId="77777777" w:rsidR="001612BD" w:rsidRPr="00F139D9" w:rsidRDefault="001612BD" w:rsidP="001612BD">
      <w:pPr>
        <w:spacing w:line="276" w:lineRule="auto"/>
        <w:jc w:val="both"/>
        <w:rPr>
          <w:rFonts w:ascii="Athelas" w:hAnsi="Athelas"/>
          <w:color w:val="000000" w:themeColor="text1"/>
          <w:lang w:val="id-ID"/>
        </w:rPr>
      </w:pPr>
    </w:p>
    <w:p w14:paraId="4A4AD450" w14:textId="77777777" w:rsidR="001612BD" w:rsidRPr="00F139D9" w:rsidRDefault="001612BD" w:rsidP="001612BD">
      <w:pPr>
        <w:spacing w:line="276" w:lineRule="auto"/>
        <w:jc w:val="both"/>
        <w:rPr>
          <w:rFonts w:ascii="Athelas" w:hAnsi="Athelas"/>
          <w:color w:val="000000" w:themeColor="text1"/>
          <w:lang w:val="id-ID"/>
        </w:rPr>
      </w:pPr>
    </w:p>
    <w:p w14:paraId="33BFE89D" w14:textId="77777777" w:rsidR="001612BD" w:rsidRPr="00F139D9" w:rsidRDefault="001612BD" w:rsidP="001612BD">
      <w:pPr>
        <w:spacing w:line="276" w:lineRule="auto"/>
        <w:jc w:val="both"/>
        <w:rPr>
          <w:rFonts w:ascii="Athelas" w:hAnsi="Athelas"/>
          <w:color w:val="000000" w:themeColor="text1"/>
          <w:lang w:val="id-ID"/>
        </w:rPr>
      </w:pPr>
    </w:p>
    <w:p w14:paraId="644BA9EC" w14:textId="77777777" w:rsidR="001612BD" w:rsidRPr="00F139D9" w:rsidRDefault="001612BD" w:rsidP="001612BD">
      <w:pPr>
        <w:spacing w:line="276" w:lineRule="auto"/>
        <w:jc w:val="both"/>
        <w:rPr>
          <w:rFonts w:ascii="Athelas" w:hAnsi="Athelas"/>
          <w:color w:val="000000" w:themeColor="text1"/>
          <w:lang w:val="id-ID"/>
        </w:rPr>
      </w:pPr>
    </w:p>
    <w:p w14:paraId="45C2A93C" w14:textId="77777777" w:rsidR="001612BD" w:rsidRPr="00F139D9" w:rsidRDefault="001612BD" w:rsidP="001612BD">
      <w:pPr>
        <w:spacing w:line="276" w:lineRule="auto"/>
        <w:jc w:val="both"/>
        <w:rPr>
          <w:rFonts w:ascii="Athelas" w:hAnsi="Athelas"/>
          <w:color w:val="000000" w:themeColor="text1"/>
          <w:lang w:val="id-ID"/>
        </w:rPr>
      </w:pPr>
    </w:p>
    <w:p w14:paraId="57E34F38" w14:textId="77777777" w:rsidR="001612BD" w:rsidRPr="00F139D9" w:rsidRDefault="001612BD" w:rsidP="001612BD">
      <w:pPr>
        <w:spacing w:line="276" w:lineRule="auto"/>
        <w:jc w:val="both"/>
        <w:rPr>
          <w:rFonts w:ascii="Athelas" w:hAnsi="Athelas"/>
          <w:color w:val="000000" w:themeColor="text1"/>
          <w:lang w:val="id-ID"/>
        </w:rPr>
      </w:pPr>
    </w:p>
    <w:p w14:paraId="4662EAD0" w14:textId="77777777" w:rsidR="001612BD" w:rsidRDefault="001612BD" w:rsidP="001612BD">
      <w:pPr>
        <w:spacing w:line="276" w:lineRule="auto"/>
        <w:jc w:val="both"/>
        <w:rPr>
          <w:rFonts w:ascii="Athelas" w:hAnsi="Athelas"/>
          <w:color w:val="000000" w:themeColor="text1"/>
          <w:lang w:val="id-ID"/>
        </w:rPr>
      </w:pPr>
    </w:p>
    <w:p w14:paraId="44B85AA5" w14:textId="77777777" w:rsidR="001612BD" w:rsidRDefault="001612BD" w:rsidP="001612BD">
      <w:pPr>
        <w:spacing w:line="276" w:lineRule="auto"/>
        <w:jc w:val="both"/>
        <w:rPr>
          <w:rFonts w:ascii="Athelas" w:hAnsi="Athelas"/>
          <w:color w:val="000000" w:themeColor="text1"/>
          <w:lang w:val="id-ID"/>
        </w:rPr>
      </w:pPr>
    </w:p>
    <w:p w14:paraId="3FC8875B" w14:textId="77777777" w:rsidR="001612BD" w:rsidRDefault="001612BD" w:rsidP="001612BD">
      <w:pPr>
        <w:spacing w:line="276" w:lineRule="auto"/>
        <w:jc w:val="both"/>
        <w:rPr>
          <w:rFonts w:ascii="Athelas" w:hAnsi="Athelas"/>
          <w:color w:val="000000" w:themeColor="text1"/>
          <w:lang w:val="id-ID"/>
        </w:rPr>
      </w:pPr>
    </w:p>
    <w:p w14:paraId="3B369585" w14:textId="77777777" w:rsidR="001612BD" w:rsidRDefault="001612BD" w:rsidP="001612BD">
      <w:pPr>
        <w:spacing w:line="276" w:lineRule="auto"/>
        <w:jc w:val="both"/>
        <w:rPr>
          <w:rFonts w:ascii="Athelas" w:hAnsi="Athelas"/>
          <w:color w:val="000000" w:themeColor="text1"/>
          <w:lang w:val="id-ID"/>
        </w:rPr>
      </w:pPr>
    </w:p>
    <w:p w14:paraId="48E37110" w14:textId="77777777" w:rsidR="001612BD" w:rsidRDefault="001612BD" w:rsidP="001612BD">
      <w:pPr>
        <w:spacing w:line="276" w:lineRule="auto"/>
        <w:jc w:val="both"/>
        <w:rPr>
          <w:rFonts w:ascii="Athelas" w:hAnsi="Athelas"/>
          <w:color w:val="000000" w:themeColor="text1"/>
          <w:lang w:val="id-ID"/>
        </w:rPr>
      </w:pPr>
    </w:p>
    <w:p w14:paraId="2A350FDF" w14:textId="77777777" w:rsidR="001612BD" w:rsidRPr="00F139D9" w:rsidRDefault="001612BD" w:rsidP="001612BD">
      <w:pPr>
        <w:spacing w:line="276" w:lineRule="auto"/>
        <w:jc w:val="both"/>
        <w:rPr>
          <w:rFonts w:ascii="Athelas" w:hAnsi="Athelas"/>
          <w:color w:val="000000" w:themeColor="text1"/>
          <w:lang w:val="id-ID"/>
        </w:rPr>
      </w:pPr>
    </w:p>
    <w:p w14:paraId="5BD714BD" w14:textId="77777777" w:rsidR="001612BD" w:rsidRPr="00F139D9" w:rsidRDefault="001612BD" w:rsidP="001612BD">
      <w:pPr>
        <w:spacing w:line="276" w:lineRule="auto"/>
        <w:jc w:val="both"/>
        <w:rPr>
          <w:rFonts w:ascii="Athelas" w:hAnsi="Athelas"/>
          <w:color w:val="000000" w:themeColor="text1"/>
          <w:lang w:val="id-ID"/>
        </w:rPr>
      </w:pPr>
    </w:p>
    <w:p w14:paraId="65437511" w14:textId="77777777" w:rsidR="001612BD" w:rsidRPr="00F139D9" w:rsidRDefault="001612BD" w:rsidP="001612BD">
      <w:pPr>
        <w:spacing w:line="276" w:lineRule="auto"/>
        <w:jc w:val="both"/>
        <w:rPr>
          <w:rFonts w:ascii="Athelas" w:hAnsi="Athelas"/>
          <w:color w:val="000000" w:themeColor="text1"/>
          <w:lang w:val="id-ID"/>
        </w:rPr>
      </w:pPr>
    </w:p>
    <w:p w14:paraId="67EF0848" w14:textId="77777777" w:rsidR="001612BD" w:rsidRPr="00F139D9" w:rsidRDefault="001612BD" w:rsidP="001612BD">
      <w:pPr>
        <w:spacing w:line="276" w:lineRule="auto"/>
        <w:jc w:val="both"/>
        <w:rPr>
          <w:rFonts w:ascii="Athelas" w:hAnsi="Athelas"/>
          <w:color w:val="000000" w:themeColor="text1"/>
          <w:lang w:val="id-ID"/>
        </w:rPr>
      </w:pPr>
      <w:r w:rsidRPr="00F139D9">
        <w:rPr>
          <w:rFonts w:ascii="Athelas" w:hAnsi="Athelas"/>
          <w:color w:val="000000" w:themeColor="text1"/>
          <w:lang w:val="id-ID"/>
        </w:rPr>
        <w:t xml:space="preserve">Source : </w:t>
      </w:r>
      <w:r w:rsidRPr="00F139D9">
        <w:rPr>
          <w:rFonts w:ascii="Athelas" w:hAnsi="Athelas"/>
          <w:color w:val="000000" w:themeColor="text1"/>
          <w:lang w:val="id-ID"/>
        </w:rPr>
        <w:fldChar w:fldCharType="begin" w:fldLock="1"/>
      </w:r>
      <w:r w:rsidRPr="00F139D9">
        <w:rPr>
          <w:rFonts w:ascii="Athelas" w:hAnsi="Athelas"/>
          <w:color w:val="000000" w:themeColor="text1"/>
          <w:lang w:val="id-ID"/>
        </w:rPr>
        <w:instrText>ADDIN CSL_CITATION {"citationItems":[{"id":"ITEM-1","itemData":{"author":[{"dropping-particle":"","family":"Cindy Mutia Annur","given":"","non-dropping-particle":"","parse-names":false,"suffix":""}],"id":"ITEM-1","issued":{"date-parts":[["2022"]]},"title":"Sistem E-Government Indonesia Peringkat ke-5 di Asia Tenggara","type":"report"},"uris":["http://www.mendeley.com/documents/?uuid=4803c1b2-28dc-4a22-9c75-beffe931117c"]}],"mendeley":{"formattedCitation":"(Cindy Mutia Annur, 2022)","manualFormatting":"Cindy Mutia Annur, (2022)","plainTextFormattedCitation":"(Cindy Mutia Annur, 2022)","previouslyFormattedCitation":"(Cindy Mutia Annur, 2022)"},"properties":{"noteIndex":0},"schema":"https://github.com/citation-style-language/schema/raw/master/csl-citation.json"}</w:instrText>
      </w:r>
      <w:r w:rsidRPr="00F139D9">
        <w:rPr>
          <w:rFonts w:ascii="Athelas" w:hAnsi="Athelas"/>
          <w:color w:val="000000" w:themeColor="text1"/>
          <w:lang w:val="id-ID"/>
        </w:rPr>
        <w:fldChar w:fldCharType="separate"/>
      </w:r>
      <w:r w:rsidRPr="00F139D9">
        <w:rPr>
          <w:rFonts w:ascii="Athelas" w:hAnsi="Athelas"/>
          <w:noProof/>
          <w:color w:val="000000" w:themeColor="text1"/>
          <w:lang w:val="id-ID"/>
        </w:rPr>
        <w:t>Cindy Mutia Annur, (2022)</w:t>
      </w:r>
      <w:r w:rsidRPr="00F139D9">
        <w:rPr>
          <w:rFonts w:ascii="Athelas" w:hAnsi="Athelas"/>
          <w:color w:val="000000" w:themeColor="text1"/>
          <w:lang w:val="id-ID"/>
        </w:rPr>
        <w:fldChar w:fldCharType="end"/>
      </w:r>
    </w:p>
    <w:p w14:paraId="581D9CB4" w14:textId="580F8C0A" w:rsidR="001612BD" w:rsidRPr="00F139D9" w:rsidRDefault="001612BD" w:rsidP="001612BD">
      <w:pPr>
        <w:pStyle w:val="NormalWeb"/>
        <w:spacing w:line="276" w:lineRule="auto"/>
        <w:jc w:val="both"/>
        <w:rPr>
          <w:rFonts w:ascii="Athelas" w:hAnsi="Athelas"/>
          <w:color w:val="000000" w:themeColor="text1"/>
        </w:rPr>
      </w:pPr>
      <w:r w:rsidRPr="00F139D9">
        <w:rPr>
          <w:rFonts w:ascii="Athelas" w:hAnsi="Athelas"/>
          <w:color w:val="000000" w:themeColor="text1"/>
          <w:lang w:val="id-ID"/>
        </w:rPr>
        <w:tab/>
        <w:t>In the data from the United Nations (UN) report entitled E-Government Survey 2022 above, Thailand ranks third with a score of 0.7660 points. Meanwhile Singapore occupies the top position in Southeast Asia with an EGDI score of 0.9133 points. Furthermore, Malaysia took second place with a score of 0.7740 points. Furthermore, Brunei Darussalam was ranked fourth with 0,727 points. Then Indonesia and The Philippines with EGDI scores of 0.716 and 0.716 respectively (</w:t>
      </w:r>
      <w:r w:rsidRPr="00F139D9">
        <w:rPr>
          <w:rFonts w:ascii="Athelas" w:hAnsi="Athelas"/>
          <w:color w:val="000000" w:themeColor="text1"/>
          <w:lang w:val="id-ID"/>
        </w:rPr>
        <w:fldChar w:fldCharType="begin" w:fldLock="1"/>
      </w:r>
      <w:r w:rsidRPr="00F139D9">
        <w:rPr>
          <w:rFonts w:ascii="Athelas" w:hAnsi="Athelas"/>
          <w:color w:val="000000" w:themeColor="text1"/>
          <w:lang w:val="id-ID"/>
        </w:rPr>
        <w:instrText>ADDIN CSL_CITATION {"citationItems":[{"id":"ITEM-1","itemData":{"author":[{"dropping-particle":"","family":"Cindy Mutia Annur","given":"","non-dropping-particle":"","parse-names":false,"suffix":""}],"id":"ITEM-1","issued":{"date-parts":[["2022"]]},"title":"Sistem E-Government Indonesia Peringkat ke-5 di Asia Tenggara","type":"report"},"uris":["http://www.mendeley.com/documents/?uuid=4803c1b2-28dc-4a22-9c75-beffe931117c"]}],"mendeley":{"formattedCitation":"(Cindy Mutia Annur, 2022)","plainTextFormattedCitation":"(Cindy Mutia Annur, 2022)","previouslyFormattedCitation":"(Cindy Mutia Annur, 2022)"},"properties":{"noteIndex":0},"schema":"https://github.com/citation-style-language/schema/raw/master/csl-citation.json"}</w:instrText>
      </w:r>
      <w:r w:rsidRPr="00F139D9">
        <w:rPr>
          <w:rFonts w:ascii="Athelas" w:hAnsi="Athelas"/>
          <w:color w:val="000000" w:themeColor="text1"/>
          <w:lang w:val="id-ID"/>
        </w:rPr>
        <w:fldChar w:fldCharType="separate"/>
      </w:r>
      <w:r w:rsidRPr="00F139D9">
        <w:rPr>
          <w:rFonts w:ascii="Athelas" w:hAnsi="Athelas"/>
          <w:noProof/>
          <w:color w:val="000000" w:themeColor="text1"/>
          <w:lang w:val="id-ID"/>
        </w:rPr>
        <w:t>(Cindy Mutia Annur, 2022)</w:t>
      </w:r>
      <w:r w:rsidRPr="00F139D9">
        <w:rPr>
          <w:rFonts w:ascii="Athelas" w:hAnsi="Athelas"/>
          <w:color w:val="000000" w:themeColor="text1"/>
          <w:lang w:val="id-ID"/>
        </w:rPr>
        <w:fldChar w:fldCharType="end"/>
      </w:r>
      <w:r w:rsidRPr="00F139D9">
        <w:rPr>
          <w:rFonts w:ascii="Athelas" w:hAnsi="Athelas"/>
          <w:color w:val="000000" w:themeColor="text1"/>
          <w:lang w:val="id-ID"/>
        </w:rPr>
        <w:t xml:space="preserve">. </w:t>
      </w:r>
      <w:r w:rsidRPr="00F139D9">
        <w:rPr>
          <w:rFonts w:ascii="Athelas" w:hAnsi="Athelas"/>
          <w:color w:val="000000" w:themeColor="text1"/>
        </w:rPr>
        <w:t xml:space="preserve">Furthermore, choosing a case study between Thailand and The Six Selected ASEAN </w:t>
      </w:r>
      <w:r w:rsidRPr="00F139D9">
        <w:rPr>
          <w:rFonts w:ascii="Athelas" w:hAnsi="Athelas"/>
          <w:color w:val="000000" w:themeColor="text1"/>
        </w:rPr>
        <w:lastRenderedPageBreak/>
        <w:t>countries is important because Thailand is a country that is experiencing conflict in its country, namely conflicts that occur due to issues of racism between the Government of Thailand and the Muslim community in Thailand</w:t>
      </w:r>
      <w:r w:rsidRPr="00F139D9">
        <w:rPr>
          <w:rFonts w:ascii="Athelas" w:hAnsi="Athelas"/>
          <w:color w:val="000000" w:themeColor="text1"/>
          <w:lang w:val="id-ID"/>
        </w:rPr>
        <w:t xml:space="preserve"> </w:t>
      </w:r>
      <w:r w:rsidRPr="00F139D9">
        <w:rPr>
          <w:rFonts w:ascii="Athelas" w:hAnsi="Athelas"/>
          <w:color w:val="000000" w:themeColor="text1"/>
          <w:lang w:val="id-ID"/>
        </w:rPr>
        <w:fldChar w:fldCharType="begin" w:fldLock="1"/>
      </w:r>
      <w:r w:rsidRPr="00F139D9">
        <w:rPr>
          <w:rFonts w:ascii="Athelas" w:hAnsi="Athelas"/>
          <w:color w:val="000000" w:themeColor="text1"/>
          <w:lang w:val="id-ID"/>
        </w:rPr>
        <w:instrText>ADDIN CSL_CITATION {"citationItems":[{"id":"ITEM-1","itemData":{"URL":"https://www.kelaspintar.id/blog/inspirasi/memahami-konflik-berdarah-di-thailand-9058/","author":[{"dropping-particle":"","family":"Kelas Pintar","given":"","non-dropping-particle":"","parse-names":false,"suffix":""}],"id":"ITEM-1","issued":{"date-parts":[["2020"]]},"title":"Memahami Konflik Berdarah di Thailand","type":"webpage"},"uris":["http://www.mendeley.com/documents/?uuid=e1ae91a9-334e-46ef-a698-5de0637a6280"]}],"mendeley":{"formattedCitation":"(Kelas Pintar, 2020)","plainTextFormattedCitation":"(Kelas Pintar, 2020)","previouslyFormattedCitation":"(Kelas Pintar, 2020)"},"properties":{"noteIndex":0},"schema":"https://github.com/citation-style-language/schema/raw/master/csl-citation.json"}</w:instrText>
      </w:r>
      <w:r w:rsidRPr="00F139D9">
        <w:rPr>
          <w:rFonts w:ascii="Athelas" w:hAnsi="Athelas"/>
          <w:color w:val="000000" w:themeColor="text1"/>
          <w:lang w:val="id-ID"/>
        </w:rPr>
        <w:fldChar w:fldCharType="separate"/>
      </w:r>
      <w:r w:rsidRPr="00F139D9">
        <w:rPr>
          <w:rFonts w:ascii="Athelas" w:hAnsi="Athelas"/>
          <w:noProof/>
          <w:color w:val="000000" w:themeColor="text1"/>
          <w:lang w:val="id-ID"/>
        </w:rPr>
        <w:t>(Kelas Pintar, 2020)</w:t>
      </w:r>
      <w:r w:rsidRPr="00F139D9">
        <w:rPr>
          <w:rFonts w:ascii="Athelas" w:hAnsi="Athelas"/>
          <w:color w:val="000000" w:themeColor="text1"/>
          <w:lang w:val="id-ID"/>
        </w:rPr>
        <w:fldChar w:fldCharType="end"/>
      </w:r>
      <w:r w:rsidRPr="00F139D9">
        <w:rPr>
          <w:rFonts w:ascii="Athelas" w:hAnsi="Athelas"/>
          <w:color w:val="000000" w:themeColor="text1"/>
          <w:lang w:val="id-ID"/>
        </w:rPr>
        <w:t xml:space="preserve">. </w:t>
      </w:r>
      <w:r w:rsidRPr="00F139D9">
        <w:rPr>
          <w:rFonts w:ascii="Athelas" w:hAnsi="Athelas"/>
          <w:color w:val="000000" w:themeColor="text1"/>
        </w:rPr>
        <w:t>This research will compare how Thailand applies the two indicators from E-Government Development and the World Bank during the conflict it is experiencing compared to The Six Selected ASEAN Countries.</w:t>
      </w:r>
    </w:p>
    <w:p w14:paraId="7D6588C5" w14:textId="013E725C" w:rsidR="00BB0A50" w:rsidRPr="001612BD" w:rsidRDefault="001612BD" w:rsidP="001612BD">
      <w:pPr>
        <w:pStyle w:val="NormalWeb"/>
        <w:spacing w:line="276" w:lineRule="auto"/>
        <w:ind w:firstLine="720"/>
        <w:jc w:val="both"/>
        <w:rPr>
          <w:rFonts w:ascii="Athelas" w:hAnsi="Athelas"/>
          <w:color w:val="000000" w:themeColor="text1"/>
        </w:rPr>
      </w:pPr>
      <w:r w:rsidRPr="00F139D9">
        <w:rPr>
          <w:rFonts w:ascii="Athelas" w:hAnsi="Athelas"/>
          <w:color w:val="000000" w:themeColor="text1"/>
        </w:rPr>
        <w:t xml:space="preserve">Based on this background, this study will analyze the data further using Google Data Studio, which correlates with two indicators, namely the World Governance Indicator (WGI) and the Electronic Government Development Index (EGDI). Google data </w:t>
      </w:r>
      <w:proofErr w:type="spellStart"/>
      <w:r w:rsidRPr="00F139D9">
        <w:rPr>
          <w:rFonts w:ascii="Athelas" w:hAnsi="Athelas"/>
          <w:color w:val="000000" w:themeColor="text1"/>
        </w:rPr>
        <w:t>Data</w:t>
      </w:r>
      <w:proofErr w:type="spellEnd"/>
      <w:r w:rsidR="009B7ECF">
        <w:rPr>
          <w:rFonts w:ascii="Athelas" w:hAnsi="Athelas"/>
          <w:color w:val="000000" w:themeColor="text1"/>
          <w:lang w:val="id-ID"/>
        </w:rPr>
        <w:t xml:space="preserve"> </w:t>
      </w:r>
      <w:r w:rsidRPr="00F139D9">
        <w:rPr>
          <w:rFonts w:ascii="Athelas" w:hAnsi="Athelas"/>
          <w:color w:val="000000" w:themeColor="text1"/>
        </w:rPr>
        <w:t>Studio helps visualize data in various formats, such as tables, diagrams, and others. Before that, researchers took interactive data from selected ASEAN countries through the website https://info.worldbank.org/governance/wgi/, which was then correlated with Electronic Government Development Index (EGDI) data. After the data has been visualized into tables, pivot tables, and graphs, the researcher can analyze the data according to the results from Google Data Studio. Of course, researchers will see how Thailand compares with the six selected ASEAN countries with the World Governance Indicator (WGI) and Electronic Government Development Index (EGDI) indicators, which are correlated by primary data such as journals and news related to the research topic.</w:t>
      </w:r>
    </w:p>
    <w:p w14:paraId="20CA5AE5" w14:textId="77777777" w:rsidR="00645C4D" w:rsidRPr="007F51BE" w:rsidRDefault="00645C4D" w:rsidP="009B4013">
      <w:pPr>
        <w:pStyle w:val="NoSpacing"/>
        <w:spacing w:line="295" w:lineRule="auto"/>
        <w:ind w:firstLine="0"/>
        <w:rPr>
          <w:rFonts w:ascii="Athelas" w:hAnsi="Athelas"/>
          <w:szCs w:val="24"/>
          <w:lang w:val="id-ID"/>
        </w:rPr>
      </w:pPr>
    </w:p>
    <w:p w14:paraId="46EE06CE" w14:textId="53C8FFB7" w:rsidR="009B4013" w:rsidRPr="009B4013" w:rsidRDefault="001612BD" w:rsidP="009B4013">
      <w:pPr>
        <w:pStyle w:val="NoSpacing"/>
        <w:spacing w:line="283" w:lineRule="auto"/>
        <w:ind w:firstLine="0"/>
        <w:rPr>
          <w:rFonts w:ascii="Athelas" w:hAnsi="Athelas"/>
          <w:b/>
          <w:color w:val="2F5496" w:themeColor="accent1" w:themeShade="BF"/>
          <w:sz w:val="28"/>
          <w:szCs w:val="28"/>
          <w:lang w:val="id-ID"/>
        </w:rPr>
      </w:pPr>
      <w:r>
        <w:rPr>
          <w:rFonts w:ascii="Athelas" w:hAnsi="Athelas"/>
          <w:b/>
          <w:color w:val="2F5496" w:themeColor="accent1" w:themeShade="BF"/>
          <w:sz w:val="28"/>
          <w:szCs w:val="28"/>
          <w:lang w:val="id-ID"/>
        </w:rPr>
        <w:t xml:space="preserve">Anaysis of the E-Government Development Index (EGDI) of The Seven Selected ASEAN Countries </w:t>
      </w:r>
    </w:p>
    <w:p w14:paraId="11CFD9BD" w14:textId="4756AF23" w:rsidR="001612BD" w:rsidRPr="00F139D9" w:rsidRDefault="001612BD" w:rsidP="001612BD">
      <w:pPr>
        <w:spacing w:line="276" w:lineRule="auto"/>
        <w:ind w:firstLine="720"/>
        <w:jc w:val="both"/>
        <w:rPr>
          <w:rFonts w:ascii="Athelas" w:hAnsi="Athelas"/>
          <w:color w:val="000000" w:themeColor="text1"/>
        </w:rPr>
      </w:pPr>
      <w:r w:rsidRPr="00F139D9">
        <w:rPr>
          <w:rFonts w:ascii="Athelas" w:hAnsi="Athelas"/>
          <w:color w:val="000000" w:themeColor="text1"/>
        </w:rPr>
        <w:t xml:space="preserve">In this study, six ASEAN countries were selected to be compared with Thailand. According to a study by </w:t>
      </w:r>
      <w:proofErr w:type="spellStart"/>
      <w:r w:rsidRPr="00F139D9">
        <w:rPr>
          <w:rFonts w:ascii="Athelas" w:hAnsi="Athelas"/>
          <w:color w:val="000000" w:themeColor="text1"/>
        </w:rPr>
        <w:t>Widjanarko</w:t>
      </w:r>
      <w:proofErr w:type="spellEnd"/>
      <w:r w:rsidRPr="00F139D9">
        <w:rPr>
          <w:rFonts w:ascii="Athelas" w:hAnsi="Athelas"/>
          <w:color w:val="000000" w:themeColor="text1"/>
        </w:rPr>
        <w:t xml:space="preserve"> (2021), Thailand, a nation with an autocratic political system and low levels of good governance, was the only country to achieve economic growth below 5%. The growth achievement of each country is different, depending on the country's conditions</w:t>
      </w:r>
      <w:r w:rsidRPr="00F139D9">
        <w:rPr>
          <w:rFonts w:ascii="Athelas" w:hAnsi="Athelas"/>
          <w:color w:val="000000" w:themeColor="text1"/>
          <w:lang w:val="id-ID"/>
        </w:rPr>
        <w:t xml:space="preserve"> </w:t>
      </w:r>
      <w:r w:rsidRPr="00F139D9">
        <w:rPr>
          <w:rFonts w:ascii="Athelas" w:hAnsi="Athelas"/>
          <w:color w:val="000000" w:themeColor="text1"/>
          <w:lang w:val="id-ID"/>
        </w:rPr>
        <w:fldChar w:fldCharType="begin" w:fldLock="1"/>
      </w:r>
      <w:r w:rsidRPr="00F139D9">
        <w:rPr>
          <w:rFonts w:ascii="Athelas" w:hAnsi="Athelas"/>
          <w:color w:val="000000" w:themeColor="text1"/>
          <w:lang w:val="id-ID"/>
        </w:rPr>
        <w:instrText>ADDIN CSL_CITATION {"citationItems":[{"id":"ITEM-1","itemData":{"DOI":"10.32834/gg.v17i2.340","ISSN":"14124246","abstract":"Kajian ini bertujuan untuk mengevaluasi hubungan enam  varaibel  Tatakelola Pemerintahan Yang Baik ( Good Governance ) terhadap pertumbuhan ekonomi. Variabel tersebut antara lain : 1) kebebasaan berpendapat dan tanggungjawab ( Voice and Accountablity), 2) Stabilitas Politik dan Rendahnya Tingkat Intensitas Tindak Kekerasan/Teror (Political Stability and Absence of Violence), 3) Efektivitas Pemerintahan  (Government  Effectiveness),  4)  Kualitas Peraturan  Perundang  Undangan  (  Regulatory Quality ), 5) Supremasi Hukum (Rule of Law ); 6)   Kontrol Korupsi ( Control Coruption). Kajian ini menggunakan  metode  regresi  data  panel  (Random Effect) dengan   5 purposive sample negara  yang pertumbuhan ekonominya relatif tinggi. Negara tersebut yaitu : 1)    Vietnam, 2)Singapura, 3)Thailand; 4)Mayasia, 5)  Indonesia. Hasil  kajian menunjukkan bahwa dua varibel yaitu : 1)Kebebasan berpendapat dan tanggung jawab   dan 2) Kestabilan Politik, berpengaruh signifikan positif terhadap pertumbuhan ekonomi.Kata Kunci : Tatakelelola Pemerintahan yang Baik; Pertumbuhan Ekonomi.","author":[{"dropping-particle":"","family":"Widjanarko","given":"Widjanarko","non-dropping-particle":"","parse-names":false,"suffix":""}],"container-title":"Jurnal Good Governance","id":"ITEM-1","issue":"2","issued":{"date-parts":[["2021"]]},"page":"155-168","title":"Analisis Hubungan Good Governance Dan Pertumbuhan Ekonomi Indonesia 2013-2019","type":"article-journal","volume":"17"},"uris":["http://www.mendeley.com/documents/?uuid=2ca3ec21-19a5-4e32-bdee-d9a19bbfaef9"]}],"mendeley":{"formattedCitation":"(Widjanarko, 2021)","plainTextFormattedCitation":"(Widjanarko, 2021)","previouslyFormattedCitation":"(Widjanarko, 2021)"},"properties":{"noteIndex":0},"schema":"https://github.com/citation-style-language/schema/raw/master/csl-citation.json"}</w:instrText>
      </w:r>
      <w:r w:rsidRPr="00F139D9">
        <w:rPr>
          <w:rFonts w:ascii="Athelas" w:hAnsi="Athelas"/>
          <w:color w:val="000000" w:themeColor="text1"/>
          <w:lang w:val="id-ID"/>
        </w:rPr>
        <w:fldChar w:fldCharType="separate"/>
      </w:r>
      <w:r w:rsidRPr="00F139D9">
        <w:rPr>
          <w:rFonts w:ascii="Athelas" w:hAnsi="Athelas"/>
          <w:noProof/>
          <w:color w:val="000000" w:themeColor="text1"/>
          <w:lang w:val="id-ID"/>
        </w:rPr>
        <w:t>(Widjanarko, 2021)</w:t>
      </w:r>
      <w:r w:rsidRPr="00F139D9">
        <w:rPr>
          <w:rFonts w:ascii="Athelas" w:hAnsi="Athelas"/>
          <w:color w:val="000000" w:themeColor="text1"/>
          <w:lang w:val="id-ID"/>
        </w:rPr>
        <w:fldChar w:fldCharType="end"/>
      </w:r>
      <w:r w:rsidRPr="00F139D9">
        <w:rPr>
          <w:rFonts w:ascii="Athelas" w:hAnsi="Athelas"/>
          <w:color w:val="000000" w:themeColor="text1"/>
        </w:rPr>
        <w:t>. Indonesia has increased even though, on average, in the six index indicators of Good Governance, Indonesia is still below Malaysia and Singapore</w:t>
      </w:r>
      <w:r w:rsidRPr="00F139D9">
        <w:rPr>
          <w:rFonts w:ascii="Athelas" w:hAnsi="Athelas"/>
          <w:color w:val="000000" w:themeColor="text1"/>
          <w:lang w:val="id-ID"/>
        </w:rPr>
        <w:t xml:space="preserve"> </w:t>
      </w:r>
      <w:r w:rsidRPr="00F139D9">
        <w:rPr>
          <w:rFonts w:ascii="Athelas" w:hAnsi="Athelas"/>
          <w:color w:val="000000" w:themeColor="text1"/>
          <w:lang w:val="id-ID"/>
        </w:rPr>
        <w:fldChar w:fldCharType="begin" w:fldLock="1"/>
      </w:r>
      <w:r w:rsidRPr="00F139D9">
        <w:rPr>
          <w:rFonts w:ascii="Athelas" w:hAnsi="Athelas"/>
          <w:color w:val="000000" w:themeColor="text1"/>
          <w:lang w:val="id-ID"/>
        </w:rPr>
        <w:instrText>ADDIN CSL_CITATION {"citationItems":[{"id":"ITEM-1","itemData":{"DOI":"10.30589/proceedings.2022.704","ISSN":"2686-6242","abstract":"The Government of Indonesia, through Bappenas, launched the Village/Township Monograph Digitization (DMD/K) program in 2020. This program is an effort to digitally document data in villages/twonship so that it can be processed and analyzed as a basis for planning and decision making. Bantaeng Regency was selected as one of the regions implementing this program. This study aims to determine the extent of the implementation of the principles of Agile Governance through the village/township monograph digitization program in Bantaeng Regency. Researchers use a qualitative approach with data collection techniques through observation, interviews and documentation. Data analysis is based on the agile governance theory proposed by Luna et al, (2015). The results of the study indicate that the implementation of agile governance is considered not optimal, there are five principles that have been effective. These principles include: good enough governance, business driven, human focused, systematic &amp; adaptive approach and simple design &amp; continuous refinement. While there is one other principle that is still not running optimally, namely the principle based on quick wins. This is because there is still a need for improvements to the Village/ township SEPAKAT application as the main supporter in this program, and local government commitment is needed in guarding this program by providing adequate data infrastructure facilities. It is hoped that the results of the analysis of the principles of agile governance can be an effort to further improve the quality of government services to the community, especially for the poor in Bantaeng Regency.","author":[{"dropping-particle":"","family":"Maladevi","given":"Shernylia","non-dropping-particle":"","parse-names":false,"suffix":""}],"container-title":"Iapa Proceedings Conference","id":"ITEM-1","issued":{"date-parts":[["2022"]]},"page":"322","title":"Implementation of Agile Governance Principles Through the Village/Township Monograph Digitization Program in Bantaeng Regency","type":"article-journal"},"uris":["http://www.mendeley.com/documents/?uuid=b509811b-8e7d-4fef-bb94-f4dde7c64884"]}],"mendeley":{"formattedCitation":"(Maladevi, 2022)","plainTextFormattedCitation":"(Maladevi, 2022)","previouslyFormattedCitation":"(Maladevi, 2022)"},"properties":{"noteIndex":0},"schema":"https://github.com/citation-style-language/schema/raw/master/csl-citation.json"}</w:instrText>
      </w:r>
      <w:r w:rsidRPr="00F139D9">
        <w:rPr>
          <w:rFonts w:ascii="Athelas" w:hAnsi="Athelas"/>
          <w:color w:val="000000" w:themeColor="text1"/>
          <w:lang w:val="id-ID"/>
        </w:rPr>
        <w:fldChar w:fldCharType="separate"/>
      </w:r>
      <w:r w:rsidRPr="00F139D9">
        <w:rPr>
          <w:rFonts w:ascii="Athelas" w:hAnsi="Athelas"/>
          <w:noProof/>
          <w:color w:val="000000" w:themeColor="text1"/>
          <w:lang w:val="id-ID"/>
        </w:rPr>
        <w:t>(Maladevi, 2022)</w:t>
      </w:r>
      <w:r w:rsidRPr="00F139D9">
        <w:rPr>
          <w:rFonts w:ascii="Athelas" w:hAnsi="Athelas"/>
          <w:color w:val="000000" w:themeColor="text1"/>
          <w:lang w:val="id-ID"/>
        </w:rPr>
        <w:fldChar w:fldCharType="end"/>
      </w:r>
      <w:r w:rsidRPr="00F139D9">
        <w:rPr>
          <w:rFonts w:ascii="Athelas" w:hAnsi="Athelas"/>
          <w:color w:val="000000" w:themeColor="text1"/>
        </w:rPr>
        <w:t>. However, the progress that Indonesia has experienced is higher than that of Thailand and the Philippines</w:t>
      </w:r>
      <w:r w:rsidRPr="00F139D9">
        <w:rPr>
          <w:rFonts w:ascii="Athelas" w:hAnsi="Athelas"/>
          <w:color w:val="000000" w:themeColor="text1"/>
          <w:lang w:val="id-ID"/>
        </w:rPr>
        <w:t xml:space="preserve"> </w:t>
      </w:r>
      <w:r w:rsidRPr="00F139D9">
        <w:rPr>
          <w:rFonts w:ascii="Athelas" w:hAnsi="Athelas"/>
          <w:color w:val="000000" w:themeColor="text1"/>
          <w:lang w:val="id-ID"/>
        </w:rPr>
        <w:fldChar w:fldCharType="begin" w:fldLock="1"/>
      </w:r>
      <w:r w:rsidRPr="00F139D9">
        <w:rPr>
          <w:rFonts w:ascii="Athelas" w:hAnsi="Athelas"/>
          <w:color w:val="000000" w:themeColor="text1"/>
          <w:lang w:val="id-ID"/>
        </w:rPr>
        <w:instrText>ADDIN CSL_CITATION {"citationItems":[{"id":"ITEM-1","itemData":{"ISBN":"2013206534","abstract":"Seiring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Kata","author":[{"dropping-particle":"","family":"Mathematics","given":"Applied","non-dropping-particle":"","parse-names":false,"suffix":""}],"container-title":"Publica: Jurnal Pemikiran Administrasi Negara","id":"ITEM-1","issue":"2","issued":{"date-parts":[["2022"]]},"page":"204-214","title":"Agile Governance In Handling the Covid-19 Pandemic by The Kampar District Health Office in 2021","type":"article-journal","volume":"14"},"uris":["http://www.mendeley.com/documents/?uuid=0cd0327e-b085-4e59-a010-0aab389d5dd1"]}],"mendeley":{"formattedCitation":"(Mathematics, 2022)","plainTextFormattedCitation":"(Mathematics, 2022)","previouslyFormattedCitation":"(Mathematics, 2022)"},"properties":{"noteIndex":0},"schema":"https://github.com/citation-style-language/schema/raw/master/csl-citation.json"}</w:instrText>
      </w:r>
      <w:r w:rsidRPr="00F139D9">
        <w:rPr>
          <w:rFonts w:ascii="Athelas" w:hAnsi="Athelas"/>
          <w:color w:val="000000" w:themeColor="text1"/>
          <w:lang w:val="id-ID"/>
        </w:rPr>
        <w:fldChar w:fldCharType="separate"/>
      </w:r>
      <w:r w:rsidRPr="00F139D9">
        <w:rPr>
          <w:rFonts w:ascii="Athelas" w:hAnsi="Athelas"/>
          <w:noProof/>
          <w:color w:val="000000" w:themeColor="text1"/>
          <w:lang w:val="id-ID"/>
        </w:rPr>
        <w:t>(Mathematics, 2022)</w:t>
      </w:r>
      <w:r w:rsidRPr="00F139D9">
        <w:rPr>
          <w:rFonts w:ascii="Athelas" w:hAnsi="Athelas"/>
          <w:color w:val="000000" w:themeColor="text1"/>
          <w:lang w:val="id-ID"/>
        </w:rPr>
        <w:fldChar w:fldCharType="end"/>
      </w:r>
      <w:r w:rsidRPr="00F139D9">
        <w:rPr>
          <w:rFonts w:ascii="Athelas" w:hAnsi="Athelas"/>
          <w:color w:val="000000" w:themeColor="text1"/>
        </w:rPr>
        <w:t>. Even though it has a high Good Governance indicator value, close to 100, Singapore</w:t>
      </w:r>
      <w:r w:rsidRPr="00F139D9">
        <w:rPr>
          <w:rFonts w:ascii="Athelas" w:hAnsi="Athelas"/>
          <w:color w:val="000000" w:themeColor="text1"/>
          <w:lang w:val="id-ID"/>
        </w:rPr>
        <w:t>, a</w:t>
      </w:r>
      <w:proofErr w:type="spellStart"/>
      <w:r w:rsidRPr="00F139D9">
        <w:rPr>
          <w:rFonts w:ascii="Athelas" w:hAnsi="Athelas"/>
          <w:color w:val="000000" w:themeColor="text1"/>
        </w:rPr>
        <w:t>s</w:t>
      </w:r>
      <w:proofErr w:type="spellEnd"/>
      <w:r w:rsidRPr="00F139D9">
        <w:rPr>
          <w:rFonts w:ascii="Athelas" w:hAnsi="Athelas"/>
          <w:color w:val="000000" w:themeColor="text1"/>
        </w:rPr>
        <w:t xml:space="preserve"> a country with an autocratic political system, has had an average economic growth of below 5% from 2013 to 2019. </w:t>
      </w:r>
    </w:p>
    <w:p w14:paraId="07FEE5B1" w14:textId="1044693E" w:rsidR="001612BD" w:rsidRPr="00F139D9" w:rsidRDefault="001612BD" w:rsidP="001612BD">
      <w:pPr>
        <w:pStyle w:val="NormalWeb"/>
        <w:spacing w:line="276" w:lineRule="auto"/>
        <w:ind w:firstLine="720"/>
        <w:jc w:val="both"/>
        <w:rPr>
          <w:rFonts w:ascii="Athelas" w:hAnsi="Athelas"/>
          <w:color w:val="000000" w:themeColor="text1"/>
        </w:rPr>
      </w:pPr>
      <w:r w:rsidRPr="00F139D9">
        <w:rPr>
          <w:rFonts w:ascii="Athelas" w:hAnsi="Athelas"/>
          <w:color w:val="000000" w:themeColor="text1"/>
        </w:rPr>
        <w:t>In this study, we want to see how Thailand compares with selected ASEAN countries, namely Singapore, Indonesia, Brunei Darussalam, Malaysia, the Philippines, and Myanmar, based on indicators from the World Governance Indicator (WGI) and the Electronic Government Development Index (EGDI)</w:t>
      </w:r>
      <w:r w:rsidRPr="00F139D9">
        <w:rPr>
          <w:rFonts w:ascii="Athelas" w:hAnsi="Athelas"/>
          <w:noProof/>
          <w:color w:val="000000" w:themeColor="text1"/>
          <w:lang w:val="id-ID"/>
        </w:rPr>
        <w:t xml:space="preserve"> </w:t>
      </w:r>
      <w:r w:rsidRPr="00F139D9">
        <w:rPr>
          <w:rFonts w:ascii="Athelas" w:hAnsi="Athelas"/>
          <w:noProof/>
          <w:color w:val="000000" w:themeColor="text1"/>
          <w:lang w:val="id-ID"/>
        </w:rPr>
        <w:fldChar w:fldCharType="begin" w:fldLock="1"/>
      </w:r>
      <w:r w:rsidRPr="00F139D9">
        <w:rPr>
          <w:rFonts w:ascii="Athelas" w:hAnsi="Athelas"/>
          <w:noProof/>
          <w:color w:val="000000" w:themeColor="text1"/>
          <w:lang w:val="id-ID"/>
        </w:rPr>
        <w:instrText>ADDIN CSL_CITATION {"citationItems":[{"id":"ITEM-1","itemData":{"DOI":"10.4038/kjhrm.v17i1.107","ISSN":"1800-1793","author":[{"dropping-particle":"","family":"Priyashantha","given":"K. G.","non-dropping-particle":"","parse-names":false,"suffix":""},{"dropping-particle":"","family":"Dilhani","given":"V. I.","non-dropping-particle":"","parse-names":false,"suffix":""}],"container-title":"Kelaniya Journal of Human Resource Management","id":"ITEM-1","issue":"1","issued":{"date-parts":[["2022"]]},"page":"105","title":"Determinants of E-government Adoption: A Systematic Literature Review","type":"article-journal","volume":"17"},"uris":["http://www.mendeley.com/documents/?uuid=61c4f1fd-7cb9-4cb2-95c0-c0eb184f32bc"]},{"id":"ITEM-2","itemData":{"DOI":"10.3390/computers10120168","ISSN":"2073431X","abstract":"e-Government services have evolved significantly over the last decade, from a paper-based bureaucratic procedure to digital services. Electronically processed transactions require limited physical interaction with the public administration, and provide reduced response times, increased transparency, confidentiality and integrity. Blockchain technology enhances many of the above properties as it facilitates immutability and transparency for the recorded transactions and can help establish trust among participants. In this paper, we conduct a literature review on the use of blockchain technology in e-government applications to identify e-government services that can benefit from the use of blockchains, types of technologies that are chosen for the proposed solutions, and their corresponding maturity levels. The aim is to demonstrate blockchain’s potential and contribution to the field, provide useful insights to governments who are considering investing in this innovative technology, and facilitate researchers in their future activities in blockchain-enabled e-government services.","author":[{"dropping-particle":"","family":"Lykidis","given":"Ioannis","non-dropping-particle":"","parse-names":false,"suffix":""},{"dropping-particle":"","family":"Drosatos","given":"George","non-dropping-particle":"","parse-names":false,"suffix":""},{"dropping-particle":"","family":"Rantos","given":"Konstantinos","non-dropping-particle":"","parse-names":false,"suffix":""}],"container-title":"Computers","id":"ITEM-2","issue":"12","issued":{"date-parts":[["2021"]]},"page":"1-17","title":"The Use of Blockchain Technology in e-Government Services","type":"article-journal","volume":"10"},"uris":["http://www.mendeley.com/documents/?uuid=b8877d75-9f20-43b2-9eaa-65ae8dfc9a92"]},{"id":"ITEM-3","itemData":{"abstract":"The impact of migration in the digital world does not escape the process of improvement in government bodies. The presence of E-Government provides better public services, the internal effectiveness of government organizations is increasing, and public access to information in a government environment is getting easier. Responding to the need for the realization of good governance and improving the quality of public services in North Lombok Regency, investment in the procurement of goods and services from manual to electronic which is called e-procurement is encouraged. E-Procurement is a form of innovation by the North Lombok Regency Government in realizing e-Government. This research was conducted at the electronic procurement service (LPSE) North Lombok Regency, West Nusa Tenggara Province (NTB). The method used in this research is descriptive qualitative research method. The informants in this study were LPSE apparatus of North Lombok Regency, vendors and users of goods and services. Data analysis conducted in this study was to analyse the results of observations, interviews, and documentation obtained from the study. Research results Optimizing e-procurement system services in the process of procuring goods and services for the sake of realizing good governance in North Lombok Regency is in accordance with applicable principles including effectiveness and efficiency principles, participant principles, transparency principles and accountability principles are properly implemented by LPSE North Lombok to achieve good governance. In addition to the above principles, there is also a theory put forward by Edward in realizing good governance including communication, this has been done well by North Lombok LPSE; Resources, this is regarding financial resources that have been done well but in terms of human resources it is still not optimal; Disposition, in this case, LPSE Lombok Utara has run well where the leadership, staff and vendors have the same vision and mission; Bureaucracy and structure, in this case LPSE Lombok Utara, has implemented a good structure for the division of tasks for each staff.","author":[{"dropping-particle":"","family":"Luh","given":"Ni","non-dropping-particle":"","parse-names":false,"suffix":""},{"dropping-particle":"","family":"Ratnawati","given":"Tut Tri","non-dropping-particle":"","parse-names":false,"suffix":""},{"dropping-particle":"","family":"Made","given":"I","non-dropping-particle":"","parse-names":false,"suffix":""},{"dropping-particle":"","family":"Suryawan","given":"Yuda","non-dropping-particle":"","parse-names":false,"suffix":""}],"container-title":"Social Science, Public Administration and Management (HUSOCPUMENT)","id":"ITEM-3","issue":"1","issued":{"date-parts":[["2021"]]},"page":"8-14","title":"E-procurement Implementation as Reflection of Good Governance in North Lombok Regency","type":"article-journal","volume":"1"},"uris":["http://www.mendeley.com/documents/?uuid=fb3a0db3-7456-49f3-bc9f-6b289fdbeddd"]},{"id":"ITEM-4","itemData":{"abstract":"… Bahasa pemrograman yang digunakan untuk membangun sistem E-Goverment adalah PHP dan database MySQL. Tahap pengujian penerimaan sistem menggunakan metode Tam, …","author":[{"dropping-particle":"","family":"Minin","given":"Ikhwanul Mu","non-dropping-particle":"","parse-names":false,"suffix":""},{"dropping-particle":"","family":"Leo","given":"Andi","non-dropping-particle":"","parse-names":false,"suffix":""}],"container-title":"Sains Terapan dan Teknologi","id":"ITEM-4","issue":"2","issued":{"date-parts":[["2021"]]},"page":"1-15","title":"Penerimaan Sistem Informasi Pelayanan Desa Berbasis Web Di Desa Kudikan Model E-Government To-Citizens Berdasarkan Tam","type":"article-journal","volume":"2"},"uris":["http://www.mendeley.com/documents/?uuid=995ff32c-622c-4099-9e44-f5962a573ad2"]},{"id":"ITEM-5","itemData":{"DOI":"10.1080/09537325.2022.2067037","ISSN":"14653990","abstract":"The present inquiry addresses the nexus between the development of electronic government and corruption in the provision of public sector services in developing and transition economies. The study analyzes the potential contribution of electronic government in combating petty corruption within the framework of two superimposed principal-agent model and show that electronic government could potentially limit bureaucratic corruption. To address the research question empirically, the study applies random tobit and linear random effects panel estimators to a dataset made of 121 countries, which covers the time period between 2008 and 2018. Estimations reveal that the adoption of electronic government in the delivery of public sector services has been the central factor that contributed to the reduction of petty corruption in developing and transition economies. The level of per capita income, political rights, civil liberties and share of natural resources in gross exports also correspond with less bribery in the public sector service delivery. Furthermore, the study finds that a lower level of socio-economic development corresponds with a greater level of petty corruption. Hence, e-government presents one of the utmost opportunities for socio-economic development and offers solutions for the improvement of the efficiency and effectiveness of public administration.","author":[{"dropping-particle":"","family":"Sadik-Zada","given":"Elkhan Richard","non-dropping-particle":"","parse-names":false,"suffix":""},{"dropping-particle":"","family":"Gatto","given":"Andrea","non-dropping-particle":"","parse-names":false,"suffix":""},{"dropping-particle":"","family":"Niftiyev","given":"Ibrahim","non-dropping-particle":"","parse-names":false,"suffix":""}],"container-title":"Technology Analysis and Strategic Management","id":"ITEM-5","issued":{"date-parts":[["2022"]]},"page":"1-17","title":"E-government and petty corruption in public sector service delivery","type":"article-journal"},"uris":["http://www.mendeley.com/documents/?uuid=e9fac8e0-04d1-45a1-ae89-dd94b700a8df"]},{"id":"ITEM-6","itemData":{"ISBN":"9781626239777","abstract":"The main objective of this study was aimed to know the effectiveness of mind mapping in teaching descriptive text at the Eighth Grade Students of SMP Terbuka Kec.Senen in Academic Year of 2020/2021. The research was conducted in SMP Terbuka Kec. Senen. The population was the first year students of SMP Terbuka Kec. Senen in academic year of 2020/2021 with a total number of 70 students. Out of this population, students of eight grade were taken as sample.The writer used pre-experimental research with one group pre-test and post-test design in the quantitative. The data were collected by using pre-test and post-test. From the Lilliefors analysis showed that the data pre-test and post-test in Pre- experiment calss are normally distributed. Furthermore, the data post-test obtained were analyzed by using t-test formula. The t-test calculation of the post test result was known that was 8,35 and was 1,71. Therefore, tobserved &gt; ttable (8,35 &gt; 1,71). It showed that there is significant different score of students‘ achievement in writing descriptive text that was taught through mind mapping technique before and after given treatment. It can be concluded that using Mind Mapping technique was effective in writing descriptive paragraph of the eighth grade students at SMP Terbuka Kec. Senen The researcher also hopes that this research will be useful to share knowledge about the use of mind mapping for writing descriptive text, especially for students, teachers, others researchers and readers.","author":[{"dropping-particle":"","family":"Mardiana","given":"Mellyana Eka","non-dropping-particle":"","parse-names":false,"suffix":""},{"dropping-particle":"","family":"Adinda","given":"Rizki Aulia","non-dropping-particle":"","parse-names":false,"suffix":""},{"dropping-particle":"","family":"Isnaini","given":"Nurul Liza","non-dropping-particle":"","parse-names":false,"suffix":""}],"container-title":"Jurnal Social and Sains (SOSAINS)","id":"ITEM-6","issued":{"date-parts":[["2021"]]},"page":"598-609","title":"Analisis Faktor Keberhasilan Implementasi E-Government di Bandung, Batam, dan Surabaya","type":"article-journal","volume":"1"},"uris":["http://www.mendeley.com/documents/?uuid=4316731e-ab41-4d9b-b0d8-3d8a427ef65c"]},{"id":"ITEM-7","itemData":{"DOI":"10.1088/1755-1315/717/1/012047","ISSN":"17551315","abstract":"The problem in this research is that public services are still manual because the websites in each agency are still inadequate to provide online services, the condition of the website cannot be accessed, many pages are blank and the news displayed is not up to date, this indicates that the website of the agency from The Regional Work Units in Enrekang Regency has not met the standards set by Diskominfo in 2017. The purpose of this study is to see the quality of the website in terms of transparency, effectiveness, and efficiency. Moreover, to see the role of social media in the application of website-based e-government in the Enrekang District Work Unit (SKPD). Research using quantitative methods. The data in the study used online media from the Enrekang Regency website by looking at specific criteria from the agency website of the Regional Work Unit. The technique for calculating existing data is that if there is data available, it will be given a score of 1 and if the information is not available on the website it will be given a score of 0. The results of this study, the websites of local government agencies, are not transparent, ineffective, and inefficient. The role of social media is also not influential because there is no feedback provided by the government on input and questions given by the public.","author":[{"dropping-particle":"","family":"Ahmad","given":"Jamaluddin","non-dropping-particle":"","parse-names":false,"suffix":""},{"dropping-particle":"","family":"Hardianti","given":"","non-dropping-particle":"","parse-names":false,"suffix":""},{"dropping-particle":"","family":"Nilwana","given":"Andi","non-dropping-particle":"","parse-names":false,"suffix":""},{"dropping-particle":"","family":"Muliani","given":"","non-dropping-particle":"","parse-names":false,"suffix":""},{"dropping-particle":"","family":"Hamid","given":"Hariyanti","non-dropping-particle":"","parse-names":false,"suffix":""}],"container-title":"IOP Conference Series: Earth and Environmental Science","id":"ITEM-7","issue":"1","issued":{"date-parts":[["2021"]]},"title":"Digitalization Era: Website Based E-Government","type":"article-journal","volume":"717"},"uris":["http://www.mendeley.com/documents/?uuid=71255fea-129b-4110-be28-29c56fec6d69"]}],"mendeley":{"formattedCitation":"(Ahmad et al., 2021; Luh et al., 2021; Lykidis et al., 2021; Mardiana et al., 2021; Minin &amp; Leo, 2021; Priyashantha &amp; Dilhani, 2022; Sadik-Zada et al., 2022)","plainTextFormattedCitation":"(Ahmad et al., 2021; Luh et al., 2021; Lykidis et al., 2021; Mardiana et al., 2021; Minin &amp; Leo, 2021; Priyashantha &amp; Dilhani, 2022; Sadik-Zada et al., 2022)","previouslyFormattedCitation":"(Ahmad et al., 2021; Luh et al., 2021; Lykidis et al., 2021; Mardiana et al., 2021; Minin &amp; Leo, 2021; Priyashantha &amp; Dilhani, 2022; Sadik-Zada et al., 2022)"},"properties":{"noteIndex":0},"schema":"https://github.com/citation-style-language/schema/raw/master/csl-citation.json"}</w:instrText>
      </w:r>
      <w:r w:rsidRPr="00F139D9">
        <w:rPr>
          <w:rFonts w:ascii="Athelas" w:hAnsi="Athelas"/>
          <w:noProof/>
          <w:color w:val="000000" w:themeColor="text1"/>
          <w:lang w:val="id-ID"/>
        </w:rPr>
        <w:fldChar w:fldCharType="separate"/>
      </w:r>
      <w:r w:rsidRPr="00F139D9">
        <w:rPr>
          <w:rFonts w:ascii="Athelas" w:hAnsi="Athelas"/>
          <w:noProof/>
          <w:color w:val="000000" w:themeColor="text1"/>
          <w:lang w:val="id-ID"/>
        </w:rPr>
        <w:t xml:space="preserve">(Ahmad et al., 2021; Luh et al., 2021; Lykidis et al., 2021; Mardiana et al., 2021; Minin &amp; Leo, 2021; Priyashantha &amp; Dilhani, </w:t>
      </w:r>
      <w:r w:rsidRPr="00F139D9">
        <w:rPr>
          <w:rFonts w:ascii="Athelas" w:hAnsi="Athelas"/>
          <w:noProof/>
          <w:color w:val="000000" w:themeColor="text1"/>
          <w:lang w:val="id-ID"/>
        </w:rPr>
        <w:lastRenderedPageBreak/>
        <w:t>2022; Sadik-Zada et al., 2022)</w:t>
      </w:r>
      <w:r w:rsidRPr="00F139D9">
        <w:rPr>
          <w:rFonts w:ascii="Athelas" w:hAnsi="Athelas"/>
          <w:noProof/>
          <w:color w:val="000000" w:themeColor="text1"/>
          <w:lang w:val="id-ID"/>
        </w:rPr>
        <w:fldChar w:fldCharType="end"/>
      </w:r>
      <w:r w:rsidRPr="00F139D9">
        <w:rPr>
          <w:rFonts w:ascii="Athelas" w:hAnsi="Athelas"/>
          <w:noProof/>
          <w:color w:val="000000" w:themeColor="text1"/>
          <w:lang w:val="id-ID"/>
        </w:rPr>
        <w:t>.</w:t>
      </w:r>
      <w:r>
        <w:rPr>
          <w:rFonts w:ascii="Athelas" w:hAnsi="Athelas"/>
          <w:noProof/>
          <w:color w:val="000000" w:themeColor="text1"/>
          <w:lang w:val="id-ID"/>
        </w:rPr>
        <w:t xml:space="preserve"> </w:t>
      </w:r>
      <w:r w:rsidRPr="00F139D9">
        <w:rPr>
          <w:rFonts w:ascii="Athelas" w:hAnsi="Athelas"/>
          <w:color w:val="000000" w:themeColor="text1"/>
        </w:rPr>
        <w:t>Based on the E-Government Development Index (EG</w:t>
      </w:r>
      <w:r w:rsidR="009B7ECF">
        <w:rPr>
          <w:rFonts w:ascii="Athelas" w:hAnsi="Athelas"/>
          <w:color w:val="000000" w:themeColor="text1"/>
          <w:lang w:val="id-ID"/>
        </w:rPr>
        <w:t>D</w:t>
      </w:r>
      <w:r w:rsidRPr="00F139D9">
        <w:rPr>
          <w:rFonts w:ascii="Athelas" w:hAnsi="Athelas"/>
          <w:color w:val="000000" w:themeColor="text1"/>
        </w:rPr>
        <w:t>I) indicators of the seven countries selected in this study, namely the Human Capital Index (HCI), Online Service Index (OSI), and Telecommunications Infrastructure Index (TII), the following can be seen:</w:t>
      </w:r>
    </w:p>
    <w:p w14:paraId="58BE653B" w14:textId="540AC7E5" w:rsidR="001612BD" w:rsidRPr="00F139D9" w:rsidRDefault="001612BD" w:rsidP="001612BD">
      <w:pPr>
        <w:pStyle w:val="NormalWeb"/>
        <w:spacing w:line="276" w:lineRule="auto"/>
        <w:ind w:firstLine="720"/>
        <w:jc w:val="both"/>
        <w:rPr>
          <w:rFonts w:ascii="Athelas" w:hAnsi="Athelas"/>
          <w:color w:val="000000" w:themeColor="text1"/>
        </w:rPr>
      </w:pPr>
      <w:r w:rsidRPr="00F139D9">
        <w:rPr>
          <w:rFonts w:ascii="Athelas" w:hAnsi="Athelas"/>
          <w:color w:val="000000" w:themeColor="text1"/>
        </w:rPr>
        <w:t>Table 1. The Seven selected Asian countries with the E-Government Development Index (EG</w:t>
      </w:r>
      <w:r w:rsidR="009B7ECF">
        <w:rPr>
          <w:rFonts w:ascii="Athelas" w:hAnsi="Athelas"/>
          <w:color w:val="000000" w:themeColor="text1"/>
          <w:lang w:val="id-ID"/>
        </w:rPr>
        <w:t>D</w:t>
      </w:r>
      <w:r w:rsidRPr="00F139D9">
        <w:rPr>
          <w:rFonts w:ascii="Athelas" w:hAnsi="Athelas"/>
          <w:color w:val="000000" w:themeColor="text1"/>
        </w:rPr>
        <w:t>I) score of 2020</w:t>
      </w:r>
    </w:p>
    <w:tbl>
      <w:tblPr>
        <w:tblStyle w:val="TableGrid"/>
        <w:tblpPr w:leftFromText="180" w:rightFromText="180" w:vertAnchor="text" w:horzAnchor="margin" w:tblpXSpec="center" w:tblpY="72"/>
        <w:tblOverlap w:val="never"/>
        <w:tblW w:w="55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53"/>
        <w:gridCol w:w="925"/>
        <w:gridCol w:w="914"/>
        <w:gridCol w:w="2245"/>
        <w:gridCol w:w="697"/>
      </w:tblGrid>
      <w:tr w:rsidR="001612BD" w:rsidRPr="00F139D9" w14:paraId="747A5C6B" w14:textId="77777777" w:rsidTr="00650253">
        <w:trPr>
          <w:trHeight w:val="851"/>
        </w:trPr>
        <w:tc>
          <w:tcPr>
            <w:tcW w:w="1297" w:type="dxa"/>
          </w:tcPr>
          <w:p w14:paraId="1B3E6F8A" w14:textId="77777777" w:rsidR="001612BD" w:rsidRPr="00F139D9" w:rsidRDefault="001612BD" w:rsidP="009B7ECF">
            <w:pPr>
              <w:spacing w:line="276" w:lineRule="auto"/>
              <w:jc w:val="center"/>
              <w:rPr>
                <w:rFonts w:ascii="Athelas" w:hAnsi="Athelas"/>
                <w:color w:val="000000" w:themeColor="text1"/>
              </w:rPr>
            </w:pPr>
          </w:p>
          <w:p w14:paraId="4549B236" w14:textId="77777777" w:rsidR="001612BD" w:rsidRPr="00F139D9" w:rsidRDefault="001612BD" w:rsidP="009B7ECF">
            <w:pPr>
              <w:spacing w:line="276" w:lineRule="auto"/>
              <w:jc w:val="center"/>
              <w:rPr>
                <w:rFonts w:ascii="Athelas" w:hAnsi="Athelas"/>
                <w:color w:val="000000" w:themeColor="text1"/>
                <w:lang w:val="id-ID"/>
              </w:rPr>
            </w:pPr>
            <w:r w:rsidRPr="00F139D9">
              <w:rPr>
                <w:rFonts w:ascii="Athelas" w:hAnsi="Athelas"/>
                <w:color w:val="000000" w:themeColor="text1"/>
              </w:rPr>
              <w:t>Countr</w:t>
            </w:r>
            <w:r w:rsidRPr="00F139D9">
              <w:rPr>
                <w:rFonts w:ascii="Athelas" w:hAnsi="Athelas"/>
                <w:color w:val="000000" w:themeColor="text1"/>
                <w:lang w:val="id-ID"/>
              </w:rPr>
              <w:t>y</w:t>
            </w:r>
          </w:p>
        </w:tc>
        <w:tc>
          <w:tcPr>
            <w:tcW w:w="923" w:type="dxa"/>
          </w:tcPr>
          <w:p w14:paraId="37469A7C" w14:textId="77777777" w:rsidR="001612BD" w:rsidRPr="00F139D9" w:rsidRDefault="001612BD" w:rsidP="009B7ECF">
            <w:pPr>
              <w:spacing w:line="276" w:lineRule="auto"/>
              <w:jc w:val="center"/>
              <w:rPr>
                <w:rFonts w:ascii="Athelas" w:hAnsi="Athelas"/>
                <w:color w:val="000000" w:themeColor="text1"/>
              </w:rPr>
            </w:pPr>
            <w:r w:rsidRPr="00F139D9">
              <w:rPr>
                <w:rFonts w:ascii="Athelas" w:hAnsi="Athelas"/>
                <w:color w:val="000000" w:themeColor="text1"/>
              </w:rPr>
              <w:t>Human Capital Index (HCI):</w:t>
            </w:r>
          </w:p>
        </w:tc>
        <w:tc>
          <w:tcPr>
            <w:tcW w:w="1043" w:type="dxa"/>
          </w:tcPr>
          <w:p w14:paraId="2AA14ADC" w14:textId="77777777" w:rsidR="001612BD" w:rsidRPr="00F139D9" w:rsidRDefault="001612BD" w:rsidP="009B7ECF">
            <w:pPr>
              <w:spacing w:line="276" w:lineRule="auto"/>
              <w:jc w:val="center"/>
              <w:rPr>
                <w:rFonts w:ascii="Athelas" w:hAnsi="Athelas"/>
                <w:color w:val="000000" w:themeColor="text1"/>
              </w:rPr>
            </w:pPr>
            <w:r w:rsidRPr="00F139D9">
              <w:rPr>
                <w:rFonts w:ascii="Athelas" w:hAnsi="Athelas"/>
                <w:color w:val="000000" w:themeColor="text1"/>
              </w:rPr>
              <w:t>Online Service Index (OSI),</w:t>
            </w:r>
          </w:p>
        </w:tc>
        <w:tc>
          <w:tcPr>
            <w:tcW w:w="1683" w:type="dxa"/>
          </w:tcPr>
          <w:p w14:paraId="08C19C2A" w14:textId="77777777" w:rsidR="001612BD" w:rsidRPr="00F139D9" w:rsidRDefault="001612BD" w:rsidP="009B7ECF">
            <w:pPr>
              <w:spacing w:line="276" w:lineRule="auto"/>
              <w:jc w:val="center"/>
              <w:rPr>
                <w:rFonts w:ascii="Athelas" w:hAnsi="Athelas"/>
                <w:color w:val="000000" w:themeColor="text1"/>
              </w:rPr>
            </w:pPr>
            <w:r w:rsidRPr="00F139D9">
              <w:rPr>
                <w:rFonts w:ascii="Athelas" w:hAnsi="Athelas"/>
                <w:color w:val="000000" w:themeColor="text1"/>
              </w:rPr>
              <w:t>Telecommunications Infrastructure Index (TII)</w:t>
            </w:r>
          </w:p>
        </w:tc>
        <w:tc>
          <w:tcPr>
            <w:tcW w:w="643" w:type="dxa"/>
          </w:tcPr>
          <w:p w14:paraId="06909A41" w14:textId="77777777" w:rsidR="001612BD" w:rsidRPr="00F139D9" w:rsidRDefault="001612BD" w:rsidP="009B7ECF">
            <w:pPr>
              <w:spacing w:line="276" w:lineRule="auto"/>
              <w:jc w:val="center"/>
              <w:rPr>
                <w:rFonts w:ascii="Athelas" w:hAnsi="Athelas"/>
                <w:color w:val="000000" w:themeColor="text1"/>
              </w:rPr>
            </w:pPr>
            <w:r w:rsidRPr="00F139D9">
              <w:rPr>
                <w:rFonts w:ascii="Athelas" w:hAnsi="Athelas"/>
                <w:color w:val="000000" w:themeColor="text1"/>
                <w:lang w:val="id-ID"/>
              </w:rPr>
              <w:t>Ra</w:t>
            </w:r>
            <w:proofErr w:type="spellStart"/>
            <w:r w:rsidRPr="00F139D9">
              <w:rPr>
                <w:rFonts w:ascii="Athelas" w:hAnsi="Athelas"/>
                <w:color w:val="000000" w:themeColor="text1"/>
              </w:rPr>
              <w:t>nk</w:t>
            </w:r>
            <w:proofErr w:type="spellEnd"/>
          </w:p>
        </w:tc>
      </w:tr>
      <w:tr w:rsidR="001612BD" w:rsidRPr="00F139D9" w14:paraId="07A66F1E" w14:textId="77777777" w:rsidTr="00650253">
        <w:trPr>
          <w:trHeight w:val="437"/>
        </w:trPr>
        <w:tc>
          <w:tcPr>
            <w:tcW w:w="1297" w:type="dxa"/>
          </w:tcPr>
          <w:p w14:paraId="1538668A" w14:textId="77777777" w:rsidR="001612BD" w:rsidRPr="00F139D9" w:rsidRDefault="001612BD" w:rsidP="00650253">
            <w:pPr>
              <w:spacing w:line="276" w:lineRule="auto"/>
              <w:jc w:val="both"/>
              <w:rPr>
                <w:rFonts w:ascii="Athelas" w:hAnsi="Athelas"/>
                <w:color w:val="000000" w:themeColor="text1"/>
              </w:rPr>
            </w:pPr>
            <w:r w:rsidRPr="00F139D9">
              <w:rPr>
                <w:rFonts w:ascii="Athelas" w:hAnsi="Athelas"/>
                <w:color w:val="000000" w:themeColor="text1"/>
              </w:rPr>
              <w:t>Singapura</w:t>
            </w:r>
          </w:p>
        </w:tc>
        <w:tc>
          <w:tcPr>
            <w:tcW w:w="923" w:type="dxa"/>
          </w:tcPr>
          <w:p w14:paraId="2FC284BD" w14:textId="77777777" w:rsidR="001612BD" w:rsidRPr="00F139D9" w:rsidRDefault="001612BD" w:rsidP="00650253">
            <w:pPr>
              <w:spacing w:line="276" w:lineRule="auto"/>
              <w:jc w:val="both"/>
              <w:rPr>
                <w:rFonts w:ascii="Athelas" w:hAnsi="Athelas"/>
                <w:color w:val="000000" w:themeColor="text1"/>
                <w:lang w:val="id-ID"/>
              </w:rPr>
            </w:pPr>
            <w:r w:rsidRPr="00F139D9">
              <w:rPr>
                <w:rFonts w:ascii="Athelas" w:hAnsi="Athelas"/>
                <w:color w:val="000000" w:themeColor="text1"/>
                <w:lang w:val="id-ID"/>
              </w:rPr>
              <w:t>6.183</w:t>
            </w:r>
          </w:p>
        </w:tc>
        <w:tc>
          <w:tcPr>
            <w:tcW w:w="1043" w:type="dxa"/>
          </w:tcPr>
          <w:p w14:paraId="546B20DF" w14:textId="77777777" w:rsidR="001612BD" w:rsidRPr="00F139D9" w:rsidRDefault="001612BD" w:rsidP="00650253">
            <w:pPr>
              <w:spacing w:line="276" w:lineRule="auto"/>
              <w:jc w:val="both"/>
              <w:rPr>
                <w:rFonts w:ascii="Athelas" w:hAnsi="Athelas"/>
                <w:color w:val="000000" w:themeColor="text1"/>
                <w:lang w:val="id-ID"/>
              </w:rPr>
            </w:pPr>
            <w:r w:rsidRPr="00F139D9">
              <w:rPr>
                <w:rFonts w:ascii="Athelas" w:hAnsi="Athelas"/>
                <w:color w:val="000000" w:themeColor="text1"/>
                <w:lang w:val="id-ID"/>
              </w:rPr>
              <w:t>6.699</w:t>
            </w:r>
          </w:p>
        </w:tc>
        <w:tc>
          <w:tcPr>
            <w:tcW w:w="1683" w:type="dxa"/>
          </w:tcPr>
          <w:p w14:paraId="2CD8FF87" w14:textId="77777777" w:rsidR="001612BD" w:rsidRPr="00F139D9" w:rsidRDefault="001612BD" w:rsidP="00650253">
            <w:pPr>
              <w:spacing w:line="276" w:lineRule="auto"/>
              <w:jc w:val="both"/>
              <w:rPr>
                <w:rFonts w:ascii="Athelas" w:hAnsi="Athelas"/>
                <w:color w:val="000000" w:themeColor="text1"/>
                <w:lang w:val="id-ID"/>
              </w:rPr>
            </w:pPr>
            <w:r w:rsidRPr="00F139D9">
              <w:rPr>
                <w:rFonts w:ascii="Athelas" w:hAnsi="Athelas"/>
                <w:color w:val="000000" w:themeColor="text1"/>
                <w:lang w:val="id-ID"/>
              </w:rPr>
              <w:t>6.179</w:t>
            </w:r>
          </w:p>
        </w:tc>
        <w:tc>
          <w:tcPr>
            <w:tcW w:w="643" w:type="dxa"/>
          </w:tcPr>
          <w:p w14:paraId="1BCFA2D4" w14:textId="77777777" w:rsidR="001612BD" w:rsidRPr="00F139D9" w:rsidRDefault="001612BD" w:rsidP="00650253">
            <w:pPr>
              <w:spacing w:line="276" w:lineRule="auto"/>
              <w:jc w:val="both"/>
              <w:rPr>
                <w:rFonts w:ascii="Athelas" w:hAnsi="Athelas"/>
                <w:color w:val="000000" w:themeColor="text1"/>
              </w:rPr>
            </w:pPr>
            <w:r w:rsidRPr="00F139D9">
              <w:rPr>
                <w:rFonts w:ascii="Athelas" w:hAnsi="Athelas"/>
                <w:color w:val="000000" w:themeColor="text1"/>
              </w:rPr>
              <w:t>11</w:t>
            </w:r>
          </w:p>
        </w:tc>
      </w:tr>
      <w:tr w:rsidR="001612BD" w:rsidRPr="00F139D9" w14:paraId="7A84318D" w14:textId="77777777" w:rsidTr="00650253">
        <w:trPr>
          <w:trHeight w:val="477"/>
        </w:trPr>
        <w:tc>
          <w:tcPr>
            <w:tcW w:w="1297" w:type="dxa"/>
          </w:tcPr>
          <w:p w14:paraId="17018C0C" w14:textId="77777777" w:rsidR="001612BD" w:rsidRPr="00F139D9" w:rsidRDefault="001612BD" w:rsidP="00650253">
            <w:pPr>
              <w:spacing w:line="276" w:lineRule="auto"/>
              <w:jc w:val="both"/>
              <w:rPr>
                <w:rFonts w:ascii="Athelas" w:hAnsi="Athelas"/>
                <w:color w:val="000000" w:themeColor="text1"/>
              </w:rPr>
            </w:pPr>
            <w:r w:rsidRPr="00F139D9">
              <w:rPr>
                <w:rFonts w:ascii="Athelas" w:hAnsi="Athelas"/>
                <w:color w:val="000000" w:themeColor="text1"/>
              </w:rPr>
              <w:t>Brun</w:t>
            </w:r>
            <w:r w:rsidRPr="00F139D9">
              <w:rPr>
                <w:rFonts w:ascii="Athelas" w:hAnsi="Athelas"/>
                <w:color w:val="000000" w:themeColor="text1"/>
                <w:lang w:val="id-ID"/>
              </w:rPr>
              <w:t>ei</w:t>
            </w:r>
            <w:r w:rsidRPr="00F139D9">
              <w:rPr>
                <w:rFonts w:ascii="Athelas" w:hAnsi="Athelas"/>
                <w:color w:val="000000" w:themeColor="text1"/>
              </w:rPr>
              <w:t xml:space="preserve"> Darus</w:t>
            </w:r>
            <w:r w:rsidRPr="00F139D9">
              <w:rPr>
                <w:rFonts w:ascii="Athelas" w:hAnsi="Athelas"/>
                <w:color w:val="000000" w:themeColor="text1"/>
                <w:lang w:val="id-ID"/>
              </w:rPr>
              <w:t>s</w:t>
            </w:r>
            <w:proofErr w:type="spellStart"/>
            <w:r w:rsidRPr="00F139D9">
              <w:rPr>
                <w:rFonts w:ascii="Athelas" w:hAnsi="Athelas"/>
                <w:color w:val="000000" w:themeColor="text1"/>
              </w:rPr>
              <w:t>alam</w:t>
            </w:r>
            <w:proofErr w:type="spellEnd"/>
          </w:p>
        </w:tc>
        <w:tc>
          <w:tcPr>
            <w:tcW w:w="923" w:type="dxa"/>
          </w:tcPr>
          <w:p w14:paraId="31665A0A" w14:textId="77777777" w:rsidR="001612BD" w:rsidRPr="00F139D9" w:rsidRDefault="001612BD" w:rsidP="00650253">
            <w:pPr>
              <w:spacing w:line="276" w:lineRule="auto"/>
              <w:jc w:val="both"/>
              <w:rPr>
                <w:rFonts w:ascii="Athelas" w:hAnsi="Athelas"/>
                <w:color w:val="000000" w:themeColor="text1"/>
                <w:lang w:val="id-ID"/>
              </w:rPr>
            </w:pPr>
            <w:r w:rsidRPr="00F139D9">
              <w:rPr>
                <w:rFonts w:ascii="Athelas" w:hAnsi="Athelas"/>
                <w:color w:val="000000" w:themeColor="text1"/>
                <w:lang w:val="id-ID"/>
              </w:rPr>
              <w:t>5.281</w:t>
            </w:r>
          </w:p>
        </w:tc>
        <w:tc>
          <w:tcPr>
            <w:tcW w:w="1043" w:type="dxa"/>
          </w:tcPr>
          <w:p w14:paraId="3E98F585" w14:textId="77777777" w:rsidR="001612BD" w:rsidRPr="00F139D9" w:rsidRDefault="001612BD" w:rsidP="00650253">
            <w:pPr>
              <w:spacing w:line="276" w:lineRule="auto"/>
              <w:jc w:val="both"/>
              <w:rPr>
                <w:rFonts w:ascii="Athelas" w:hAnsi="Athelas"/>
                <w:color w:val="000000" w:themeColor="text1"/>
                <w:lang w:val="id-ID"/>
              </w:rPr>
            </w:pPr>
            <w:r w:rsidRPr="00F139D9">
              <w:rPr>
                <w:rFonts w:ascii="Athelas" w:hAnsi="Athelas"/>
                <w:color w:val="000000" w:themeColor="text1"/>
                <w:lang w:val="id-ID"/>
              </w:rPr>
              <w:t>4.411</w:t>
            </w:r>
          </w:p>
        </w:tc>
        <w:tc>
          <w:tcPr>
            <w:tcW w:w="1683" w:type="dxa"/>
          </w:tcPr>
          <w:p w14:paraId="0D0FB886" w14:textId="77777777" w:rsidR="001612BD" w:rsidRPr="00F139D9" w:rsidRDefault="001612BD" w:rsidP="00650253">
            <w:pPr>
              <w:spacing w:line="276" w:lineRule="auto"/>
              <w:jc w:val="both"/>
              <w:rPr>
                <w:rFonts w:ascii="Athelas" w:hAnsi="Athelas"/>
                <w:color w:val="000000" w:themeColor="text1"/>
                <w:lang w:val="id-ID"/>
              </w:rPr>
            </w:pPr>
            <w:r w:rsidRPr="00F139D9">
              <w:rPr>
                <w:rFonts w:ascii="Athelas" w:hAnsi="Athelas"/>
                <w:color w:val="000000" w:themeColor="text1"/>
                <w:lang w:val="id-ID"/>
              </w:rPr>
              <w:t>5.700</w:t>
            </w:r>
          </w:p>
        </w:tc>
        <w:tc>
          <w:tcPr>
            <w:tcW w:w="643" w:type="dxa"/>
          </w:tcPr>
          <w:p w14:paraId="2F26B1EA" w14:textId="77777777" w:rsidR="001612BD" w:rsidRPr="00F139D9" w:rsidRDefault="001612BD" w:rsidP="00650253">
            <w:pPr>
              <w:spacing w:line="276" w:lineRule="auto"/>
              <w:jc w:val="both"/>
              <w:rPr>
                <w:rFonts w:ascii="Athelas" w:hAnsi="Athelas"/>
                <w:color w:val="000000" w:themeColor="text1"/>
              </w:rPr>
            </w:pPr>
            <w:r w:rsidRPr="00F139D9">
              <w:rPr>
                <w:rFonts w:ascii="Athelas" w:hAnsi="Athelas"/>
                <w:color w:val="000000" w:themeColor="text1"/>
              </w:rPr>
              <w:t>60</w:t>
            </w:r>
          </w:p>
        </w:tc>
      </w:tr>
      <w:tr w:rsidR="001612BD" w:rsidRPr="00F139D9" w14:paraId="2A4C6E34" w14:textId="77777777" w:rsidTr="00650253">
        <w:trPr>
          <w:trHeight w:val="437"/>
        </w:trPr>
        <w:tc>
          <w:tcPr>
            <w:tcW w:w="1297" w:type="dxa"/>
          </w:tcPr>
          <w:p w14:paraId="3C6DDC5E" w14:textId="77777777" w:rsidR="001612BD" w:rsidRPr="00F139D9" w:rsidRDefault="001612BD" w:rsidP="00650253">
            <w:pPr>
              <w:spacing w:line="276" w:lineRule="auto"/>
              <w:jc w:val="both"/>
              <w:rPr>
                <w:rFonts w:ascii="Athelas" w:hAnsi="Athelas"/>
                <w:color w:val="000000" w:themeColor="text1"/>
              </w:rPr>
            </w:pPr>
            <w:r w:rsidRPr="00F139D9">
              <w:rPr>
                <w:rFonts w:ascii="Athelas" w:hAnsi="Athelas"/>
                <w:color w:val="000000" w:themeColor="text1"/>
              </w:rPr>
              <w:t>Ma</w:t>
            </w:r>
            <w:r w:rsidRPr="00F139D9">
              <w:rPr>
                <w:rFonts w:ascii="Athelas" w:hAnsi="Athelas"/>
                <w:color w:val="000000" w:themeColor="text1"/>
                <w:lang w:val="id-ID"/>
              </w:rPr>
              <w:t>laysi</w:t>
            </w:r>
            <w:r w:rsidRPr="00F139D9">
              <w:rPr>
                <w:rFonts w:ascii="Athelas" w:hAnsi="Athelas"/>
                <w:color w:val="000000" w:themeColor="text1"/>
              </w:rPr>
              <w:t>a</w:t>
            </w:r>
          </w:p>
        </w:tc>
        <w:tc>
          <w:tcPr>
            <w:tcW w:w="923" w:type="dxa"/>
          </w:tcPr>
          <w:p w14:paraId="5DABDC96" w14:textId="77777777" w:rsidR="001612BD" w:rsidRPr="00F139D9" w:rsidRDefault="001612BD" w:rsidP="00650253">
            <w:pPr>
              <w:spacing w:line="276" w:lineRule="auto"/>
              <w:jc w:val="both"/>
              <w:rPr>
                <w:rFonts w:ascii="Athelas" w:hAnsi="Athelas"/>
                <w:color w:val="000000" w:themeColor="text1"/>
                <w:lang w:val="id-ID"/>
              </w:rPr>
            </w:pPr>
            <w:r w:rsidRPr="00F139D9">
              <w:rPr>
                <w:rFonts w:ascii="Athelas" w:hAnsi="Athelas"/>
                <w:color w:val="000000" w:themeColor="text1"/>
                <w:lang w:val="id-ID"/>
              </w:rPr>
              <w:t>5.217</w:t>
            </w:r>
          </w:p>
        </w:tc>
        <w:tc>
          <w:tcPr>
            <w:tcW w:w="1043" w:type="dxa"/>
          </w:tcPr>
          <w:p w14:paraId="253A498D" w14:textId="77777777" w:rsidR="001612BD" w:rsidRPr="00F139D9" w:rsidRDefault="001612BD" w:rsidP="00650253">
            <w:pPr>
              <w:spacing w:line="276" w:lineRule="auto"/>
              <w:jc w:val="both"/>
              <w:rPr>
                <w:rFonts w:ascii="Athelas" w:hAnsi="Athelas"/>
                <w:color w:val="000000" w:themeColor="text1"/>
                <w:lang w:val="id-ID"/>
              </w:rPr>
            </w:pPr>
            <w:r w:rsidRPr="00F139D9">
              <w:rPr>
                <w:rFonts w:ascii="Athelas" w:hAnsi="Athelas"/>
                <w:color w:val="000000" w:themeColor="text1"/>
                <w:lang w:val="id-ID"/>
              </w:rPr>
              <w:t>5.922</w:t>
            </w:r>
          </w:p>
        </w:tc>
        <w:tc>
          <w:tcPr>
            <w:tcW w:w="1683" w:type="dxa"/>
          </w:tcPr>
          <w:p w14:paraId="48245EA5" w14:textId="77777777" w:rsidR="001612BD" w:rsidRPr="00F139D9" w:rsidRDefault="001612BD" w:rsidP="00650253">
            <w:pPr>
              <w:spacing w:line="276" w:lineRule="auto"/>
              <w:jc w:val="both"/>
              <w:rPr>
                <w:rFonts w:ascii="Athelas" w:hAnsi="Athelas"/>
                <w:color w:val="000000" w:themeColor="text1"/>
                <w:lang w:val="id-ID"/>
              </w:rPr>
            </w:pPr>
            <w:r w:rsidRPr="00F139D9">
              <w:rPr>
                <w:rFonts w:ascii="Athelas" w:hAnsi="Athelas"/>
                <w:color w:val="000000" w:themeColor="text1"/>
                <w:lang w:val="id-ID"/>
              </w:rPr>
              <w:t>5.301</w:t>
            </w:r>
          </w:p>
        </w:tc>
        <w:tc>
          <w:tcPr>
            <w:tcW w:w="643" w:type="dxa"/>
          </w:tcPr>
          <w:p w14:paraId="364FB12A" w14:textId="77777777" w:rsidR="001612BD" w:rsidRPr="00F139D9" w:rsidRDefault="001612BD" w:rsidP="00650253">
            <w:pPr>
              <w:spacing w:line="276" w:lineRule="auto"/>
              <w:jc w:val="both"/>
              <w:rPr>
                <w:rFonts w:ascii="Athelas" w:hAnsi="Athelas"/>
                <w:color w:val="000000" w:themeColor="text1"/>
              </w:rPr>
            </w:pPr>
            <w:r w:rsidRPr="00F139D9">
              <w:rPr>
                <w:rFonts w:ascii="Athelas" w:hAnsi="Athelas"/>
                <w:color w:val="000000" w:themeColor="text1"/>
              </w:rPr>
              <w:t>47</w:t>
            </w:r>
          </w:p>
        </w:tc>
      </w:tr>
      <w:tr w:rsidR="001612BD" w:rsidRPr="00F139D9" w14:paraId="1CC75487" w14:textId="77777777" w:rsidTr="00650253">
        <w:trPr>
          <w:trHeight w:val="437"/>
        </w:trPr>
        <w:tc>
          <w:tcPr>
            <w:tcW w:w="1297" w:type="dxa"/>
          </w:tcPr>
          <w:p w14:paraId="512C817A" w14:textId="77777777" w:rsidR="001612BD" w:rsidRPr="00F139D9" w:rsidRDefault="001612BD" w:rsidP="00650253">
            <w:pPr>
              <w:spacing w:line="276" w:lineRule="auto"/>
              <w:jc w:val="both"/>
              <w:rPr>
                <w:rFonts w:ascii="Athelas" w:hAnsi="Athelas"/>
                <w:color w:val="000000" w:themeColor="text1"/>
              </w:rPr>
            </w:pPr>
            <w:r w:rsidRPr="00F139D9">
              <w:rPr>
                <w:rFonts w:ascii="Athelas" w:hAnsi="Athelas"/>
                <w:color w:val="000000" w:themeColor="text1"/>
              </w:rPr>
              <w:t>Indonesia</w:t>
            </w:r>
          </w:p>
        </w:tc>
        <w:tc>
          <w:tcPr>
            <w:tcW w:w="923" w:type="dxa"/>
          </w:tcPr>
          <w:p w14:paraId="33701530" w14:textId="77777777" w:rsidR="001612BD" w:rsidRPr="00F139D9" w:rsidRDefault="001612BD" w:rsidP="00650253">
            <w:pPr>
              <w:spacing w:line="276" w:lineRule="auto"/>
              <w:jc w:val="both"/>
              <w:rPr>
                <w:rFonts w:ascii="Athelas" w:hAnsi="Athelas"/>
                <w:color w:val="000000" w:themeColor="text1"/>
                <w:lang w:val="id-ID"/>
              </w:rPr>
            </w:pPr>
            <w:r w:rsidRPr="00F139D9">
              <w:rPr>
                <w:rFonts w:ascii="Athelas" w:hAnsi="Athelas"/>
                <w:color w:val="000000" w:themeColor="text1"/>
                <w:lang w:val="id-ID"/>
              </w:rPr>
              <w:t>5.098</w:t>
            </w:r>
          </w:p>
        </w:tc>
        <w:tc>
          <w:tcPr>
            <w:tcW w:w="1043" w:type="dxa"/>
          </w:tcPr>
          <w:p w14:paraId="6DE9B38B" w14:textId="77777777" w:rsidR="001612BD" w:rsidRPr="00F139D9" w:rsidRDefault="001612BD" w:rsidP="00650253">
            <w:pPr>
              <w:spacing w:line="276" w:lineRule="auto"/>
              <w:jc w:val="both"/>
              <w:rPr>
                <w:rFonts w:ascii="Athelas" w:hAnsi="Athelas"/>
                <w:color w:val="000000" w:themeColor="text1"/>
                <w:lang w:val="id-ID"/>
              </w:rPr>
            </w:pPr>
            <w:r w:rsidRPr="00F139D9">
              <w:rPr>
                <w:rFonts w:ascii="Athelas" w:hAnsi="Athelas"/>
                <w:color w:val="000000" w:themeColor="text1"/>
                <w:lang w:val="id-ID"/>
              </w:rPr>
              <w:t>4.738</w:t>
            </w:r>
          </w:p>
        </w:tc>
        <w:tc>
          <w:tcPr>
            <w:tcW w:w="1683" w:type="dxa"/>
          </w:tcPr>
          <w:p w14:paraId="3999C4EC" w14:textId="77777777" w:rsidR="001612BD" w:rsidRPr="00F139D9" w:rsidRDefault="001612BD" w:rsidP="00650253">
            <w:pPr>
              <w:spacing w:line="276" w:lineRule="auto"/>
              <w:jc w:val="both"/>
              <w:rPr>
                <w:rFonts w:ascii="Athelas" w:hAnsi="Athelas"/>
                <w:color w:val="000000" w:themeColor="text1"/>
                <w:lang w:val="id-ID"/>
              </w:rPr>
            </w:pPr>
            <w:r w:rsidRPr="00F139D9">
              <w:rPr>
                <w:rFonts w:ascii="Athelas" w:hAnsi="Athelas"/>
                <w:color w:val="000000" w:themeColor="text1"/>
                <w:lang w:val="id-ID"/>
              </w:rPr>
              <w:t>3.936</w:t>
            </w:r>
          </w:p>
        </w:tc>
        <w:tc>
          <w:tcPr>
            <w:tcW w:w="643" w:type="dxa"/>
          </w:tcPr>
          <w:p w14:paraId="5B245B16" w14:textId="77777777" w:rsidR="001612BD" w:rsidRPr="00F139D9" w:rsidRDefault="001612BD" w:rsidP="00650253">
            <w:pPr>
              <w:spacing w:line="276" w:lineRule="auto"/>
              <w:jc w:val="both"/>
              <w:rPr>
                <w:rFonts w:ascii="Athelas" w:hAnsi="Athelas"/>
                <w:color w:val="000000" w:themeColor="text1"/>
              </w:rPr>
            </w:pPr>
            <w:r w:rsidRPr="00F139D9">
              <w:rPr>
                <w:rFonts w:ascii="Athelas" w:hAnsi="Athelas"/>
                <w:color w:val="000000" w:themeColor="text1"/>
              </w:rPr>
              <w:t>88</w:t>
            </w:r>
          </w:p>
        </w:tc>
      </w:tr>
      <w:tr w:rsidR="001612BD" w:rsidRPr="00F139D9" w14:paraId="6426D962" w14:textId="77777777" w:rsidTr="00650253">
        <w:trPr>
          <w:trHeight w:val="477"/>
        </w:trPr>
        <w:tc>
          <w:tcPr>
            <w:tcW w:w="1297" w:type="dxa"/>
          </w:tcPr>
          <w:p w14:paraId="26028A59" w14:textId="77777777" w:rsidR="001612BD" w:rsidRPr="00F139D9" w:rsidRDefault="001612BD" w:rsidP="00650253">
            <w:pPr>
              <w:spacing w:line="276" w:lineRule="auto"/>
              <w:jc w:val="both"/>
              <w:rPr>
                <w:rFonts w:ascii="Athelas" w:hAnsi="Athelas"/>
                <w:color w:val="000000" w:themeColor="text1"/>
              </w:rPr>
            </w:pPr>
            <w:r w:rsidRPr="00F139D9">
              <w:rPr>
                <w:rFonts w:ascii="Athelas" w:hAnsi="Athelas"/>
                <w:color w:val="000000" w:themeColor="text1"/>
              </w:rPr>
              <w:t>Thailand</w:t>
            </w:r>
          </w:p>
        </w:tc>
        <w:tc>
          <w:tcPr>
            <w:tcW w:w="923" w:type="dxa"/>
          </w:tcPr>
          <w:p w14:paraId="4A8240DD" w14:textId="77777777" w:rsidR="001612BD" w:rsidRPr="00F139D9" w:rsidRDefault="001612BD" w:rsidP="00650253">
            <w:pPr>
              <w:spacing w:line="276" w:lineRule="auto"/>
              <w:jc w:val="both"/>
              <w:rPr>
                <w:rFonts w:ascii="Athelas" w:hAnsi="Athelas"/>
                <w:color w:val="000000" w:themeColor="text1"/>
                <w:lang w:val="id-ID"/>
              </w:rPr>
            </w:pPr>
            <w:r w:rsidRPr="00F139D9">
              <w:rPr>
                <w:rFonts w:ascii="Athelas" w:hAnsi="Athelas"/>
                <w:color w:val="000000" w:themeColor="text1"/>
                <w:lang w:val="id-ID"/>
              </w:rPr>
              <w:t>5.382</w:t>
            </w:r>
          </w:p>
        </w:tc>
        <w:tc>
          <w:tcPr>
            <w:tcW w:w="1043" w:type="dxa"/>
          </w:tcPr>
          <w:p w14:paraId="01FF3189" w14:textId="77777777" w:rsidR="001612BD" w:rsidRPr="00F139D9" w:rsidRDefault="001612BD" w:rsidP="00650253">
            <w:pPr>
              <w:spacing w:line="276" w:lineRule="auto"/>
              <w:jc w:val="both"/>
              <w:rPr>
                <w:rFonts w:ascii="Athelas" w:hAnsi="Athelas"/>
                <w:color w:val="000000" w:themeColor="text1"/>
                <w:lang w:val="id-ID"/>
              </w:rPr>
            </w:pPr>
            <w:r w:rsidRPr="00F139D9">
              <w:rPr>
                <w:rFonts w:ascii="Athelas" w:hAnsi="Athelas"/>
                <w:color w:val="000000" w:themeColor="text1"/>
                <w:lang w:val="id-ID"/>
              </w:rPr>
              <w:t>5.514</w:t>
            </w:r>
          </w:p>
        </w:tc>
        <w:tc>
          <w:tcPr>
            <w:tcW w:w="1683" w:type="dxa"/>
          </w:tcPr>
          <w:p w14:paraId="361C00AE" w14:textId="77777777" w:rsidR="001612BD" w:rsidRPr="00F139D9" w:rsidRDefault="001612BD" w:rsidP="00650253">
            <w:pPr>
              <w:spacing w:line="276" w:lineRule="auto"/>
              <w:jc w:val="both"/>
              <w:rPr>
                <w:rFonts w:ascii="Athelas" w:hAnsi="Athelas"/>
                <w:color w:val="000000" w:themeColor="text1"/>
                <w:lang w:val="id-ID"/>
              </w:rPr>
            </w:pPr>
            <w:r w:rsidRPr="00F139D9">
              <w:rPr>
                <w:rFonts w:ascii="Athelas" w:hAnsi="Athelas"/>
                <w:color w:val="000000" w:themeColor="text1"/>
                <w:lang w:val="id-ID"/>
              </w:rPr>
              <w:t>4.863</w:t>
            </w:r>
          </w:p>
        </w:tc>
        <w:tc>
          <w:tcPr>
            <w:tcW w:w="643" w:type="dxa"/>
          </w:tcPr>
          <w:p w14:paraId="6B52D79F" w14:textId="77777777" w:rsidR="001612BD" w:rsidRPr="00F139D9" w:rsidRDefault="001612BD" w:rsidP="00650253">
            <w:pPr>
              <w:spacing w:line="276" w:lineRule="auto"/>
              <w:jc w:val="both"/>
              <w:rPr>
                <w:rFonts w:ascii="Athelas" w:hAnsi="Athelas"/>
                <w:color w:val="000000" w:themeColor="text1"/>
              </w:rPr>
            </w:pPr>
            <w:r w:rsidRPr="00F139D9">
              <w:rPr>
                <w:rFonts w:ascii="Athelas" w:hAnsi="Athelas"/>
                <w:color w:val="000000" w:themeColor="text1"/>
              </w:rPr>
              <w:t>57</w:t>
            </w:r>
          </w:p>
        </w:tc>
      </w:tr>
      <w:tr w:rsidR="001612BD" w:rsidRPr="00F139D9" w14:paraId="612A24CA" w14:textId="77777777" w:rsidTr="00650253">
        <w:trPr>
          <w:trHeight w:val="477"/>
        </w:trPr>
        <w:tc>
          <w:tcPr>
            <w:tcW w:w="1297" w:type="dxa"/>
          </w:tcPr>
          <w:p w14:paraId="416E70B9" w14:textId="77777777" w:rsidR="001612BD" w:rsidRPr="00F139D9" w:rsidRDefault="001612BD" w:rsidP="00650253">
            <w:pPr>
              <w:spacing w:line="276" w:lineRule="auto"/>
              <w:jc w:val="both"/>
              <w:rPr>
                <w:rFonts w:ascii="Athelas" w:hAnsi="Athelas"/>
                <w:color w:val="000000" w:themeColor="text1"/>
                <w:lang w:val="id-ID"/>
              </w:rPr>
            </w:pPr>
            <w:r w:rsidRPr="00F139D9">
              <w:rPr>
                <w:rFonts w:ascii="Athelas" w:hAnsi="Athelas"/>
                <w:color w:val="000000" w:themeColor="text1"/>
                <w:lang w:val="id-ID"/>
              </w:rPr>
              <w:t>Philippines</w:t>
            </w:r>
          </w:p>
        </w:tc>
        <w:tc>
          <w:tcPr>
            <w:tcW w:w="923" w:type="dxa"/>
          </w:tcPr>
          <w:p w14:paraId="44E7472B" w14:textId="77777777" w:rsidR="001612BD" w:rsidRPr="00F139D9" w:rsidRDefault="001612BD" w:rsidP="00650253">
            <w:pPr>
              <w:spacing w:line="276" w:lineRule="auto"/>
              <w:jc w:val="both"/>
              <w:rPr>
                <w:rFonts w:ascii="Athelas" w:hAnsi="Athelas"/>
                <w:color w:val="000000" w:themeColor="text1"/>
                <w:lang w:val="id-ID"/>
              </w:rPr>
            </w:pPr>
            <w:r w:rsidRPr="00F139D9">
              <w:rPr>
                <w:rFonts w:ascii="Athelas" w:hAnsi="Athelas"/>
                <w:color w:val="000000" w:themeColor="text1"/>
                <w:lang w:val="id-ID"/>
              </w:rPr>
              <w:t>5.238</w:t>
            </w:r>
          </w:p>
        </w:tc>
        <w:tc>
          <w:tcPr>
            <w:tcW w:w="1043" w:type="dxa"/>
          </w:tcPr>
          <w:p w14:paraId="77A20DEA" w14:textId="77777777" w:rsidR="001612BD" w:rsidRPr="00F139D9" w:rsidRDefault="001612BD" w:rsidP="00650253">
            <w:pPr>
              <w:spacing w:line="276" w:lineRule="auto"/>
              <w:jc w:val="both"/>
              <w:rPr>
                <w:rFonts w:ascii="Athelas" w:hAnsi="Athelas"/>
                <w:color w:val="000000" w:themeColor="text1"/>
                <w:lang w:val="id-ID"/>
              </w:rPr>
            </w:pPr>
            <w:r w:rsidRPr="00F139D9">
              <w:rPr>
                <w:rFonts w:ascii="Athelas" w:hAnsi="Athelas"/>
                <w:color w:val="000000" w:themeColor="text1"/>
                <w:lang w:val="id-ID"/>
              </w:rPr>
              <w:t>5.065</w:t>
            </w:r>
          </w:p>
        </w:tc>
        <w:tc>
          <w:tcPr>
            <w:tcW w:w="1683" w:type="dxa"/>
          </w:tcPr>
          <w:p w14:paraId="1EFCCD49" w14:textId="77777777" w:rsidR="001612BD" w:rsidRPr="00F139D9" w:rsidRDefault="001612BD" w:rsidP="00650253">
            <w:pPr>
              <w:spacing w:line="276" w:lineRule="auto"/>
              <w:jc w:val="both"/>
              <w:rPr>
                <w:rFonts w:ascii="Athelas" w:hAnsi="Athelas"/>
                <w:color w:val="000000" w:themeColor="text1"/>
                <w:lang w:val="id-ID"/>
              </w:rPr>
            </w:pPr>
            <w:r w:rsidRPr="00F139D9">
              <w:rPr>
                <w:rFonts w:ascii="Athelas" w:hAnsi="Athelas"/>
                <w:color w:val="000000" w:themeColor="text1"/>
                <w:lang w:val="id-ID"/>
              </w:rPr>
              <w:t>4.054</w:t>
            </w:r>
          </w:p>
        </w:tc>
        <w:tc>
          <w:tcPr>
            <w:tcW w:w="643" w:type="dxa"/>
          </w:tcPr>
          <w:p w14:paraId="635C25FC" w14:textId="77777777" w:rsidR="001612BD" w:rsidRPr="00F139D9" w:rsidRDefault="001612BD" w:rsidP="00650253">
            <w:pPr>
              <w:spacing w:line="276" w:lineRule="auto"/>
              <w:jc w:val="both"/>
              <w:rPr>
                <w:rFonts w:ascii="Athelas" w:hAnsi="Athelas"/>
                <w:color w:val="000000" w:themeColor="text1"/>
                <w:lang w:val="id-ID"/>
              </w:rPr>
            </w:pPr>
            <w:r w:rsidRPr="00F139D9">
              <w:rPr>
                <w:rFonts w:ascii="Athelas" w:hAnsi="Athelas"/>
                <w:color w:val="000000" w:themeColor="text1"/>
                <w:lang w:val="id-ID"/>
              </w:rPr>
              <w:t>77</w:t>
            </w:r>
          </w:p>
        </w:tc>
      </w:tr>
      <w:tr w:rsidR="001612BD" w:rsidRPr="00F139D9" w14:paraId="73500DD6" w14:textId="77777777" w:rsidTr="00650253">
        <w:trPr>
          <w:trHeight w:val="477"/>
        </w:trPr>
        <w:tc>
          <w:tcPr>
            <w:tcW w:w="1297" w:type="dxa"/>
          </w:tcPr>
          <w:p w14:paraId="28D236F8" w14:textId="77777777" w:rsidR="001612BD" w:rsidRPr="00F139D9" w:rsidRDefault="001612BD" w:rsidP="00650253">
            <w:pPr>
              <w:spacing w:line="276" w:lineRule="auto"/>
              <w:jc w:val="both"/>
              <w:rPr>
                <w:rFonts w:ascii="Athelas" w:hAnsi="Athelas"/>
                <w:color w:val="000000" w:themeColor="text1"/>
              </w:rPr>
            </w:pPr>
            <w:r w:rsidRPr="00F139D9">
              <w:rPr>
                <w:rFonts w:ascii="Athelas" w:hAnsi="Athelas"/>
                <w:color w:val="000000" w:themeColor="text1"/>
              </w:rPr>
              <w:t>Myanmar</w:t>
            </w:r>
          </w:p>
        </w:tc>
        <w:tc>
          <w:tcPr>
            <w:tcW w:w="923" w:type="dxa"/>
          </w:tcPr>
          <w:p w14:paraId="23939CEA" w14:textId="77777777" w:rsidR="001612BD" w:rsidRPr="00F139D9" w:rsidRDefault="001612BD" w:rsidP="00650253">
            <w:pPr>
              <w:spacing w:line="276" w:lineRule="auto"/>
              <w:jc w:val="both"/>
              <w:rPr>
                <w:rFonts w:ascii="Athelas" w:hAnsi="Athelas"/>
                <w:color w:val="000000" w:themeColor="text1"/>
                <w:lang w:val="id-ID"/>
              </w:rPr>
            </w:pPr>
            <w:r w:rsidRPr="00F139D9">
              <w:rPr>
                <w:rFonts w:ascii="Athelas" w:hAnsi="Athelas"/>
                <w:color w:val="000000" w:themeColor="text1"/>
                <w:lang w:val="id-ID"/>
              </w:rPr>
              <w:t>3.559</w:t>
            </w:r>
          </w:p>
        </w:tc>
        <w:tc>
          <w:tcPr>
            <w:tcW w:w="1043" w:type="dxa"/>
          </w:tcPr>
          <w:p w14:paraId="70F78829" w14:textId="77777777" w:rsidR="001612BD" w:rsidRPr="00F139D9" w:rsidRDefault="001612BD" w:rsidP="00650253">
            <w:pPr>
              <w:spacing w:line="276" w:lineRule="auto"/>
              <w:jc w:val="both"/>
              <w:rPr>
                <w:rFonts w:ascii="Athelas" w:hAnsi="Athelas"/>
                <w:color w:val="000000" w:themeColor="text1"/>
                <w:lang w:val="id-ID"/>
              </w:rPr>
            </w:pPr>
            <w:r w:rsidRPr="00F139D9">
              <w:rPr>
                <w:rFonts w:ascii="Athelas" w:hAnsi="Athelas"/>
                <w:color w:val="000000" w:themeColor="text1"/>
                <w:lang w:val="id-ID"/>
              </w:rPr>
              <w:t>1.797</w:t>
            </w:r>
          </w:p>
        </w:tc>
        <w:tc>
          <w:tcPr>
            <w:tcW w:w="1683" w:type="dxa"/>
          </w:tcPr>
          <w:p w14:paraId="632F6DDA" w14:textId="77777777" w:rsidR="001612BD" w:rsidRPr="00F139D9" w:rsidRDefault="001612BD" w:rsidP="00650253">
            <w:pPr>
              <w:spacing w:line="276" w:lineRule="auto"/>
              <w:jc w:val="both"/>
              <w:rPr>
                <w:rFonts w:ascii="Athelas" w:hAnsi="Athelas"/>
                <w:color w:val="000000" w:themeColor="text1"/>
                <w:lang w:val="id-ID"/>
              </w:rPr>
            </w:pPr>
            <w:r w:rsidRPr="00F139D9">
              <w:rPr>
                <w:rFonts w:ascii="Athelas" w:hAnsi="Athelas"/>
                <w:color w:val="000000" w:themeColor="text1"/>
                <w:lang w:val="id-ID"/>
              </w:rPr>
              <w:t>3.634</w:t>
            </w:r>
          </w:p>
        </w:tc>
        <w:tc>
          <w:tcPr>
            <w:tcW w:w="643" w:type="dxa"/>
          </w:tcPr>
          <w:p w14:paraId="2D961FD6" w14:textId="77777777" w:rsidR="001612BD" w:rsidRPr="00F139D9" w:rsidRDefault="001612BD" w:rsidP="00650253">
            <w:pPr>
              <w:spacing w:line="276" w:lineRule="auto"/>
              <w:jc w:val="both"/>
              <w:rPr>
                <w:rFonts w:ascii="Athelas" w:hAnsi="Athelas"/>
                <w:color w:val="000000" w:themeColor="text1"/>
              </w:rPr>
            </w:pPr>
            <w:r w:rsidRPr="00F139D9">
              <w:rPr>
                <w:rFonts w:ascii="Athelas" w:hAnsi="Athelas"/>
                <w:color w:val="000000" w:themeColor="text1"/>
              </w:rPr>
              <w:t>146</w:t>
            </w:r>
          </w:p>
        </w:tc>
      </w:tr>
    </w:tbl>
    <w:p w14:paraId="612FB451" w14:textId="77777777" w:rsidR="001612BD" w:rsidRPr="00F139D9" w:rsidRDefault="001612BD" w:rsidP="001612BD">
      <w:pPr>
        <w:spacing w:line="276" w:lineRule="auto"/>
        <w:ind w:firstLine="720"/>
        <w:jc w:val="both"/>
        <w:rPr>
          <w:rFonts w:ascii="Athelas" w:hAnsi="Athelas"/>
          <w:color w:val="000000" w:themeColor="text1"/>
          <w:lang w:val="id-ID"/>
        </w:rPr>
      </w:pPr>
    </w:p>
    <w:p w14:paraId="7E255EB7" w14:textId="77777777" w:rsidR="001612BD" w:rsidRPr="00F139D9" w:rsidRDefault="001612BD" w:rsidP="001612BD">
      <w:pPr>
        <w:spacing w:line="276" w:lineRule="auto"/>
        <w:ind w:firstLine="720"/>
        <w:jc w:val="both"/>
        <w:rPr>
          <w:rFonts w:ascii="Athelas" w:hAnsi="Athelas"/>
          <w:color w:val="000000" w:themeColor="text1"/>
          <w:lang w:val="id-ID"/>
        </w:rPr>
      </w:pPr>
    </w:p>
    <w:p w14:paraId="7AAF83C5" w14:textId="77777777" w:rsidR="001612BD" w:rsidRPr="00F139D9" w:rsidRDefault="001612BD" w:rsidP="001612BD">
      <w:pPr>
        <w:spacing w:line="276" w:lineRule="auto"/>
        <w:ind w:firstLine="720"/>
        <w:jc w:val="both"/>
        <w:rPr>
          <w:rFonts w:ascii="Athelas" w:hAnsi="Athelas"/>
          <w:color w:val="000000" w:themeColor="text1"/>
          <w:lang w:val="id-ID"/>
        </w:rPr>
      </w:pPr>
    </w:p>
    <w:p w14:paraId="3A5F0EFC" w14:textId="77777777" w:rsidR="001612BD" w:rsidRPr="00F139D9" w:rsidRDefault="001612BD" w:rsidP="001612BD">
      <w:pPr>
        <w:spacing w:line="276" w:lineRule="auto"/>
        <w:ind w:firstLine="720"/>
        <w:jc w:val="both"/>
        <w:rPr>
          <w:rFonts w:ascii="Athelas" w:hAnsi="Athelas"/>
          <w:color w:val="000000" w:themeColor="text1"/>
          <w:lang w:val="id-ID"/>
        </w:rPr>
      </w:pPr>
    </w:p>
    <w:p w14:paraId="6BCE9B1B" w14:textId="77777777" w:rsidR="001612BD" w:rsidRPr="00F139D9" w:rsidRDefault="001612BD" w:rsidP="001612BD">
      <w:pPr>
        <w:spacing w:line="276" w:lineRule="auto"/>
        <w:ind w:firstLine="720"/>
        <w:jc w:val="both"/>
        <w:rPr>
          <w:rFonts w:ascii="Athelas" w:hAnsi="Athelas"/>
          <w:color w:val="000000" w:themeColor="text1"/>
          <w:lang w:val="id-ID"/>
        </w:rPr>
      </w:pPr>
    </w:p>
    <w:p w14:paraId="70215889" w14:textId="77777777" w:rsidR="001612BD" w:rsidRPr="00F139D9" w:rsidRDefault="001612BD" w:rsidP="001612BD">
      <w:pPr>
        <w:spacing w:line="276" w:lineRule="auto"/>
        <w:ind w:firstLine="720"/>
        <w:jc w:val="both"/>
        <w:rPr>
          <w:rFonts w:ascii="Athelas" w:hAnsi="Athelas"/>
          <w:color w:val="000000" w:themeColor="text1"/>
          <w:lang w:val="id-ID"/>
        </w:rPr>
      </w:pPr>
    </w:p>
    <w:p w14:paraId="4A4E782E" w14:textId="77777777" w:rsidR="001612BD" w:rsidRPr="00F139D9" w:rsidRDefault="001612BD" w:rsidP="001612BD">
      <w:pPr>
        <w:spacing w:line="276" w:lineRule="auto"/>
        <w:ind w:firstLine="720"/>
        <w:jc w:val="both"/>
        <w:rPr>
          <w:rFonts w:ascii="Athelas" w:hAnsi="Athelas"/>
          <w:color w:val="000000" w:themeColor="text1"/>
          <w:lang w:val="id-ID"/>
        </w:rPr>
      </w:pPr>
    </w:p>
    <w:p w14:paraId="3F6552A7" w14:textId="77777777" w:rsidR="001612BD" w:rsidRPr="00F139D9" w:rsidRDefault="001612BD" w:rsidP="001612BD">
      <w:pPr>
        <w:spacing w:line="276" w:lineRule="auto"/>
        <w:jc w:val="both"/>
        <w:rPr>
          <w:rFonts w:ascii="Athelas" w:hAnsi="Athelas"/>
          <w:color w:val="000000" w:themeColor="text1"/>
          <w:lang w:val="id-ID"/>
        </w:rPr>
      </w:pPr>
    </w:p>
    <w:p w14:paraId="2D20B79F" w14:textId="77777777" w:rsidR="001612BD" w:rsidRPr="00F139D9" w:rsidRDefault="001612BD" w:rsidP="001612BD">
      <w:pPr>
        <w:spacing w:line="276" w:lineRule="auto"/>
        <w:jc w:val="both"/>
        <w:rPr>
          <w:rFonts w:ascii="Athelas" w:hAnsi="Athelas"/>
          <w:color w:val="000000" w:themeColor="text1"/>
          <w:lang w:val="id-ID"/>
        </w:rPr>
      </w:pPr>
    </w:p>
    <w:p w14:paraId="5B311844" w14:textId="77777777" w:rsidR="001612BD" w:rsidRDefault="001612BD" w:rsidP="001612BD">
      <w:pPr>
        <w:spacing w:line="276" w:lineRule="auto"/>
        <w:jc w:val="both"/>
        <w:rPr>
          <w:rFonts w:ascii="Athelas" w:hAnsi="Athelas"/>
          <w:color w:val="000000" w:themeColor="text1"/>
          <w:lang w:val="id-ID"/>
        </w:rPr>
      </w:pPr>
    </w:p>
    <w:p w14:paraId="6E578220" w14:textId="77777777" w:rsidR="0040708F" w:rsidRDefault="0040708F" w:rsidP="001612BD">
      <w:pPr>
        <w:spacing w:line="276" w:lineRule="auto"/>
        <w:jc w:val="both"/>
        <w:rPr>
          <w:rFonts w:ascii="Athelas" w:hAnsi="Athelas"/>
          <w:color w:val="000000" w:themeColor="text1"/>
          <w:lang w:val="id-ID"/>
        </w:rPr>
      </w:pPr>
    </w:p>
    <w:p w14:paraId="4F5D9462" w14:textId="77777777" w:rsidR="0040708F" w:rsidRDefault="0040708F" w:rsidP="001612BD">
      <w:pPr>
        <w:spacing w:line="276" w:lineRule="auto"/>
        <w:jc w:val="both"/>
        <w:rPr>
          <w:rFonts w:ascii="Athelas" w:hAnsi="Athelas"/>
          <w:color w:val="000000" w:themeColor="text1"/>
          <w:lang w:val="id-ID"/>
        </w:rPr>
      </w:pPr>
    </w:p>
    <w:p w14:paraId="5BE168DA" w14:textId="77777777" w:rsidR="0040708F" w:rsidRDefault="0040708F" w:rsidP="001612BD">
      <w:pPr>
        <w:spacing w:line="276" w:lineRule="auto"/>
        <w:jc w:val="both"/>
        <w:rPr>
          <w:rFonts w:ascii="Athelas" w:hAnsi="Athelas"/>
          <w:color w:val="000000" w:themeColor="text1"/>
          <w:lang w:val="id-ID"/>
        </w:rPr>
      </w:pPr>
    </w:p>
    <w:p w14:paraId="6040EE6F" w14:textId="77777777" w:rsidR="0040708F" w:rsidRPr="00F139D9" w:rsidRDefault="0040708F" w:rsidP="001612BD">
      <w:pPr>
        <w:spacing w:line="276" w:lineRule="auto"/>
        <w:jc w:val="both"/>
        <w:rPr>
          <w:rFonts w:ascii="Athelas" w:hAnsi="Athelas"/>
          <w:color w:val="000000" w:themeColor="text1"/>
          <w:lang w:val="id-ID"/>
        </w:rPr>
      </w:pPr>
    </w:p>
    <w:p w14:paraId="057CC9D0" w14:textId="77777777" w:rsidR="001612BD" w:rsidRPr="00F139D9" w:rsidRDefault="001612BD" w:rsidP="001612BD">
      <w:pPr>
        <w:spacing w:line="276" w:lineRule="auto"/>
        <w:jc w:val="both"/>
        <w:rPr>
          <w:rFonts w:ascii="Athelas" w:hAnsi="Athelas"/>
          <w:color w:val="000000" w:themeColor="text1"/>
          <w:lang w:val="id-ID"/>
        </w:rPr>
      </w:pPr>
    </w:p>
    <w:p w14:paraId="1F56F3A0" w14:textId="77777777" w:rsidR="001612BD" w:rsidRPr="00F139D9" w:rsidRDefault="001612BD" w:rsidP="001612BD">
      <w:pPr>
        <w:spacing w:line="276" w:lineRule="auto"/>
        <w:jc w:val="center"/>
        <w:rPr>
          <w:rFonts w:ascii="Athelas" w:hAnsi="Athelas"/>
          <w:color w:val="000000" w:themeColor="text1"/>
          <w:lang w:val="id-ID"/>
        </w:rPr>
      </w:pPr>
      <w:r w:rsidRPr="00F139D9">
        <w:rPr>
          <w:rFonts w:ascii="Athelas" w:hAnsi="Athelas"/>
          <w:color w:val="000000" w:themeColor="text1"/>
          <w:lang w:val="id-ID"/>
        </w:rPr>
        <w:t xml:space="preserve">Source: </w:t>
      </w:r>
      <w:hyperlink r:id="rId9" w:history="1">
        <w:r w:rsidRPr="00F139D9">
          <w:rPr>
            <w:rStyle w:val="Hyperlink"/>
            <w:rFonts w:ascii="Athelas" w:hAnsi="Athelas"/>
            <w:color w:val="000000" w:themeColor="text1"/>
            <w:lang w:val="id-ID"/>
          </w:rPr>
          <w:t>https://datastudio.google.com/reporting/f4e74364-ded6-4fff-81a1-92bfed3a8552/page/p_8805s8bkzc</w:t>
        </w:r>
      </w:hyperlink>
      <w:r w:rsidRPr="00F139D9">
        <w:rPr>
          <w:rFonts w:ascii="Athelas" w:hAnsi="Athelas"/>
          <w:color w:val="000000" w:themeColor="text1"/>
          <w:lang w:val="id-ID"/>
        </w:rPr>
        <w:t xml:space="preserve"> (2022)</w:t>
      </w:r>
    </w:p>
    <w:p w14:paraId="65CD0A67" w14:textId="77777777" w:rsidR="001612BD" w:rsidRPr="00F139D9" w:rsidRDefault="001612BD" w:rsidP="001612BD">
      <w:pPr>
        <w:pStyle w:val="NormalWeb"/>
        <w:spacing w:line="276" w:lineRule="auto"/>
        <w:ind w:firstLine="720"/>
        <w:jc w:val="both"/>
        <w:rPr>
          <w:rFonts w:ascii="Athelas" w:hAnsi="Athelas"/>
          <w:color w:val="000000" w:themeColor="text1"/>
        </w:rPr>
      </w:pPr>
      <w:r w:rsidRPr="00F139D9">
        <w:rPr>
          <w:rFonts w:ascii="Athelas" w:hAnsi="Athelas"/>
          <w:color w:val="000000" w:themeColor="text1"/>
        </w:rPr>
        <w:t>Based on the table above, it can be explained that the rank order of the seven selected ASEAN countries is as follows: Singapore is ranked 11th and is the most superior among the other six countries; Brunei Darussalam is ranked 60th; Malaysia is ranked 47th; Indonesia is ranked 88th; Thailand is ranked 57th; the Philippines is ranked 77th; and finally</w:t>
      </w:r>
      <w:r w:rsidRPr="00F139D9">
        <w:rPr>
          <w:rFonts w:ascii="Athelas" w:hAnsi="Athelas"/>
          <w:color w:val="000000" w:themeColor="text1"/>
          <w:lang w:val="id-ID"/>
        </w:rPr>
        <w:t xml:space="preserve">, </w:t>
      </w:r>
      <w:r w:rsidRPr="00F139D9">
        <w:rPr>
          <w:rFonts w:ascii="Athelas" w:hAnsi="Athelas"/>
          <w:color w:val="000000" w:themeColor="text1"/>
        </w:rPr>
        <w:t>Myanmar is ranked 146th. Of course, when viewed from the rank order of the seven countries, it explains that the implementation of the indicators from the E-Government Development Index (EG</w:t>
      </w:r>
      <w:r w:rsidRPr="00F139D9">
        <w:rPr>
          <w:rFonts w:ascii="Athelas" w:hAnsi="Athelas"/>
          <w:color w:val="000000" w:themeColor="text1"/>
          <w:lang w:val="id-ID"/>
        </w:rPr>
        <w:t>D</w:t>
      </w:r>
      <w:r w:rsidRPr="00F139D9">
        <w:rPr>
          <w:rFonts w:ascii="Athelas" w:hAnsi="Athelas"/>
          <w:color w:val="000000" w:themeColor="text1"/>
        </w:rPr>
        <w:t>I) varies</w:t>
      </w:r>
      <w:r w:rsidRPr="00F139D9">
        <w:rPr>
          <w:rFonts w:ascii="Athelas" w:hAnsi="Athelas"/>
          <w:color w:val="000000" w:themeColor="text1"/>
          <w:lang w:val="id-ID"/>
        </w:rPr>
        <w:t xml:space="preserve">. </w:t>
      </w:r>
      <w:r w:rsidRPr="00F139D9">
        <w:rPr>
          <w:rFonts w:ascii="Athelas" w:hAnsi="Athelas"/>
          <w:color w:val="000000" w:themeColor="text1"/>
          <w:lang w:val="id-ID"/>
        </w:rPr>
        <w:fldChar w:fldCharType="begin" w:fldLock="1"/>
      </w:r>
      <w:r w:rsidRPr="00F139D9">
        <w:rPr>
          <w:rFonts w:ascii="Athelas" w:hAnsi="Athelas"/>
          <w:color w:val="000000" w:themeColor="text1"/>
          <w:lang w:val="id-ID"/>
        </w:rPr>
        <w:instrText>ADDIN CSL_CITATION {"citationItems":[{"id":"ITEM-1","itemData":{"ISBN":"1202011713","author":[{"dropping-particle":"","family":"Widianatasari","given":"Anastia","non-dropping-particle":"","parse-names":false,"suffix":""}],"id":"ITEM-1","issued":{"date-parts":[["2021"]]},"number-of-pages":"158","title":"Pengaruh Kualitas Institusi , Government Size , Dan Foreign Direct Investment Terhadap Pertumbuhan","type":"book"},"uris":["http://www.mendeley.com/documents/?uuid=118eeb92-fb68-4172-ae17-987f12794f8a"]},{"id":"ITEM-2","itemData":{"DOI":"10.22373/jep.v12i1.606","ISSN":"0852-9124","abstract":"Penelitian ini bertujuan untuk menganalisis pengaruh tata kelola pemerintah(governance) terhadap pertumbuhan ekonomi di ASEAN. Adapun variabel-variabel yangditeliti dalam penelitian ini meliputi Pertumbuhan Ekonomi, Governance Indicators yangdijelaskan dengan proksi voice and accountability, political stability, governanceeffectiveness, regulatory quality, rule of law, dan control of corruption. Jumlah penduduksebagai variabel kontrol. Fokus penelitian terdiri dari 10 negara ASEAN meliputi,Indonesia, Malaysia, Filipina, Singapura, Thailand, Brunei Darussalam, Kamboja, Laos,Myanmar, dan Vietnam dengan periode penelitian tahun 2010 sampai 2019 menggunakananalisis data panel. Hasil Penelitian menunjukkan, bahwa variabel GovernanceEffectiveness, Political Stability, Regulatory Quality dan Rule of Law berpengaruh positifsignifikan pada Pertumbuhan Ekonomi, sedangkan untuk variabel Control of Corruptiondan Voice and Accountability tidak berpengaruh terhadap Pertumbuhan Ekonomi diASEAN.","author":[{"dropping-particle":"","family":"Eka Asbarini","given":"Nur Fitri","non-dropping-particle":"","parse-names":false,"suffix":""},{"dropping-particle":"","family":"Isnaini","given":"Laili","non-dropping-particle":"","parse-names":false,"suffix":""},{"dropping-particle":"","family":"Wibowo","given":"Muhammad Ghafur","non-dropping-particle":"","parse-names":false,"suffix":""}],"container-title":"Jurnal Ekonomi dan Pembangunan","id":"ITEM-2","issue":"1","issued":{"date-parts":[["2021"]]},"page":"82-93","title":"Pengaruh Tata Kelola Pemerintah Terhadap Pertumbuhan Ekonomi Di ASEAN","type":"article-journal","volume":"12"},"uris":["http://www.mendeley.com/documents/?uuid=0592fc85-f47f-490b-9b87-0e52fac73a6a"]},{"id":"ITEM-3","itemData":{"author":[{"dropping-particle":"","family":"Husain","given":"Fakhri Rizal","non-dropping-particle":"","parse-names":false,"suffix":""},{"dropping-particle":"","family":"Marselina","given":"","non-dropping-particle":"","parse-names":false,"suffix":""}],"container-title":"KLASSEN","id":"ITEM-3","issue":"1","issued":{"date-parts":[["2022"]]},"page":"32-45","title":"Pengaruh Kelembangaan dan Pertumbuhan Ekonomi Terhadap Arus Masuk Foreign Direct Investment Negara ASEAN Tahun 2016-2022","type":"article-journal","volume":"2"},"uris":["http://www.mendeley.com/documents/?uuid=d2aaf6f2-eabb-4389-b500-31ffa45efa09"]},{"id":"ITEM-4","itemData":{"author":[{"dropping-particle":"","family":"Drajat","given":"Estu Unggul","non-dropping-particle":"","parse-names":false,"suffix":""}],"id":"ITEM-4","issued":{"date-parts":[["2015"]]},"title":"Pengaruh kualitas pemerintahan terhadap penanaman modal asing","type":"article-journal"},"uris":["http://www.mendeley.com/documents/?uuid=f681f12e-f8c3-46c8-ae66-2e1b7fefb07f"]},{"id":"ITEM-5","itemData":{"ISBN":"9781626239777","abstract":"The main objective of this study was aimed to know the effectiveness of mind mapping in teaching descriptive text at the Eighth Grade Students of SMP Terbuka Kec.Senen in Academic Year of 2020/2021. The research was conducted in SMP Terbuka Kec. Senen. The population was the first year students of SMP Terbuka Kec. Senen in academic year of 2020/2021 with a total number of 70 students. Out of this population, students of eight grade were taken as sample.The writer used pre-experimental research with one group pre-test and post-test design in the quantitative. The data were collected by using pre-test and post-test. From the Lilliefors analysis showed that the data pre-test and post-test in Pre- experiment calss are normally distributed. Furthermore, the data post-test obtained were analyzed by using t-test formula. The t-test calculation of the post test result was known that was 8,35 and was 1,71. Therefore, tobserved &gt; ttable (8,35 &gt; 1,71). It showed that there is significant different score of students‘ achievement in writing descriptive text that was taught through mind mapping technique before and after given treatment. It can be concluded that using Mind Mapping technique was effective in writing descriptive paragraph of the eighth grade students at SMP Terbuka Kec. Senen The researcher also hopes that this research will be useful to share knowledge about the use of mind mapping for writing descriptive text, especially for students, teachers, others researchers and readers.","author":[{"dropping-particle":"","family":"Ramadhan","given":"Pandu Syalsa","non-dropping-particle":"","parse-names":false,"suffix":""}],"id":"ITEM-5","issued":{"date-parts":[["2021"]]},"title":"Pengaruh Tata Kelola Pemerintah Terhadap Pertumbuhan Ekonomi di Negara ASEAN-6","type":"thesis"},"uris":["http://www.mendeley.com/documents/?uuid=26f54fde-36ab-4a7c-a368-415a571bba11"]}],"mendeley":{"formattedCitation":"(Drajat, 2015; Eka Asbarini et al., 2021; Husain &amp; Marselina, 2022; Ramadhan, 2021; Widianatasari, 2021)","plainTextFormattedCitation":"(Drajat, 2015; Eka Asbarini et al., 2021; Husain &amp; Marselina, 2022; Ramadhan, 2021; Widianatasari, 2021)","previouslyFormattedCitation":"(Drajat, 2015; Eka Asbarini et al., 2021; Husain &amp; Marselina, 2022; Ramadhan, 2021; Widianatasari, 2021)"},"properties":{"noteIndex":0},"schema":"https://github.com/citation-style-language/schema/raw/master/csl-citation.json"}</w:instrText>
      </w:r>
      <w:r w:rsidRPr="00F139D9">
        <w:rPr>
          <w:rFonts w:ascii="Athelas" w:hAnsi="Athelas"/>
          <w:color w:val="000000" w:themeColor="text1"/>
          <w:lang w:val="id-ID"/>
        </w:rPr>
        <w:fldChar w:fldCharType="separate"/>
      </w:r>
      <w:r w:rsidRPr="00F139D9">
        <w:rPr>
          <w:rFonts w:ascii="Athelas" w:hAnsi="Athelas"/>
          <w:noProof/>
          <w:color w:val="000000" w:themeColor="text1"/>
          <w:lang w:val="id-ID"/>
        </w:rPr>
        <w:t>(Drajat, 2015; Eka Asbarini et al., 2021; Husain &amp; Marselina, 2022; Ramadhan, 2021; Widianatasari, 2021)</w:t>
      </w:r>
      <w:r w:rsidRPr="00F139D9">
        <w:rPr>
          <w:rFonts w:ascii="Athelas" w:hAnsi="Athelas"/>
          <w:color w:val="000000" w:themeColor="text1"/>
          <w:lang w:val="id-ID"/>
        </w:rPr>
        <w:fldChar w:fldCharType="end"/>
      </w:r>
      <w:r w:rsidRPr="00F139D9">
        <w:rPr>
          <w:rFonts w:ascii="Athelas" w:hAnsi="Athelas"/>
          <w:color w:val="000000" w:themeColor="text1"/>
          <w:lang w:val="id-ID"/>
        </w:rPr>
        <w:t xml:space="preserve">. </w:t>
      </w:r>
    </w:p>
    <w:p w14:paraId="061503FD" w14:textId="77777777" w:rsidR="001612BD" w:rsidRPr="00F139D9" w:rsidRDefault="001612BD" w:rsidP="001612BD">
      <w:pPr>
        <w:pStyle w:val="NormalWeb"/>
        <w:spacing w:line="276" w:lineRule="auto"/>
        <w:ind w:firstLine="720"/>
        <w:jc w:val="both"/>
        <w:rPr>
          <w:rFonts w:ascii="Athelas" w:hAnsi="Athelas"/>
          <w:color w:val="000000" w:themeColor="text1"/>
        </w:rPr>
      </w:pPr>
      <w:r w:rsidRPr="00F139D9">
        <w:rPr>
          <w:rFonts w:ascii="Athelas" w:hAnsi="Athelas"/>
          <w:color w:val="000000" w:themeColor="text1"/>
        </w:rPr>
        <w:t xml:space="preserve">On the Human Capital Index indicator, Singapore gets the highest score, namely 6,183, and when compared to Myanmar, it is 3,559. This is due to Singapore's successful implementation of the Human Capital Index indicator and the country's top-notch education system, which has a wide range of specialties. Furthermore, Singapore's </w:t>
      </w:r>
      <w:r w:rsidRPr="00F139D9">
        <w:rPr>
          <w:rFonts w:ascii="Athelas" w:hAnsi="Athelas"/>
          <w:color w:val="000000" w:themeColor="text1"/>
        </w:rPr>
        <w:lastRenderedPageBreak/>
        <w:t>health sector is also very good, especially during the COVID-19 pandemic</w:t>
      </w:r>
      <w:r w:rsidRPr="00F139D9">
        <w:rPr>
          <w:rFonts w:ascii="Athelas" w:hAnsi="Athelas"/>
          <w:color w:val="000000" w:themeColor="text1"/>
          <w:lang w:val="id-ID"/>
        </w:rPr>
        <w:t xml:space="preserve"> </w:t>
      </w:r>
      <w:r w:rsidRPr="00F139D9">
        <w:rPr>
          <w:rFonts w:ascii="Athelas" w:hAnsi="Athelas"/>
          <w:color w:val="000000" w:themeColor="text1"/>
          <w:lang w:val="id-ID"/>
        </w:rPr>
        <w:fldChar w:fldCharType="begin" w:fldLock="1"/>
      </w:r>
      <w:r w:rsidRPr="00F139D9">
        <w:rPr>
          <w:rFonts w:ascii="Athelas" w:hAnsi="Athelas"/>
          <w:color w:val="000000" w:themeColor="text1"/>
          <w:lang w:val="id-ID"/>
        </w:rPr>
        <w:instrText>ADDIN CSL_CITATION {"citationItems":[{"id":"ITEM-1","itemData":{"URL":"https://databoks.katadata.co.id/datapublish/2020/09/18/indeks-modal-manusia-singapura-tertinggi-di-dunia","author":[{"dropping-particle":"","family":"Pusparisa","given":"Yosepha","non-dropping-particle":"","parse-names":false,"suffix":""}],"id":"ITEM-1","issued":{"date-parts":[["2020"]]},"title":"Indeks Modal Manusia Singapura Tertinggi di Dunia","type":"webpage"},"uris":["http://www.mendeley.com/documents/?uuid=8c905ae1-2c20-416b-8a38-0cc2923c1fc5"]}],"mendeley":{"formattedCitation":"(Pusparisa, 2020)","plainTextFormattedCitation":"(Pusparisa, 2020)","previouslyFormattedCitation":"(Pusparisa, 2020)"},"properties":{"noteIndex":0},"schema":"https://github.com/citation-style-language/schema/raw/master/csl-citation.json"}</w:instrText>
      </w:r>
      <w:r w:rsidRPr="00F139D9">
        <w:rPr>
          <w:rFonts w:ascii="Athelas" w:hAnsi="Athelas"/>
          <w:color w:val="000000" w:themeColor="text1"/>
          <w:lang w:val="id-ID"/>
        </w:rPr>
        <w:fldChar w:fldCharType="separate"/>
      </w:r>
      <w:r w:rsidRPr="00F139D9">
        <w:rPr>
          <w:rFonts w:ascii="Athelas" w:hAnsi="Athelas"/>
          <w:noProof/>
          <w:color w:val="000000" w:themeColor="text1"/>
          <w:lang w:val="id-ID"/>
        </w:rPr>
        <w:t>(Pusparisa, 2020)</w:t>
      </w:r>
      <w:r w:rsidRPr="00F139D9">
        <w:rPr>
          <w:rFonts w:ascii="Athelas" w:hAnsi="Athelas"/>
          <w:color w:val="000000" w:themeColor="text1"/>
          <w:lang w:val="id-ID"/>
        </w:rPr>
        <w:fldChar w:fldCharType="end"/>
      </w:r>
      <w:r w:rsidRPr="00F139D9">
        <w:rPr>
          <w:rFonts w:ascii="Athelas" w:hAnsi="Athelas"/>
          <w:color w:val="000000" w:themeColor="text1"/>
          <w:lang w:val="id-ID"/>
        </w:rPr>
        <w:t xml:space="preserve">. </w:t>
      </w:r>
    </w:p>
    <w:p w14:paraId="6F46A9F8" w14:textId="77777777" w:rsidR="001612BD" w:rsidRPr="00F139D9" w:rsidRDefault="001612BD" w:rsidP="001612BD">
      <w:pPr>
        <w:pStyle w:val="NormalWeb"/>
        <w:spacing w:line="276" w:lineRule="auto"/>
        <w:ind w:firstLine="720"/>
        <w:jc w:val="both"/>
        <w:rPr>
          <w:rFonts w:ascii="Athelas" w:hAnsi="Athelas"/>
          <w:color w:val="000000" w:themeColor="text1"/>
        </w:rPr>
      </w:pPr>
      <w:r w:rsidRPr="00F139D9">
        <w:rPr>
          <w:rFonts w:ascii="Athelas" w:hAnsi="Athelas"/>
          <w:color w:val="000000" w:themeColor="text1"/>
        </w:rPr>
        <w:t>However, this is inversely proportional to Myanmar, which ranks 146th with a value of 3,559 and is the 7th country out of the seven countries selected in this study. In 2021, the United Nations predicts that half of Myanmar's population will experience poverty. This is due to the effects of the coup and the COVID-19 pandemic that hit the country</w:t>
      </w:r>
      <w:r w:rsidRPr="00F139D9">
        <w:rPr>
          <w:rFonts w:ascii="Athelas" w:hAnsi="Athelas"/>
          <w:color w:val="000000" w:themeColor="text1"/>
          <w:lang w:val="id-ID"/>
        </w:rPr>
        <w:t xml:space="preserve"> </w:t>
      </w:r>
      <w:r w:rsidRPr="00F139D9">
        <w:rPr>
          <w:rFonts w:ascii="Athelas" w:hAnsi="Athelas"/>
          <w:color w:val="000000" w:themeColor="text1"/>
          <w:lang w:val="id-ID"/>
        </w:rPr>
        <w:fldChar w:fldCharType="begin" w:fldLock="1"/>
      </w:r>
      <w:r w:rsidRPr="00F139D9">
        <w:rPr>
          <w:rFonts w:ascii="Athelas" w:hAnsi="Athelas"/>
          <w:color w:val="000000" w:themeColor="text1"/>
          <w:lang w:val="id-ID"/>
        </w:rPr>
        <w:instrText>ADDIN CSL_CITATION {"citationItems":[{"id":"ITEM-1","itemData":{"URL":"https://www.cnbcindonesia.com/news/20210503124650-4-242669/myanmar-ngenes-pbb-ramal-setengah-populasi-jatuh-miskin","author":[{"dropping-particle":"","family":"Sorongan","given":"Tommy Patrio","non-dropping-particle":"","parse-names":false,"suffix":""}],"container-title":"CNBC Indonesia","id":"ITEM-1","issued":{"date-parts":[["2021"]]},"title":"Myanmar Ngenes, PBB Ramal Setengah Populasi Jatuh Miskin","type":"webpage"},"uris":["http://www.mendeley.com/documents/?uuid=2ac79e1b-2142-476a-aac0-e28c2c9785ac"]}],"mendeley":{"formattedCitation":"(Sorongan, 2021)","plainTextFormattedCitation":"(Sorongan, 2021)","previouslyFormattedCitation":"(Sorongan, 2021)"},"properties":{"noteIndex":0},"schema":"https://github.com/citation-style-language/schema/raw/master/csl-citation.json"}</w:instrText>
      </w:r>
      <w:r w:rsidRPr="00F139D9">
        <w:rPr>
          <w:rFonts w:ascii="Athelas" w:hAnsi="Athelas"/>
          <w:color w:val="000000" w:themeColor="text1"/>
          <w:lang w:val="id-ID"/>
        </w:rPr>
        <w:fldChar w:fldCharType="separate"/>
      </w:r>
      <w:r w:rsidRPr="00F139D9">
        <w:rPr>
          <w:rFonts w:ascii="Athelas" w:hAnsi="Athelas"/>
          <w:noProof/>
          <w:color w:val="000000" w:themeColor="text1"/>
          <w:lang w:val="id-ID"/>
        </w:rPr>
        <w:t>(Sorongan, 2021)</w:t>
      </w:r>
      <w:r w:rsidRPr="00F139D9">
        <w:rPr>
          <w:rFonts w:ascii="Athelas" w:hAnsi="Athelas"/>
          <w:color w:val="000000" w:themeColor="text1"/>
          <w:lang w:val="id-ID"/>
        </w:rPr>
        <w:fldChar w:fldCharType="end"/>
      </w:r>
      <w:r w:rsidRPr="00F139D9">
        <w:rPr>
          <w:rFonts w:ascii="Athelas" w:hAnsi="Athelas"/>
          <w:color w:val="000000" w:themeColor="text1"/>
          <w:lang w:val="id-ID"/>
        </w:rPr>
        <w:t xml:space="preserve">. </w:t>
      </w:r>
      <w:r w:rsidRPr="00F139D9">
        <w:rPr>
          <w:rFonts w:ascii="Athelas" w:hAnsi="Athelas"/>
          <w:color w:val="000000" w:themeColor="text1"/>
        </w:rPr>
        <w:t>This gives Myanmar a low Human Capital Index value. However, Brunei Darussalam has a Human Capital Index value of 5,281, which is relatively high. This is because Brunei Darussalam has a government that bears all the costs of education in the country, which makes the quality of human resources in the country high. Brunei Darussalam occupies the 30th position in the world and is number two in Southeast Asia</w:t>
      </w:r>
      <w:r w:rsidRPr="00F139D9">
        <w:rPr>
          <w:rFonts w:ascii="Athelas" w:hAnsi="Athelas"/>
          <w:color w:val="000000" w:themeColor="text1"/>
          <w:lang w:val="id-ID"/>
        </w:rPr>
        <w:t xml:space="preserve"> </w:t>
      </w:r>
      <w:r w:rsidRPr="00F139D9">
        <w:rPr>
          <w:rFonts w:ascii="Athelas" w:hAnsi="Athelas"/>
          <w:color w:val="000000" w:themeColor="text1"/>
          <w:lang w:val="id-ID"/>
        </w:rPr>
        <w:fldChar w:fldCharType="begin" w:fldLock="1"/>
      </w:r>
      <w:r w:rsidRPr="00F139D9">
        <w:rPr>
          <w:rFonts w:ascii="Athelas" w:hAnsi="Athelas"/>
          <w:color w:val="000000" w:themeColor="text1"/>
          <w:lang w:val="id-ID"/>
        </w:rPr>
        <w:instrText>ADDIN CSL_CITATION {"citationItems":[{"id":"ITEM-1","itemData":{"URL":"https://siedoo.com/berita-4965-peringkat-pendidikan-indonesia-dan-budaya-buruknya/#:~:text=Brunei Darussalam,Brunei menanggung semua biaya pendidikan.","author":[{"dropping-particle":"","family":"M. Ali Nur","given":"","non-dropping-particle":"","parse-names":false,"suffix":""}],"container-title":"Siedoo","id":"ITEM-1","issued":{"date-parts":[["2018"]]},"title":"Peringkat Pendidikan Indonesia dan Budaya Buruknya","type":"webpage"},"uris":["http://www.mendeley.com/documents/?uuid=bc74045b-2d32-41fb-8dca-f0d552150ea5"]}],"mendeley":{"formattedCitation":"(M. Ali Nur, 2018)","plainTextFormattedCitation":"(M. Ali Nur, 2018)","previouslyFormattedCitation":"(M. Ali Nur, 2018)"},"properties":{"noteIndex":0},"schema":"https://github.com/citation-style-language/schema/raw/master/csl-citation.json"}</w:instrText>
      </w:r>
      <w:r w:rsidRPr="00F139D9">
        <w:rPr>
          <w:rFonts w:ascii="Athelas" w:hAnsi="Athelas"/>
          <w:color w:val="000000" w:themeColor="text1"/>
          <w:lang w:val="id-ID"/>
        </w:rPr>
        <w:fldChar w:fldCharType="separate"/>
      </w:r>
      <w:r w:rsidRPr="00F139D9">
        <w:rPr>
          <w:rFonts w:ascii="Athelas" w:hAnsi="Athelas"/>
          <w:noProof/>
          <w:color w:val="000000" w:themeColor="text1"/>
          <w:lang w:val="id-ID"/>
        </w:rPr>
        <w:t>(M. Ali Nur, 2018)</w:t>
      </w:r>
      <w:r w:rsidRPr="00F139D9">
        <w:rPr>
          <w:rFonts w:ascii="Athelas" w:hAnsi="Athelas"/>
          <w:color w:val="000000" w:themeColor="text1"/>
          <w:lang w:val="id-ID"/>
        </w:rPr>
        <w:fldChar w:fldCharType="end"/>
      </w:r>
      <w:r w:rsidRPr="00F139D9">
        <w:rPr>
          <w:rFonts w:ascii="Athelas" w:hAnsi="Athelas"/>
          <w:color w:val="000000" w:themeColor="text1"/>
          <w:lang w:val="id-ID"/>
        </w:rPr>
        <w:t>.</w:t>
      </w:r>
    </w:p>
    <w:p w14:paraId="04F37D9E" w14:textId="77777777" w:rsidR="001612BD" w:rsidRPr="00F139D9" w:rsidRDefault="001612BD" w:rsidP="001612BD">
      <w:pPr>
        <w:pStyle w:val="NormalWeb"/>
        <w:spacing w:line="276" w:lineRule="auto"/>
        <w:ind w:firstLine="720"/>
        <w:jc w:val="both"/>
        <w:rPr>
          <w:rFonts w:ascii="Athelas" w:hAnsi="Athelas"/>
          <w:color w:val="000000" w:themeColor="text1"/>
        </w:rPr>
      </w:pPr>
      <w:r w:rsidRPr="00F139D9">
        <w:rPr>
          <w:rFonts w:ascii="Athelas" w:hAnsi="Athelas"/>
          <w:color w:val="000000" w:themeColor="text1"/>
        </w:rPr>
        <w:t>Malaysia has a Human Capital Index value of 5,217 and ranks 62nd in the list of the best education in the world and third in ASEAN, as well as Thailand, which has a Human Capital Index value of 5,382, so that it is one of the ASEAN countries with the highest education budget of 7.6% of Gross Domestic product</w:t>
      </w:r>
      <w:r w:rsidRPr="00F139D9">
        <w:rPr>
          <w:rFonts w:ascii="Athelas" w:hAnsi="Athelas"/>
          <w:color w:val="000000" w:themeColor="text1"/>
          <w:lang w:val="id-ID"/>
        </w:rPr>
        <w:fldChar w:fldCharType="begin" w:fldLock="1"/>
      </w:r>
      <w:r w:rsidRPr="00F139D9">
        <w:rPr>
          <w:rFonts w:ascii="Athelas" w:hAnsi="Athelas"/>
          <w:color w:val="000000" w:themeColor="text1"/>
          <w:lang w:val="id-ID"/>
        </w:rPr>
        <w:instrText>ADDIN CSL_CITATION {"citationItems":[{"id":"ITEM-1","itemData":{"URL":"https://siedoo.com/berita-4965-peringkat-pendidikan-indonesia-dan-budaya-buruknya/#:~:text=Brunei Darussalam,Brunei menanggung semua biaya pendidikan.","author":[{"dropping-particle":"","family":"M. Ali Nur","given":"","non-dropping-particle":"","parse-names":false,"suffix":""}],"container-title":"Siedoo","id":"ITEM-1","issued":{"date-parts":[["2018"]]},"title":"Peringkat Pendidikan Indonesia dan Budaya Buruknya","type":"webpage"},"uris":["http://www.mendeley.com/documents/?uuid=bc74045b-2d32-41fb-8dca-f0d552150ea5"]}],"mendeley":{"formattedCitation":"(M. Ali Nur, 2018)","plainTextFormattedCitation":"(M. Ali Nur, 2018)","previouslyFormattedCitation":"(M. Ali Nur, 2018)"},"properties":{"noteIndex":0},"schema":"https://github.com/citation-style-language/schema/raw/master/csl-citation.json"}</w:instrText>
      </w:r>
      <w:r w:rsidRPr="00F139D9">
        <w:rPr>
          <w:rFonts w:ascii="Athelas" w:hAnsi="Athelas"/>
          <w:color w:val="000000" w:themeColor="text1"/>
          <w:lang w:val="id-ID"/>
        </w:rPr>
        <w:fldChar w:fldCharType="separate"/>
      </w:r>
      <w:r w:rsidRPr="00F139D9">
        <w:rPr>
          <w:rFonts w:ascii="Athelas" w:hAnsi="Athelas"/>
          <w:noProof/>
          <w:color w:val="000000" w:themeColor="text1"/>
          <w:lang w:val="id-ID"/>
        </w:rPr>
        <w:t>(M. Ali Nur, 2018)</w:t>
      </w:r>
      <w:r w:rsidRPr="00F139D9">
        <w:rPr>
          <w:rFonts w:ascii="Athelas" w:hAnsi="Athelas"/>
          <w:color w:val="000000" w:themeColor="text1"/>
          <w:lang w:val="id-ID"/>
        </w:rPr>
        <w:fldChar w:fldCharType="end"/>
      </w:r>
      <w:r w:rsidRPr="00F139D9">
        <w:rPr>
          <w:rFonts w:ascii="Athelas" w:hAnsi="Athelas"/>
          <w:color w:val="000000" w:themeColor="text1"/>
          <w:lang w:val="id-ID"/>
        </w:rPr>
        <w:t xml:space="preserve">. </w:t>
      </w:r>
      <w:r w:rsidRPr="00F139D9">
        <w:rPr>
          <w:rFonts w:ascii="Athelas" w:hAnsi="Athelas"/>
          <w:color w:val="000000" w:themeColor="text1"/>
        </w:rPr>
        <w:t>According to this explanation, the two nations have a high Human Capital Index because the government is responsible for it and pays attention to the caliber of available human resources, one of which is education</w:t>
      </w:r>
      <w:r w:rsidRPr="00F139D9">
        <w:rPr>
          <w:rFonts w:ascii="Athelas" w:hAnsi="Athelas"/>
          <w:color w:val="000000" w:themeColor="text1"/>
          <w:lang w:val="id-ID"/>
        </w:rPr>
        <w:t xml:space="preserve"> </w:t>
      </w:r>
      <w:r w:rsidRPr="00F139D9">
        <w:rPr>
          <w:rFonts w:ascii="Athelas" w:hAnsi="Athelas"/>
          <w:color w:val="000000" w:themeColor="text1"/>
          <w:lang w:val="id-ID"/>
        </w:rPr>
        <w:fldChar w:fldCharType="begin" w:fldLock="1"/>
      </w:r>
      <w:r w:rsidRPr="00F139D9">
        <w:rPr>
          <w:rFonts w:ascii="Athelas" w:hAnsi="Athelas"/>
          <w:color w:val="000000" w:themeColor="text1"/>
          <w:lang w:val="id-ID"/>
        </w:rPr>
        <w:instrText>ADDIN CSL_CITATION {"citationItems":[{"id":"ITEM-1","itemData":{"DOI":"10.22373/jep.v12i1.606","ISSN":"0852-9124","abstract":"Penelitian ini bertujuan untuk menganalisis pengaruh tata kelola pemerintah(governance) terhadap pertumbuhan ekonomi di ASEAN. Adapun variabel-variabel yangditeliti dalam penelitian ini meliputi Pertumbuhan Ekonomi, Governance Indicators yangdijelaskan dengan proksi voice and accountability, political stability, governanceeffectiveness, regulatory quality, rule of law, dan control of corruption. Jumlah penduduksebagai variabel kontrol. Fokus penelitian terdiri dari 10 negara ASEAN meliputi,Indonesia, Malaysia, Filipina, Singapura, Thailand, Brunei Darussalam, Kamboja, Laos,Myanmar, dan Vietnam dengan periode penelitian tahun 2010 sampai 2019 menggunakananalisis data panel. Hasil Penelitian menunjukkan, bahwa variabel GovernanceEffectiveness, Political Stability, Regulatory Quality dan Rule of Law berpengaruh positifsignifikan pada Pertumbuhan Ekonomi, sedangkan untuk variabel Control of Corruptiondan Voice and Accountability tidak berpengaruh terhadap Pertumbuhan Ekonomi diASEAN.","author":[{"dropping-particle":"","family":"Eka Asbarini","given":"Nur Fitri","non-dropping-particle":"","parse-names":false,"suffix":""},{"dropping-particle":"","family":"Isnaini","given":"Laili","non-dropping-particle":"","parse-names":false,"suffix":""},{"dropping-particle":"","family":"Wibowo","given":"Muhammad Ghafur","non-dropping-particle":"","parse-names":false,"suffix":""}],"container-title":"Jurnal Ekonomi dan Pembangunan","id":"ITEM-1","issue":"1","issued":{"date-parts":[["2021"]]},"page":"82-93","title":"Pengaruh Tata Kelola Pemerintah Terhadap Pertumbuhan Ekonomi Di ASEAN","type":"article-journal","volume":"12"},"uris":["http://www.mendeley.com/documents/?uuid=0592fc85-f47f-490b-9b87-0e52fac73a6a"]}],"mendeley":{"formattedCitation":"(Eka Asbarini et al., 2021)","plainTextFormattedCitation":"(Eka Asbarini et al., 2021)","previouslyFormattedCitation":"(Eka Asbarini et al., 2021)"},"properties":{"noteIndex":0},"schema":"https://github.com/citation-style-language/schema/raw/master/csl-citation.json"}</w:instrText>
      </w:r>
      <w:r w:rsidRPr="00F139D9">
        <w:rPr>
          <w:rFonts w:ascii="Athelas" w:hAnsi="Athelas"/>
          <w:color w:val="000000" w:themeColor="text1"/>
          <w:lang w:val="id-ID"/>
        </w:rPr>
        <w:fldChar w:fldCharType="separate"/>
      </w:r>
      <w:r w:rsidRPr="00F139D9">
        <w:rPr>
          <w:rFonts w:ascii="Athelas" w:hAnsi="Athelas"/>
          <w:noProof/>
          <w:color w:val="000000" w:themeColor="text1"/>
          <w:lang w:val="id-ID"/>
        </w:rPr>
        <w:t>(Eka Asbarini et al., 2021)</w:t>
      </w:r>
      <w:r w:rsidRPr="00F139D9">
        <w:rPr>
          <w:rFonts w:ascii="Athelas" w:hAnsi="Athelas"/>
          <w:color w:val="000000" w:themeColor="text1"/>
          <w:lang w:val="id-ID"/>
        </w:rPr>
        <w:fldChar w:fldCharType="end"/>
      </w:r>
      <w:r w:rsidRPr="00F139D9">
        <w:rPr>
          <w:rFonts w:ascii="Athelas" w:hAnsi="Athelas"/>
          <w:color w:val="000000" w:themeColor="text1"/>
          <w:lang w:val="id-ID"/>
        </w:rPr>
        <w:t xml:space="preserve">. </w:t>
      </w:r>
    </w:p>
    <w:p w14:paraId="0C26C6E1" w14:textId="77777777" w:rsidR="001612BD" w:rsidRPr="00F139D9" w:rsidRDefault="001612BD" w:rsidP="001612BD">
      <w:pPr>
        <w:pStyle w:val="NormalWeb"/>
        <w:spacing w:line="276" w:lineRule="auto"/>
        <w:ind w:firstLine="720"/>
        <w:jc w:val="both"/>
        <w:rPr>
          <w:rFonts w:ascii="Athelas" w:hAnsi="Athelas"/>
          <w:color w:val="000000" w:themeColor="text1"/>
        </w:rPr>
      </w:pPr>
      <w:r w:rsidRPr="00F139D9">
        <w:rPr>
          <w:rFonts w:ascii="Athelas" w:hAnsi="Athelas"/>
          <w:color w:val="000000" w:themeColor="text1"/>
        </w:rPr>
        <w:t xml:space="preserve">The Philippines has a Human Capital Index value of 5,238 and is still in fifth place after Singapore, Vietnam, Malaysia, and Thailand in the Southeast Asia scope. While Indonesia received a score of 5,098 due to the lack of health and education contributions, Indonesia is ranked 6th under Singapore, Vietnam, Malaysia, Thailand, and the Philippines and ahead of Cambodia, Myanmar, Laos, and Timor </w:t>
      </w:r>
      <w:proofErr w:type="spellStart"/>
      <w:r w:rsidRPr="00F139D9">
        <w:rPr>
          <w:rFonts w:ascii="Athelas" w:hAnsi="Athelas"/>
          <w:color w:val="000000" w:themeColor="text1"/>
        </w:rPr>
        <w:t>Leste</w:t>
      </w:r>
      <w:proofErr w:type="spellEnd"/>
      <w:r w:rsidRPr="00F139D9">
        <w:rPr>
          <w:rFonts w:ascii="Athelas" w:hAnsi="Athelas"/>
          <w:color w:val="000000" w:themeColor="text1"/>
        </w:rPr>
        <w:t>. However, when compared to Singapore, Brunei Darussalam, Malaysia, Thailand, the Philippines, and Indonesia, they are still superior to Myanmar</w:t>
      </w:r>
      <w:r w:rsidRPr="00F139D9">
        <w:rPr>
          <w:rFonts w:ascii="Athelas" w:hAnsi="Athelas"/>
          <w:color w:val="000000" w:themeColor="text1"/>
          <w:lang w:val="id-ID"/>
        </w:rPr>
        <w:t xml:space="preserve">  </w:t>
      </w:r>
      <w:r w:rsidRPr="00F139D9">
        <w:rPr>
          <w:rFonts w:ascii="Athelas" w:hAnsi="Athelas"/>
          <w:color w:val="000000" w:themeColor="text1"/>
          <w:lang w:val="id-ID"/>
        </w:rPr>
        <w:fldChar w:fldCharType="begin" w:fldLock="1"/>
      </w:r>
      <w:r w:rsidRPr="00F139D9">
        <w:rPr>
          <w:rFonts w:ascii="Athelas" w:hAnsi="Athelas"/>
          <w:color w:val="000000" w:themeColor="text1"/>
          <w:lang w:val="id-ID"/>
        </w:rPr>
        <w:instrText>ADDIN CSL_CITATION {"citationItems":[{"id":"ITEM-1","itemData":{"URL":"https://databoks.katadata.co.id/datapublish/2019/05/22/indeks-modal-manusia-indonesia-peringkat-6-di-asean","author":[{"dropping-particle":"","family":"Databoks","given":"","non-dropping-particle":"","parse-names":false,"suffix":""}],"id":"ITEM-1","issued":{"date-parts":[["2019"]]},"title":"Indeks Modal Manusia Indonesia Peringkat 6 di ASEAN","type":"webpage"},"uris":["http://www.mendeley.com/documents/?uuid=c88e1f2a-6f70-46fc-8024-4f997f683dbb"]}],"mendeley":{"formattedCitation":"(Databoks, 2019)","plainTextFormattedCitation":"(Databoks, 2019)","previouslyFormattedCitation":"(Databoks, 2019)"},"properties":{"noteIndex":0},"schema":"https://github.com/citation-style-language/schema/raw/master/csl-citation.json"}</w:instrText>
      </w:r>
      <w:r w:rsidRPr="00F139D9">
        <w:rPr>
          <w:rFonts w:ascii="Athelas" w:hAnsi="Athelas"/>
          <w:color w:val="000000" w:themeColor="text1"/>
          <w:lang w:val="id-ID"/>
        </w:rPr>
        <w:fldChar w:fldCharType="separate"/>
      </w:r>
      <w:r w:rsidRPr="00F139D9">
        <w:rPr>
          <w:rFonts w:ascii="Athelas" w:hAnsi="Athelas"/>
          <w:noProof/>
          <w:color w:val="000000" w:themeColor="text1"/>
          <w:lang w:val="id-ID"/>
        </w:rPr>
        <w:t>(Databoks, 2019)</w:t>
      </w:r>
      <w:r w:rsidRPr="00F139D9">
        <w:rPr>
          <w:rFonts w:ascii="Athelas" w:hAnsi="Athelas"/>
          <w:color w:val="000000" w:themeColor="text1"/>
          <w:lang w:val="id-ID"/>
        </w:rPr>
        <w:fldChar w:fldCharType="end"/>
      </w:r>
      <w:r w:rsidRPr="00F139D9">
        <w:rPr>
          <w:rFonts w:ascii="Athelas" w:hAnsi="Athelas"/>
          <w:color w:val="000000" w:themeColor="text1"/>
          <w:lang w:val="id-ID"/>
        </w:rPr>
        <w:t>.</w:t>
      </w:r>
    </w:p>
    <w:p w14:paraId="46A86D38" w14:textId="77777777" w:rsidR="001612BD" w:rsidRPr="00F139D9" w:rsidRDefault="001612BD" w:rsidP="001612BD">
      <w:pPr>
        <w:pStyle w:val="NormalWeb"/>
        <w:spacing w:line="276" w:lineRule="auto"/>
        <w:ind w:firstLine="720"/>
        <w:jc w:val="both"/>
        <w:rPr>
          <w:rFonts w:ascii="Athelas" w:hAnsi="Athelas"/>
          <w:color w:val="000000" w:themeColor="text1"/>
        </w:rPr>
      </w:pPr>
      <w:r w:rsidRPr="00F139D9">
        <w:rPr>
          <w:rFonts w:ascii="Athelas" w:hAnsi="Athelas"/>
          <w:color w:val="000000" w:themeColor="text1"/>
        </w:rPr>
        <w:t>Furthermore, the second indicator is the Online Service Index; in this indicator, Singapore gets the highest score of 6,699 compared to Brunei Darussalam, Malaysia, Indonesia, Thailand, the Philippines, and Myanmar. This shows that the two countries have a much faster adaptation speed for e-government development compared to other countries. Singapore's success is due to its government's success in developing various online services or service portals that are able to make it easier for its citizens to get online services, which include electronic participation portals and government websites related to health and others</w:t>
      </w:r>
      <w:r w:rsidRPr="00F139D9">
        <w:rPr>
          <w:rFonts w:ascii="Athelas" w:hAnsi="Athelas"/>
          <w:color w:val="000000" w:themeColor="text1"/>
          <w:lang w:val="id-ID"/>
        </w:rPr>
        <w:t xml:space="preserve"> </w:t>
      </w:r>
      <w:r w:rsidRPr="00F139D9">
        <w:rPr>
          <w:rFonts w:ascii="Athelas" w:hAnsi="Athelas"/>
          <w:color w:val="000000" w:themeColor="text1"/>
        </w:rPr>
        <w:fldChar w:fldCharType="begin" w:fldLock="1"/>
      </w:r>
      <w:r w:rsidRPr="00F139D9">
        <w:rPr>
          <w:rFonts w:ascii="Athelas" w:hAnsi="Athelas"/>
          <w:color w:val="000000" w:themeColor="text1"/>
        </w:rPr>
        <w:instrText>ADDIN CSL_CITATION {"citationItems":[{"id":"ITEM-1","itemData":{"DOI":"10.18196/jphk.1101","abstract":"Penerapan e-government dalam menyongsong era revolusi industri 4.0 sangat berpengaruh pada sendi kehidupan di Indonesia. Masa transisi menuju era revolusi industry 4.0 menarik untuk di kaji, mengingat negeri Indonesia juga dituntut untuk menerapkan industri 4.0 dalam komponen pemerintahan. Penelitian hukum normatif menemukan bahwa perkembangan sistem e-government di Indonesia secara kuantitas mulai meningkat namun secara kualitas masih belum memadai dikarenakan implementasi e-government belum merata pada seluruh wilayah dan masih berfungsi sebagai penyedia informasi statik saja. Sementara kendala mendasar di dalam penyelenggaran e-government dalam revolusi industri 4.0 berada di tingkat pemerintahan daerah. Proyeksi e-government terhadap perkembangan revolusi industri 4.0 dimasa yang akan datang haruslah adanya rumusan terbaik diantaranya : (1) tatanan regulasi hukum yang baik dan perlindungan hukum (2) pemerintah meningkatkan pendidikan terkususnya di bidang IT sebagai pembentukan SDM yang mumpuni (3) infrastuktur dan ketersediaan media akses yang memadai (4) pembentukan karakter dan etos kerja yang baik bagi SDM aparatur pemerintahan (5) merubah mindset aparatur menjadi disruptive mindset aparatur di Indonesia (6) revolusi industri 4.0 berbasis revolusi moral (7) menciptakan Intrepreneurial Leadership yang handal (8) diperkuatnya pendidikan agama","author":[{"dropping-particle":"","family":"Wirawan","given":"Vani","non-dropping-particle":"","parse-names":false,"suffix":""}],"container-title":"Jurnal Penegakan Hukum dan Keadilan","id":"ITEM-1","issue":"1","issued":{"date-parts":[["2020"]]},"page":"1-16","title":"Penerapan E-Government dalam Menyongsong Era Revolusi Industri 4.0 Kontemporer di Indonesia","type":"article-journal","volume":"1"},"uris":["http://www.mendeley.com/documents/?uuid=93cff233-237c-4593-b39e-36095fb3cdb9"]}],"mendeley":{"formattedCitation":"(V. Wirawan, 2020)","plainTextFormattedCitation":"(V. Wirawan, 2020)","previouslyFormattedCitation":"(V. Wirawan, 2020)"},"properties":{"noteIndex":0},"schema":"https://github.com/citation-style-language/schema/raw/master/csl-citation.json"}</w:instrText>
      </w:r>
      <w:r w:rsidRPr="00F139D9">
        <w:rPr>
          <w:rFonts w:ascii="Athelas" w:hAnsi="Athelas"/>
          <w:color w:val="000000" w:themeColor="text1"/>
        </w:rPr>
        <w:fldChar w:fldCharType="separate"/>
      </w:r>
      <w:r w:rsidRPr="00F139D9">
        <w:rPr>
          <w:rFonts w:ascii="Athelas" w:hAnsi="Athelas"/>
          <w:noProof/>
          <w:color w:val="000000" w:themeColor="text1"/>
        </w:rPr>
        <w:t>(V. Wirawan, 2020)</w:t>
      </w:r>
      <w:r w:rsidRPr="00F139D9">
        <w:rPr>
          <w:rFonts w:ascii="Athelas" w:hAnsi="Athelas"/>
          <w:color w:val="000000" w:themeColor="text1"/>
        </w:rPr>
        <w:fldChar w:fldCharType="end"/>
      </w:r>
      <w:r w:rsidRPr="00F139D9">
        <w:rPr>
          <w:rFonts w:ascii="Athelas" w:hAnsi="Athelas"/>
          <w:color w:val="000000" w:themeColor="text1"/>
        </w:rPr>
        <w:t>.</w:t>
      </w:r>
    </w:p>
    <w:p w14:paraId="4672E21F" w14:textId="77777777" w:rsidR="001612BD" w:rsidRPr="00F139D9" w:rsidRDefault="001612BD" w:rsidP="001612BD">
      <w:pPr>
        <w:pStyle w:val="NormalWeb"/>
        <w:spacing w:line="276" w:lineRule="auto"/>
        <w:ind w:firstLine="720"/>
        <w:jc w:val="both"/>
        <w:rPr>
          <w:rStyle w:val="y2iqfc"/>
          <w:rFonts w:ascii="Athelas" w:hAnsi="Athelas"/>
          <w:color w:val="000000" w:themeColor="text1"/>
        </w:rPr>
      </w:pPr>
      <w:r w:rsidRPr="00F139D9">
        <w:rPr>
          <w:rFonts w:ascii="Athelas" w:hAnsi="Athelas"/>
          <w:color w:val="000000" w:themeColor="text1"/>
        </w:rPr>
        <w:lastRenderedPageBreak/>
        <w:t>Brunei Darussalam with a score of 4,411, Malaysia with a score of 5,922, Indonesia with a score of 4,738, Thailand with a score of 5,514, the Philippines with a score of 5,065; and the lowest is Myanmar with a score of 1,797. This proves that the Service Index indicators in Brunei Darussalam, Malaysia, Thailand, Indonesia, and the Philippines have been implemented properly</w:t>
      </w:r>
      <w:r w:rsidRPr="00F139D9">
        <w:rPr>
          <w:rFonts w:ascii="Athelas" w:hAnsi="Athelas"/>
          <w:color w:val="000000" w:themeColor="text1"/>
          <w:lang w:val="id-ID"/>
        </w:rPr>
        <w:t xml:space="preserve"> </w:t>
      </w:r>
      <w:r w:rsidRPr="00F139D9">
        <w:rPr>
          <w:rFonts w:ascii="Athelas" w:hAnsi="Athelas"/>
          <w:color w:val="000000" w:themeColor="text1"/>
          <w:lang w:val="id-ID"/>
        </w:rPr>
        <w:fldChar w:fldCharType="begin" w:fldLock="1"/>
      </w:r>
      <w:r w:rsidRPr="00F139D9">
        <w:rPr>
          <w:rFonts w:ascii="Athelas" w:hAnsi="Athelas"/>
          <w:color w:val="000000" w:themeColor="text1"/>
          <w:lang w:val="id-ID"/>
        </w:rPr>
        <w:instrText>ADDIN CSL_CITATION {"citationItems":[{"id":"ITEM-1","itemData":{"DOI":"10.35912/jasispol.v1i1.163","abstract":"Abstract Purpose: This research aimed to examine the extent to which the best practice of public service policies utilizing e-government and how much e-government policies need to be enforced in the new normal era. Research methodology: This research used a purposive sampling method. This research is qualitative data where the required data are statements and policies related to community participation in Bandar Lampung city. Results: The results show that many people do not understand e-government policy and its implementation is not optimal. Limitations: This study has limitations in accessing the number of respondents in taking research samples with qualitative techniques through questionnaires and their relationship to document studies. Contribution: This research is expected to be useful in improving public services amid a pandemic and being a consideration for the government in practicing an effective and efficient e-government policy as a form of implementing Best Practice, especially in regions of Indonesia.","author":[{"dropping-particle":"","family":"Tasyah","given":"Amelia","non-dropping-particle":"","parse-names":false,"suffix":""},{"dropping-particle":"","family":"Septiya","given":"Septiya","non-dropping-particle":"","parse-names":false,"suffix":""},{"dropping-particle":"","family":"Jasriyani Putri","given":"Sabrina","non-dropping-particle":"","parse-names":false,"suffix":""},{"dropping-particle":"","family":"Agung Fernanda","given":"Reza","non-dropping-particle":"","parse-names":false,"suffix":""},{"dropping-particle":"","family":"Chesilia Azani","given":"Putri","non-dropping-particle":"","parse-names":false,"suffix":""}],"container-title":"Jurnal Studi Ilmu Sosial dan Politik","id":"ITEM-1","issue":"1","issued":{"date-parts":[["2021"]]},"page":"21-33","title":"Best practice kebijakan e-government dalam mengimplementasikan pelayanan publik di era new normal","type":"article-journal","volume":"1"},"uris":["http://www.mendeley.com/documents/?uuid=b74a4c31-e5b6-4f85-a294-33d4e91fc443"]},{"id":"ITEM-2","itemData":{"ISSN":"2302-5603","abstract":"Since the enactment of Presidential Instruction No.6 of 2001, regarding telematics, good governance, and subsequently Presidential Instruction No.3 of 2003, concerning national e- government policies and strategies, the government has been demanded to be able to take advantage of advances in communication and information technology through the development of e-based public services. government, at the national and regional levels. However, to date in the field there are still many differences that occur between regions, due to different human resources. The developed e-government only indicates the fulfillment of policies, without any improvement in service quality. This research, using descriptive qualitative methods, will examine how public services are implemented after the implementation of e-governance at the Communication and Information Office of Minahasa Regency, North Sulawesi Province. The service referred to will be studied using the service concept put forward by Nuiyanto (2014: 18) Public service which is ideal means that public services are characterized by accountability and responsibility from the service providers of the apparatus, with the characteristics of effective, simple, clarity and certainty (transparent). , openness, and efficiency. The research findings illustrate that the application of e- government in Minahasa Regency has led to an increase in community participation in using public service information used by the Minahasa Regency Information Communication Office.","author":[{"dropping-particle":"","family":"Gioh","given":"Andre","non-dropping-particle":"","parse-names":false,"suffix":""}],"container-title":"Jurnal Politico","id":"ITEM-2","issue":"1","issued":{"date-parts":[["2021"]]},"page":"1-14","title":"Pelayanan Publik E-Government Di Dinas Komunikasi Informatika Kabupaten Minahasa","type":"article-journal","volume":"10"},"uris":["http://www.mendeley.com/documents/?uuid=0eae10e6-92e1-4c36-8ef0-a637d95bb91e"]},{"id":"ITEM-3","itemData":{"DOI":"10.18415/ijmmu.v9i2.3524","abstract":"This article examines the features of the development of the digital economy in a large region in a pandemic. The key technologies of the digital economy of a particular region are given. The systems \"Electronic polyclinic\" \"Electronic diary\", \"Electronic textbook\", \"Teachers' assessment\" have been studied. The economic efficiency of using these systems in the region's economy has been determined. Important projects aimed at the development of \"Electronic government\" and telecommunications systems have been proposed. The effectiveness of the use of the digital economy in Uzbekistan is analyzed and a strategy for its development is proposed.","author":[{"dropping-particle":"","family":"Urinovich Kobilov","given":"Alisher","non-dropping-particle":"","parse-names":false,"suffix":""},{"dropping-particle":"","family":"Khashimova","given":"Dilyora Pahritdinovna","non-dropping-particle":"","parse-names":false,"suffix":""},{"dropping-particle":"","family":"Mannanova","given":"Shakhida Gaybullaevna","non-dropping-particle":"","parse-names":false,"suffix":""},{"dropping-particle":"","family":"Ogli Abdulakhatov","given":"Muzaffarjon Mashrabjon","non-dropping-particle":"","parse-names":false,"suffix":""}],"container-title":"International Journal of Multicultural and Multireligious Understanding","id":"ITEM-3","issue":"2","issued":{"date-parts":[["2022"]]},"page":"375","title":"Modern Content and Concept of Digital Economy","type":"article-journal","volume":"9"},"uris":["http://www.mendeley.com/documents/?uuid=0ce115dc-1ef0-47a7-87da-d961eb0809a6"]},{"id":"ITEM-4","itemData":{"DOI":"10.25115/eea.v39i7.5231","ISSN":"16975731","abstract":"Investigating of e-government specified a few organizational barriers to e-government implementation. This paper proposes a framework for examining how organizational barriers affect the application of e-government. Frame creation depends on three main organizational dimensions. First, the organizational main dimensions, which are related to the culture of organization, include (control system, strategic direction, integration and coordination). Second, the organizational main dimensions which are related to the structure of organization include (adaptability, involvement, integration, agreement, reword and incentive system). Third, the organizational main dimensions, which are related to the Information Technology, include (information transfer, Communication, end user focus and employee learning). We initiate those organizational obstacles which are recognized in major electronic government literature linked to the organizational culture effectiveness and dimensions. The conclusion is that the framework is related to understand organizational barriers which prompt the implementation of electronic government. This research is limited to the framework that has been developed based on the lens of e-government literature in the application theory. It is now necessary to test this model in different contexts. This study tries to demonstrate that key which impedes the factors that are associated to the implementation and enhancement of e-government system. There must be more attention to the progress made in e-government projects quickly and accurately. Thus, there is a strong commitment on the part of each government to implement e-government services.","author":[{"dropping-particle":"","family":"Saleh","given":"Saman","non-dropping-particle":"","parse-names":false,"suffix":""},{"dropping-particle":"","family":"Nakshabandi","given":"Omar A.","non-dropping-particle":"","parse-names":false,"suffix":""},{"dropping-particle":"","family":"Zeebaree","given":"Mosleh","non-dropping-particle":"","parse-names":false,"suffix":""},{"dropping-particle":"","family":"Ismael","given":"Goran Yousif","non-dropping-particle":"","parse-names":false,"suffix":""},{"dropping-particle":"","family":"Aqel","given":"Musbah","non-dropping-particle":"","parse-names":false,"suffix":""}],"container-title":"Estudios de Economia Aplicada","id":"ITEM-4","issue":"7","issued":{"date-parts":[["2021"]]},"title":"Organizational barriers which are facing electronic government implementation: The electronic government implementation framework","type":"article-journal","volume":"39"},"uris":["http://www.mendeley.com/documents/?uuid=b2047b4a-f821-4686-80a3-5a7c0cc92d6b"]},{"id":"ITEM-5","itemData":{"DOI":"10.29333/jisem/9620","abstract":"… the readability of Spanish e-government websites. Specifically, the websites collected explain e-government administrative procedures. … To this end, texts from websites outside the government websites have been collected. These texts clarify the procedures published on the …","author":[{"dropping-particle":"","family":"Morato","given":"Jorge","non-dropping-particle":"","parse-names":false,"suffix":""},{"dropping-particle":"","family":"Iglesias","given":"Ana","non-dropping-particle":"","parse-names":false,"suffix":""},{"dropping-particle":"","family":"Campillo","given":"Adrián","non-dropping-particle":"","parse-names":false,"suffix":""},{"dropping-particle":"","family":"Sanchez-Cuadrado","given":"Sonia","non-dropping-particle":"","parse-names":false,"suffix":""}],"container-title":"Journal of Information Systems Engineering and Management","id":"ITEM-5","issue":"2","issued":{"date-parts":[["2021"]]},"page":"em0137","title":"Automated Readability Assessment for Spanish e-Government Information","type":"article-journal","volume":"6"},"uris":["http://www.mendeley.com/documents/?uuid=7328ce55-9efc-46ca-9eff-d68e89f73914"]},{"id":"ITEM-6","itemData":{"DOI":"10.32520/stmsi.v10i1.1027","ISSN":"2302-8149","abstract":"AbstractEnterprise Architecture (EA) has become a major requirement for organizations to addresses business, data, infrastructure, and information systems. EA Implementation in the government is considered very important to improve the efficiency of electronic-based services. The documentation process is challenging and is often seen as very time consuming, error-prone, and requires the collection of quality data. To create a successful, it requires to emphasize the aspects of EA development properly to prevent failure of the documentation. So, this study aims to identify the aspects of how to develop EA for e-government. The method of this study was literature review of 30 previous studies that related with the topic. Thus, this study analyzed and synthesized the studies and it can be mapped into 2 categories. The mapping consists of 1) elements and 2) criteria methodology of EA development for e-government. The findings are 23  and 11 criteria methodology of development for e-government. This study also provides some reference for further research and also provides insight into EA development for e-government that will be used by practitioners.Keywords: enterprise architecture, e-Government, e-Government EA, EA methodology AbstrakArsitektur perusahaan telah menjadi kebutuhan utama bagi organisasi untuk mengembangkan bisnis, data, infrastruktur, dan sistem informasi. Penerapan arsitektur perusahaan di pemerintahan dinilai sangat penting untuk meningkatkan efisiensi layanan berbasis elektronik. Proses dokumentasi cukup menantang dan sering kali dianggap sangat memakan waktu, rawan kesalahan, dan memerlukan pengumpulan data yang berkualitas. Untuk menciptakan kesuksesan, perlu adanya penekanan pada aspek pengembangan arsitektur perusahaan dengan baik untuk mencegah kegagalan pendokumentasian. Jadi, penelitian ini bertujuan untuk mengidentifikasi aspek bagaimana mengembangkan arsitektur perusahaan untuk e-government. Metode penelitian ini adalah studi pustaka dari 30 penelitian sebelumnya yang berhubungan dengan topik. Dengan demikian, studi ini menganalisis dan mensintesis studi tersebut dan dapat dipetakan menjadi 2 kategori. Pemetaan terdiri dari 1) elemen dan 2) metodologi kriteria pengembangan arsitektur perusahaan untuk e-government. Temuan tersebut adalah 23 dan 11 kriteria metodologi pengembangan e-government. Studi ini juga memberikan beberapa referensi untuk penelitian selanjutnya dan juga memberikan wawasan tentang pengembangan arsitektur perus…","author":[{"dropping-particle":"","family":"Puspitaningrum","given":"Ari Cahaya","non-dropping-particle":"","parse-names":false,"suffix":""}],"container-title":"Sistemasi","id":"ITEM-6","issue":"1","issued":{"date-parts":[["2021"]]},"page":"26","title":"Literature Review: Elements and Criteria Methodology of Enterprise Architecture for E-Government","type":"article-journal","volume":"10"},"uris":["http://www.mendeley.com/documents/?uuid=d665f35e-ed23-4d69-9fe6-9c91875bc9fb"]}],"mendeley":{"formattedCitation":"(Gioh, 2021; Morato et al., 2021; Puspitaningrum, 2021; Saleh et al., 2021; Tasyah et al., 2021; Urinovich Kobilov et al., 2022)","plainTextFormattedCitation":"(Gioh, 2021; Morato et al., 2021; Puspitaningrum, 2021; Saleh et al., 2021; Tasyah et al., 2021; Urinovich Kobilov et al., 2022)","previouslyFormattedCitation":"(Gioh, 2021; Morato et al., 2021; Puspitaningrum, 2021; Saleh et al., 2021; Tasyah et al., 2021; Urinovich Kobilov et al., 2022)"},"properties":{"noteIndex":0},"schema":"https://github.com/citation-style-language/schema/raw/master/csl-citation.json"}</w:instrText>
      </w:r>
      <w:r w:rsidRPr="00F139D9">
        <w:rPr>
          <w:rFonts w:ascii="Athelas" w:hAnsi="Athelas"/>
          <w:color w:val="000000" w:themeColor="text1"/>
          <w:lang w:val="id-ID"/>
        </w:rPr>
        <w:fldChar w:fldCharType="separate"/>
      </w:r>
      <w:r w:rsidRPr="00F139D9">
        <w:rPr>
          <w:rFonts w:ascii="Athelas" w:hAnsi="Athelas"/>
          <w:noProof/>
          <w:color w:val="000000" w:themeColor="text1"/>
          <w:lang w:val="id-ID"/>
        </w:rPr>
        <w:t>(Gioh, 2021; Morato et al., 2021; Puspitaningrum, 2021; Saleh et al., 2021; Tasyah et al., 2021; Urinovich Kobilov et al., 2022)</w:t>
      </w:r>
      <w:r w:rsidRPr="00F139D9">
        <w:rPr>
          <w:rFonts w:ascii="Athelas" w:hAnsi="Athelas"/>
          <w:color w:val="000000" w:themeColor="text1"/>
          <w:lang w:val="id-ID"/>
        </w:rPr>
        <w:fldChar w:fldCharType="end"/>
      </w:r>
      <w:r w:rsidRPr="00F139D9">
        <w:rPr>
          <w:rFonts w:ascii="Athelas" w:hAnsi="Athelas"/>
          <w:color w:val="000000" w:themeColor="text1"/>
          <w:lang w:val="id-ID"/>
        </w:rPr>
        <w:t xml:space="preserve">. </w:t>
      </w:r>
      <w:r w:rsidRPr="00F139D9">
        <w:rPr>
          <w:rFonts w:ascii="Athelas" w:hAnsi="Athelas"/>
          <w:color w:val="000000" w:themeColor="text1"/>
        </w:rPr>
        <w:t xml:space="preserve">Whereas in Myanmar, it is low due to inadequate online services from various components, such as electronic participation portals and government websites that are not yet optimal, but Myanmar is still superior to Timor </w:t>
      </w:r>
      <w:proofErr w:type="spellStart"/>
      <w:r w:rsidRPr="00F139D9">
        <w:rPr>
          <w:rFonts w:ascii="Athelas" w:hAnsi="Athelas"/>
          <w:color w:val="000000" w:themeColor="text1"/>
        </w:rPr>
        <w:t>Leste</w:t>
      </w:r>
      <w:proofErr w:type="spellEnd"/>
      <w:r w:rsidRPr="00F139D9">
        <w:rPr>
          <w:rFonts w:ascii="Athelas" w:hAnsi="Athelas"/>
          <w:color w:val="000000" w:themeColor="text1"/>
        </w:rPr>
        <w:t xml:space="preserve"> and Laos </w:t>
      </w:r>
      <w:r w:rsidRPr="00F139D9">
        <w:rPr>
          <w:rFonts w:ascii="Athelas" w:hAnsi="Athelas"/>
          <w:color w:val="000000" w:themeColor="text1"/>
          <w:lang w:val="id-ID"/>
        </w:rPr>
        <w:fldChar w:fldCharType="begin" w:fldLock="1"/>
      </w:r>
      <w:r w:rsidRPr="00F139D9">
        <w:rPr>
          <w:rFonts w:ascii="Athelas" w:hAnsi="Athelas"/>
          <w:color w:val="000000" w:themeColor="text1"/>
          <w:lang w:val="id-ID"/>
        </w:rPr>
        <w:instrText>ADDIN CSL_CITATION {"citationItems":[{"id":"ITEM-1","itemData":{"URL":"https://databoks.katadata.co.id/datapublish/2022/10/05/sistem-e-government-indonesia-peringkat-ke-5-di-asia-tenggara","author":[{"dropping-particle":"","family":"databoks","given":"","non-dropping-particle":"","parse-names":false,"suffix":""}],"id":"ITEM-1","issued":{"date-parts":[["2022"]]},"title":"Sistem E-Government Indonesia Peringkat ke-5 di Asia Tenggara","type":"webpage"},"uris":["http://www.mendeley.com/documents/?uuid=84e2e038-ff7e-49f6-b165-3702feb74486"]}],"mendeley":{"formattedCitation":"(databoks, 2022)","plainTextFormattedCitation":"(databoks, 2022)","previouslyFormattedCitation":"(databoks, 2022)"},"properties":{"noteIndex":0},"schema":"https://github.com/citation-style-language/schema/raw/master/csl-citation.json"}</w:instrText>
      </w:r>
      <w:r w:rsidRPr="00F139D9">
        <w:rPr>
          <w:rFonts w:ascii="Athelas" w:hAnsi="Athelas"/>
          <w:color w:val="000000" w:themeColor="text1"/>
          <w:lang w:val="id-ID"/>
        </w:rPr>
        <w:fldChar w:fldCharType="separate"/>
      </w:r>
      <w:r w:rsidRPr="00F139D9">
        <w:rPr>
          <w:rFonts w:ascii="Athelas" w:hAnsi="Athelas"/>
          <w:noProof/>
          <w:color w:val="000000" w:themeColor="text1"/>
          <w:lang w:val="id-ID"/>
        </w:rPr>
        <w:t>(databoks, 2022)</w:t>
      </w:r>
      <w:r w:rsidRPr="00F139D9">
        <w:rPr>
          <w:rFonts w:ascii="Athelas" w:hAnsi="Athelas"/>
          <w:color w:val="000000" w:themeColor="text1"/>
          <w:lang w:val="id-ID"/>
        </w:rPr>
        <w:fldChar w:fldCharType="end"/>
      </w:r>
      <w:r w:rsidRPr="00F139D9">
        <w:rPr>
          <w:rFonts w:ascii="Athelas" w:hAnsi="Athelas"/>
          <w:color w:val="000000" w:themeColor="text1"/>
          <w:lang w:val="id-ID"/>
        </w:rPr>
        <w:t>.</w:t>
      </w:r>
    </w:p>
    <w:p w14:paraId="4059A4DD" w14:textId="77777777" w:rsidR="001612BD" w:rsidRPr="00F139D9" w:rsidRDefault="001612BD" w:rsidP="001612BD">
      <w:pPr>
        <w:pStyle w:val="NormalWeb"/>
        <w:spacing w:line="276" w:lineRule="auto"/>
        <w:ind w:firstLine="720"/>
        <w:jc w:val="both"/>
        <w:rPr>
          <w:rFonts w:ascii="Athelas" w:hAnsi="Athelas"/>
          <w:color w:val="000000" w:themeColor="text1"/>
        </w:rPr>
      </w:pPr>
      <w:r w:rsidRPr="001612BD">
        <w:rPr>
          <w:rStyle w:val="Strong"/>
          <w:rFonts w:ascii="Athelas" w:eastAsia="Calibri" w:hAnsi="Athelas"/>
          <w:b w:val="0"/>
          <w:bCs w:val="0"/>
          <w:color w:val="000000" w:themeColor="text1"/>
        </w:rPr>
        <w:t>The third indicator, namely telecommunications infrastructure, shows that the country with the highest score in the telecommunications infrastructure index points is Singapore, with a score of 6,179 higher than Brunei Darussalam with a value of 5,700, Malaysia with a value of 5,301, Thailand with a value of 3,936, Indonesia with a value of 4,863, the Philippines with a value of 4,054, and Myanmar with a score of 4,054. Singapore is superior because the country has very adequate infrastructure and telecommunications, and Singapore has become a developed country compared to other ASEAN countries. So, the Economist Intelligence Unit (EIU) gave Singapore a score of 84 in the 2021 Inclusive Internet Index. This score places Singapore in the 12th position out of 120</w:t>
      </w:r>
      <w:r w:rsidRPr="00F139D9">
        <w:rPr>
          <w:rFonts w:ascii="Athelas" w:hAnsi="Athelas"/>
          <w:color w:val="000000" w:themeColor="text1"/>
        </w:rPr>
        <w:t xml:space="preserve"> countries in the world, as well as being the highest in Southeast Asia. Malaysia is in second place with a score of 76</w:t>
      </w:r>
      <w:r w:rsidRPr="00F139D9">
        <w:rPr>
          <w:rFonts w:ascii="Athelas" w:hAnsi="Athelas"/>
          <w:color w:val="000000" w:themeColor="text1"/>
          <w:lang w:val="id-ID"/>
        </w:rPr>
        <w:t xml:space="preserve"> </w:t>
      </w:r>
      <w:r w:rsidRPr="00F139D9">
        <w:rPr>
          <w:rStyle w:val="y2iqfc"/>
          <w:rFonts w:ascii="Athelas" w:hAnsi="Athelas"/>
          <w:color w:val="000000" w:themeColor="text1"/>
          <w:lang w:val="id-ID"/>
        </w:rPr>
        <w:t xml:space="preserve"> </w:t>
      </w:r>
      <w:r w:rsidRPr="00F139D9">
        <w:rPr>
          <w:rFonts w:ascii="Athelas" w:hAnsi="Athelas"/>
          <w:color w:val="000000" w:themeColor="text1"/>
          <w:lang w:val="id-ID"/>
        </w:rPr>
        <w:fldChar w:fldCharType="begin" w:fldLock="1"/>
      </w:r>
      <w:r w:rsidRPr="00F139D9">
        <w:rPr>
          <w:rFonts w:ascii="Athelas" w:hAnsi="Athelas"/>
          <w:color w:val="000000" w:themeColor="text1"/>
          <w:lang w:val="id-ID"/>
        </w:rPr>
        <w:instrText>ADDIN CSL_CITATION {"citationItems":[{"id":"ITEM-1","itemData":{"URL":"https://databoks.katadata.co.id/datapublish/2021/08/04/akses-internet-singapura-paling-inklusif-di-asia-tenggara","author":[{"dropping-particle":"","family":"Andrea Lidwina","given":"","non-dropping-particle":"","parse-names":false,"suffix":""}],"id":"ITEM-1","issued":{"date-parts":[["2021"]]},"title":"Akses Internet Singapura Paling Inklusif di Asia Tenggara","type":"webpage"},"uris":["http://www.mendeley.com/documents/?uuid=a5199100-9fea-471c-857a-762bb93c78cf"]}],"mendeley":{"formattedCitation":"(Andrea Lidwina, 2021)","plainTextFormattedCitation":"(Andrea Lidwina, 2021)","previouslyFormattedCitation":"(Andrea Lidwina, 2021)"},"properties":{"noteIndex":0},"schema":"https://github.com/citation-style-language/schema/raw/master/csl-citation.json"}</w:instrText>
      </w:r>
      <w:r w:rsidRPr="00F139D9">
        <w:rPr>
          <w:rFonts w:ascii="Athelas" w:hAnsi="Athelas"/>
          <w:color w:val="000000" w:themeColor="text1"/>
          <w:lang w:val="id-ID"/>
        </w:rPr>
        <w:fldChar w:fldCharType="separate"/>
      </w:r>
      <w:r w:rsidRPr="00F139D9">
        <w:rPr>
          <w:rFonts w:ascii="Athelas" w:hAnsi="Athelas"/>
          <w:noProof/>
          <w:color w:val="000000" w:themeColor="text1"/>
          <w:lang w:val="id-ID"/>
        </w:rPr>
        <w:t>(Andrea Lidwina, 2021)</w:t>
      </w:r>
      <w:r w:rsidRPr="00F139D9">
        <w:rPr>
          <w:rFonts w:ascii="Athelas" w:hAnsi="Athelas"/>
          <w:color w:val="000000" w:themeColor="text1"/>
          <w:lang w:val="id-ID"/>
        </w:rPr>
        <w:fldChar w:fldCharType="end"/>
      </w:r>
      <w:r w:rsidRPr="00F139D9">
        <w:rPr>
          <w:rFonts w:ascii="Athelas" w:hAnsi="Athelas"/>
          <w:color w:val="000000" w:themeColor="text1"/>
        </w:rPr>
        <w:t xml:space="preserve">.. </w:t>
      </w:r>
    </w:p>
    <w:p w14:paraId="4A1697D0" w14:textId="05A6C928" w:rsidR="001612BD" w:rsidRPr="00F139D9" w:rsidRDefault="001612BD" w:rsidP="001612BD">
      <w:pPr>
        <w:pStyle w:val="NormalWeb"/>
        <w:spacing w:line="276" w:lineRule="auto"/>
        <w:ind w:firstLine="720"/>
        <w:jc w:val="both"/>
        <w:rPr>
          <w:rFonts w:ascii="Athelas" w:hAnsi="Athelas"/>
          <w:color w:val="000000" w:themeColor="text1"/>
        </w:rPr>
      </w:pPr>
      <w:r w:rsidRPr="00F139D9">
        <w:rPr>
          <w:rFonts w:ascii="Athelas" w:hAnsi="Athelas"/>
          <w:color w:val="000000" w:themeColor="text1"/>
        </w:rPr>
        <w:t>Furthermore, Thailand and Vietnam each have a score of 73.4 and 71.4, respectively. Meanwhile, Indonesia has a score of 67.8. With this score, Indonesia is in fifth place in Southeast Asia, or 66th in the world. Furthermore, the Philippines and Myanmar each have a score of 67.4 and 62, respectively</w:t>
      </w:r>
      <w:r w:rsidRPr="00F139D9">
        <w:rPr>
          <w:rFonts w:ascii="Athelas" w:hAnsi="Athelas"/>
          <w:color w:val="000000" w:themeColor="text1"/>
          <w:lang w:val="id-ID"/>
        </w:rPr>
        <w:t xml:space="preserve"> </w:t>
      </w:r>
      <w:r w:rsidRPr="00F139D9">
        <w:rPr>
          <w:rFonts w:ascii="Athelas" w:hAnsi="Athelas"/>
          <w:color w:val="000000" w:themeColor="text1"/>
          <w:lang w:val="id-ID"/>
        </w:rPr>
        <w:fldChar w:fldCharType="begin" w:fldLock="1"/>
      </w:r>
      <w:r w:rsidRPr="00F139D9">
        <w:rPr>
          <w:rFonts w:ascii="Athelas" w:hAnsi="Athelas"/>
          <w:color w:val="000000" w:themeColor="text1"/>
          <w:lang w:val="id-ID"/>
        </w:rPr>
        <w:instrText>ADDIN CSL_CITATION {"citationItems":[{"id":"ITEM-1","itemData":{"URL":"https://databoks.katadata.co.id/datapublish/2021/08/04/akses-internet-singapura-paling-inklusif-di-asia-tenggara","author":[{"dropping-particle":"","family":"Andrea Lidwina","given":"","non-dropping-particle":"","parse-names":false,"suffix":""}],"id":"ITEM-1","issued":{"date-parts":[["2021"]]},"title":"Akses Internet Singapura Paling Inklusif di Asia Tenggara","type":"webpage"},"uris":["http://www.mendeley.com/documents/?uuid=a5199100-9fea-471c-857a-762bb93c78cf"]}],"mendeley":{"formattedCitation":"(Andrea Lidwina, 2021)","plainTextFormattedCitation":"(Andrea Lidwina, 2021)","previouslyFormattedCitation":"(Andrea Lidwina, 2021)"},"properties":{"noteIndex":0},"schema":"https://github.com/citation-style-language/schema/raw/master/csl-citation.json"}</w:instrText>
      </w:r>
      <w:r w:rsidRPr="00F139D9">
        <w:rPr>
          <w:rFonts w:ascii="Athelas" w:hAnsi="Athelas"/>
          <w:color w:val="000000" w:themeColor="text1"/>
          <w:lang w:val="id-ID"/>
        </w:rPr>
        <w:fldChar w:fldCharType="separate"/>
      </w:r>
      <w:r w:rsidRPr="00F139D9">
        <w:rPr>
          <w:rFonts w:ascii="Athelas" w:hAnsi="Athelas"/>
          <w:noProof/>
          <w:color w:val="000000" w:themeColor="text1"/>
          <w:lang w:val="id-ID"/>
        </w:rPr>
        <w:t>(Andrea Lidwina, 2021)</w:t>
      </w:r>
      <w:r w:rsidRPr="00F139D9">
        <w:rPr>
          <w:rFonts w:ascii="Athelas" w:hAnsi="Athelas"/>
          <w:color w:val="000000" w:themeColor="text1"/>
          <w:lang w:val="id-ID"/>
        </w:rPr>
        <w:fldChar w:fldCharType="end"/>
      </w:r>
      <w:r w:rsidRPr="00F139D9">
        <w:rPr>
          <w:rFonts w:ascii="Athelas" w:hAnsi="Athelas"/>
          <w:color w:val="000000" w:themeColor="text1"/>
          <w:lang w:val="id-ID"/>
        </w:rPr>
        <w:t xml:space="preserve">. </w:t>
      </w:r>
      <w:r w:rsidR="00AC038D" w:rsidRPr="00AC038D">
        <w:rPr>
          <w:rFonts w:ascii="Athelas" w:hAnsi="Athelas"/>
          <w:color w:val="000000" w:themeColor="text1"/>
        </w:rPr>
        <w:t>According to an explanation of the three E-Government Development Index (EGDI) indicators for Singapore, Brunei Darussalam, Malaysia, Thailand, Indonesia, the Philippines, and Myanmar, each country's e-government development is unique</w:t>
      </w:r>
      <w:r w:rsidRPr="00F139D9">
        <w:rPr>
          <w:rFonts w:ascii="Athelas" w:hAnsi="Athelas"/>
          <w:color w:val="000000" w:themeColor="text1"/>
          <w:lang w:val="id-ID"/>
        </w:rPr>
        <w:t xml:space="preserve"> </w:t>
      </w:r>
      <w:r w:rsidRPr="00F139D9">
        <w:rPr>
          <w:rFonts w:ascii="Athelas" w:hAnsi="Athelas"/>
          <w:color w:val="000000" w:themeColor="text1"/>
          <w:lang w:val="id-ID"/>
        </w:rPr>
        <w:fldChar w:fldCharType="begin" w:fldLock="1"/>
      </w:r>
      <w:r w:rsidRPr="00F139D9">
        <w:rPr>
          <w:rFonts w:ascii="Athelas" w:hAnsi="Athelas"/>
          <w:color w:val="000000" w:themeColor="text1"/>
          <w:lang w:val="id-ID"/>
        </w:rPr>
        <w:instrText>ADDIN CSL_CITATION {"citationItems":[{"id":"ITEM-1","itemData":{"DOI":"10.47134/villages.v3i1.27","abstract":"Pentingnya partisipasi masyarakat dalam pelaksanaan e-government di Indonesia, maka diperlukan kajian tentang e-partisipasi masyarakat dalam pelaksanaan e-government di Indonesia tahun 2003-2020. Tujuan dari tulisan ini adalah untuk menggambarkan partisipasi masyarakat dalam pelaksanaan e-government di Indonesia tahun 2003-2020. Metode yang digunakan adalah kualitatif dengan analisis isi. Temuan penelitian adalah bahwa pelaksanaan e-partisipasi belum tentu dapat memperlihatkan keterlibatan masyarakat secara utuh dalam pelaksanaan e-government. Pelaksanaan e-participation dapat memperlihatkan partisipasi masyarakat secara utuh apabila diikuti oleh usaha pemerintah dalam menyediakan infrastruktur telekomunikasi yang baik, sesuai dengan data yang peneliti dapat dalam EDGI yang menyatakan bahwa dari tahun 2003 hingga 2020, TII selalu memiliki poin terendah di antara kedua komponen EDGI yang lain, yaitu HCI dan OSI. Campur tangan kekuasaan dalam pemerintah dalam governance dan e-government itu ada, tetapi yang lebih dominan adalah keinginan untuk menjadikan tata kelola yang baik sehingga pelayanan kepada masyarakat dapat dilaksanakan secara efektif dan efisien.","author":[{"dropping-particle":"","family":"Wijaya","given":"Junior Hendri","non-dropping-particle":"","parse-names":false,"suffix":""},{"dropping-particle":"","family":"Yunanto","given":"Sutoro Eko","non-dropping-particle":"","parse-names":false,"suffix":""},{"dropping-particle":"","family":"Setyowati","given":"Yuli","non-dropping-particle":"","parse-names":false,"suffix":""},{"dropping-particle":"","family":"Supardal","given":"Supardal","non-dropping-particle":"","parse-names":false,"suffix":""}],"container-title":"Jurnal Administrasi Pemerintahan Desa","id":"ITEM-1","issue":"1","issued":{"date-parts":[["2022"]]},"page":"37-53","title":"E-partisipasi Masyarakat dalam Pelaksanaan E-government di Indonesia Tahun 2003-2020","type":"article-journal","volume":"3"},"uris":["http://www.mendeley.com/documents/?uuid=68884c63-0302-462d-96c4-5b9f2bda86fc"]},{"id":"ITEM-2","itemData":{"ISSN":"2599-0136","abstract":"Since 2019, many countries in the world have faced health, economic, social and political shocks and difficult challenges to deal with the COVID-19 pandemic, including Indonesia. With these conditions, the performance of the government system in dealing with the pandemic is tested transparently in public. However, the implementation of good governance by the Indonesian government itself is carried out with steps and decisions that will be taken and implemented through the government bureaucracy digitally to the community in order to reduce the positive number of COVID-19. The implementation of good governance also needs to be supported by other important elements that are improved by the digital governance bureaucracy, namely transparency, accountability, efficiency and effectiveness.","author":[{"dropping-particle":"","family":"Siahaan","given":"Septony B","non-dropping-particle":"","parse-names":false,"suffix":""},{"dropping-particle":"","family":"Simanjuntak","given":"Arthur","non-dropping-particle":"","parse-names":false,"suffix":""},{"dropping-particle":"","family":"Simanjuntak","given":"Wesly A","non-dropping-particle":"","parse-names":false,"suffix":""},{"dropping-particle":"","family":"Pasaribu","given":"Dompak","non-dropping-particle":"","parse-names":false,"suffix":""}],"container-title":"Jurnal Akuntansi dan Keuangan Methodist","id":"ITEM-2","issue":"2","issued":{"date-parts":[["2022"]]},"page":"154-163","title":"Penerapan Good Governance Berbasis Birokrasi Pemerintahan \nDigital Untuk Mengatasi Pandemi Covid – 19 Di Indonesia","type":"article-journal","volume":"5"},"uris":["http://www.mendeley.com/documents/?uuid=ef47d3de-df91-425c-9946-9cf886cf191c"]}],"mendeley":{"formattedCitation":"(Siahaan et al., 2022; Wijaya et al., 2022b)","plainTextFormattedCitation":"(Siahaan et al., 2022; Wijaya et al., 2022b)","previouslyFormattedCitation":"(Siahaan et al., 2022; Wijaya et al., 2022b)"},"properties":{"noteIndex":0},"schema":"https://github.com/citation-style-language/schema/raw/master/csl-citation.json"}</w:instrText>
      </w:r>
      <w:r w:rsidRPr="00F139D9">
        <w:rPr>
          <w:rFonts w:ascii="Athelas" w:hAnsi="Athelas"/>
          <w:color w:val="000000" w:themeColor="text1"/>
          <w:lang w:val="id-ID"/>
        </w:rPr>
        <w:fldChar w:fldCharType="separate"/>
      </w:r>
      <w:r w:rsidRPr="00F139D9">
        <w:rPr>
          <w:rFonts w:ascii="Athelas" w:hAnsi="Athelas"/>
          <w:noProof/>
          <w:color w:val="000000" w:themeColor="text1"/>
          <w:lang w:val="id-ID"/>
        </w:rPr>
        <w:t>(Siahaan et al., 2022; Wijaya et al., 2022b)</w:t>
      </w:r>
      <w:r w:rsidRPr="00F139D9">
        <w:rPr>
          <w:rFonts w:ascii="Athelas" w:hAnsi="Athelas"/>
          <w:color w:val="000000" w:themeColor="text1"/>
          <w:lang w:val="id-ID"/>
        </w:rPr>
        <w:fldChar w:fldCharType="end"/>
      </w:r>
      <w:r w:rsidRPr="00F139D9">
        <w:rPr>
          <w:rFonts w:ascii="Athelas" w:hAnsi="Athelas"/>
          <w:color w:val="000000" w:themeColor="text1"/>
        </w:rPr>
        <w:t>. This situation is due to several influencing factors, such as environmental, cultural, and social factors</w:t>
      </w:r>
      <w:r w:rsidRPr="00F139D9">
        <w:rPr>
          <w:rFonts w:ascii="Athelas" w:hAnsi="Athelas"/>
          <w:color w:val="000000" w:themeColor="text1"/>
          <w:lang w:val="id-ID"/>
        </w:rPr>
        <w:t xml:space="preserve"> </w:t>
      </w:r>
      <w:r w:rsidRPr="00F139D9">
        <w:rPr>
          <w:rFonts w:ascii="Athelas" w:hAnsi="Athelas"/>
          <w:color w:val="000000" w:themeColor="text1"/>
          <w:lang w:val="id-ID"/>
        </w:rPr>
        <w:fldChar w:fldCharType="begin" w:fldLock="1"/>
      </w:r>
      <w:r w:rsidRPr="00F139D9">
        <w:rPr>
          <w:rFonts w:ascii="Athelas" w:hAnsi="Athelas"/>
          <w:color w:val="000000" w:themeColor="text1"/>
          <w:lang w:val="id-ID"/>
        </w:rPr>
        <w:instrText>ADDIN CSL_CITATION {"citationItems":[{"id":"ITEM-1","itemData":{"DOI":"10.23960/jak.v25i1.242","ISSN":"1410-1831","abstract":"Corruption is a complex social, political and economic problem and occurs in every country with different levels. Corruption will complicate democracy and governance of a country. To overcome the problem of corruption, the government must implement good governance. This study aims to provide empirical evidence regarding the effect of elements of good governance on the level of corruption in Southeast Asia. Good governance variables are presented by six variables: voice and accountability, political stability and absence of violence / terrorism, government effectiveness, regulatory quality, rule of law and control of corruption. Meanwhile, the level of corruption is measured using the Corruption Perceptions Index (CPI). The research sample was selected using the purposive sampling method and produced a sample of 8 countries and the observation period was carried out in 2009-2018 or as many as 10 years, so the number of samples in this study were 80 samples. Corruption level data used in this study uses the Corruption Perceptions Index (Transparency International), while the good governance data used in this study uses the Worldwide Governance Indicators (World Bank). The research methodology used in this study is multiple linear regression analysis with the IBM SPSS Statistics 24 program. The results showed that the variable voice and accountability, political stability and absence of violence / terrorism, and rule of law had no effect on the level of corruption, whereas the government variable effectiveness, regulatory quality, and control of corruption affect the level of corruption.","author":[{"dropping-particle":"","family":"Dizrisa","given":"Dinda Ayu","non-dropping-particle":"","parse-names":false,"suffix":""},{"dropping-particle":"","family":"Sudrajat","given":"Sudrajat","non-dropping-particle":"","parse-names":false,"suffix":""},{"dropping-particle":"","family":"Kusumawardani","given":"Niken","non-dropping-particle":"","parse-names":false,"suffix":""}],"container-title":"Jurnal Akuntansi dan Keuangan (JAK)","id":"ITEM-1","issue":"1","issued":{"date-parts":[["2020"]]},"page":"96-114","title":"Pengaruh Elemen Good Governance Terhadap Tingkat Korupsi Di Asia Tenggara","type":"article-journal","volume":"25"},"uris":["http://www.mendeley.com/documents/?uuid=fa157929-270b-4bd8-8984-3529b7397e02"]}],"mendeley":{"formattedCitation":"(Dizrisa et al., 2020)","plainTextFormattedCitation":"(Dizrisa et al., 2020)","previouslyFormattedCitation":"(Dizrisa et al., 2020)"},"properties":{"noteIndex":0},"schema":"https://github.com/citation-style-language/schema/raw/master/csl-citation.json"}</w:instrText>
      </w:r>
      <w:r w:rsidRPr="00F139D9">
        <w:rPr>
          <w:rFonts w:ascii="Athelas" w:hAnsi="Athelas"/>
          <w:color w:val="000000" w:themeColor="text1"/>
          <w:lang w:val="id-ID"/>
        </w:rPr>
        <w:fldChar w:fldCharType="separate"/>
      </w:r>
      <w:r w:rsidRPr="00F139D9">
        <w:rPr>
          <w:rFonts w:ascii="Athelas" w:hAnsi="Athelas"/>
          <w:noProof/>
          <w:color w:val="000000" w:themeColor="text1"/>
          <w:lang w:val="id-ID"/>
        </w:rPr>
        <w:t>(Dizrisa et al., 2020)</w:t>
      </w:r>
      <w:r w:rsidRPr="00F139D9">
        <w:rPr>
          <w:rFonts w:ascii="Athelas" w:hAnsi="Athelas"/>
          <w:color w:val="000000" w:themeColor="text1"/>
          <w:lang w:val="id-ID"/>
        </w:rPr>
        <w:fldChar w:fldCharType="end"/>
      </w:r>
      <w:r w:rsidRPr="00F139D9">
        <w:rPr>
          <w:rFonts w:ascii="Athelas" w:hAnsi="Athelas"/>
          <w:color w:val="000000" w:themeColor="text1"/>
        </w:rPr>
        <w:t>.</w:t>
      </w:r>
    </w:p>
    <w:p w14:paraId="574DA24F" w14:textId="1BC341A5" w:rsidR="001612BD" w:rsidRPr="00BB0A50" w:rsidRDefault="001612BD" w:rsidP="001612BD">
      <w:pPr>
        <w:pStyle w:val="NoSpacing"/>
        <w:spacing w:line="288" w:lineRule="auto"/>
        <w:ind w:right="-1" w:firstLine="0"/>
        <w:rPr>
          <w:rFonts w:ascii="Athelas" w:hAnsi="Athelas"/>
          <w:b/>
          <w:color w:val="2F5496" w:themeColor="accent1" w:themeShade="BF"/>
          <w:sz w:val="28"/>
          <w:szCs w:val="28"/>
        </w:rPr>
      </w:pPr>
      <w:r>
        <w:rPr>
          <w:rFonts w:ascii="Athelas" w:hAnsi="Athelas"/>
          <w:b/>
          <w:color w:val="2F5496" w:themeColor="accent1" w:themeShade="BF"/>
          <w:sz w:val="28"/>
          <w:szCs w:val="28"/>
          <w:lang w:val="id-ID"/>
        </w:rPr>
        <w:t>The Comparison of Thailand with the six selected ASEAN Countries based on the World Governance Indicator (WGI)</w:t>
      </w:r>
    </w:p>
    <w:p w14:paraId="61DA7539" w14:textId="4A296492" w:rsidR="001612BD" w:rsidRPr="00F139D9" w:rsidRDefault="001612BD" w:rsidP="009B7ECF">
      <w:pPr>
        <w:pStyle w:val="NormalWeb"/>
        <w:spacing w:before="240" w:beforeAutospacing="0" w:after="240" w:afterAutospacing="0" w:line="276" w:lineRule="auto"/>
        <w:ind w:firstLine="720"/>
        <w:jc w:val="both"/>
        <w:rPr>
          <w:rFonts w:ascii="Athelas" w:hAnsi="Athelas"/>
          <w:color w:val="000000" w:themeColor="text1"/>
          <w:lang w:val="id-ID"/>
        </w:rPr>
      </w:pPr>
      <w:r w:rsidRPr="00F139D9">
        <w:rPr>
          <w:rFonts w:ascii="Athelas" w:hAnsi="Athelas"/>
          <w:color w:val="000000" w:themeColor="text1"/>
        </w:rPr>
        <w:t xml:space="preserve">It can be explained further about the comparison of Thailand with the </w:t>
      </w:r>
      <w:r w:rsidRPr="00F139D9">
        <w:rPr>
          <w:rFonts w:ascii="Athelas" w:hAnsi="Athelas"/>
          <w:color w:val="000000" w:themeColor="text1"/>
          <w:lang w:val="id-ID"/>
        </w:rPr>
        <w:t>six</w:t>
      </w:r>
      <w:r w:rsidRPr="00F139D9">
        <w:rPr>
          <w:rFonts w:ascii="Athelas" w:hAnsi="Athelas"/>
          <w:color w:val="000000" w:themeColor="text1"/>
        </w:rPr>
        <w:t xml:space="preserve"> selected ASEAN countries based on the World Governance Indicator (WGI) indicators, which can be seen in the graph below:</w:t>
      </w:r>
      <w:r w:rsidRPr="00F139D9">
        <w:rPr>
          <w:rFonts w:ascii="Athelas" w:hAnsi="Athelas"/>
          <w:color w:val="000000" w:themeColor="text1"/>
          <w:lang w:val="id-ID"/>
        </w:rPr>
        <w:t xml:space="preserve"> </w:t>
      </w:r>
    </w:p>
    <w:p w14:paraId="14CFF549" w14:textId="77777777" w:rsidR="001612BD" w:rsidRPr="00F139D9" w:rsidRDefault="001612BD" w:rsidP="001612BD">
      <w:pPr>
        <w:pStyle w:val="NormalWeb"/>
        <w:spacing w:before="240" w:beforeAutospacing="0" w:after="240" w:afterAutospacing="0" w:line="276" w:lineRule="auto"/>
        <w:jc w:val="center"/>
        <w:rPr>
          <w:rFonts w:ascii="Athelas" w:hAnsi="Athelas"/>
          <w:color w:val="000000" w:themeColor="text1"/>
          <w:lang w:val="id-ID"/>
        </w:rPr>
      </w:pPr>
      <w:r w:rsidRPr="00F139D9">
        <w:rPr>
          <w:rFonts w:ascii="Athelas" w:hAnsi="Athelas"/>
          <w:color w:val="000000" w:themeColor="text1"/>
          <w:lang w:val="id-ID"/>
        </w:rPr>
        <w:lastRenderedPageBreak/>
        <w:t>Figure 2 T</w:t>
      </w:r>
      <w:r w:rsidRPr="00F139D9">
        <w:rPr>
          <w:rFonts w:ascii="Athelas" w:hAnsi="Athelas"/>
          <w:color w:val="000000" w:themeColor="text1"/>
        </w:rPr>
        <w:t>he World Governance Indicator (WGI) indicators</w:t>
      </w:r>
      <w:r w:rsidRPr="00F139D9">
        <w:rPr>
          <w:rFonts w:ascii="Athelas" w:hAnsi="Athelas"/>
          <w:color w:val="000000" w:themeColor="text1"/>
          <w:lang w:val="id-ID"/>
        </w:rPr>
        <w:t xml:space="preserve"> of Seven Selected ASEAN contries</w:t>
      </w:r>
    </w:p>
    <w:p w14:paraId="0901A260" w14:textId="77777777" w:rsidR="001612BD" w:rsidRPr="00F139D9" w:rsidRDefault="001612BD" w:rsidP="001612BD">
      <w:pPr>
        <w:spacing w:line="276" w:lineRule="auto"/>
        <w:jc w:val="center"/>
        <w:rPr>
          <w:rFonts w:ascii="Athelas" w:hAnsi="Athelas"/>
          <w:color w:val="000000" w:themeColor="text1"/>
        </w:rPr>
      </w:pPr>
      <w:r w:rsidRPr="00F139D9">
        <w:rPr>
          <w:rFonts w:ascii="Athelas" w:hAnsi="Athelas"/>
          <w:noProof/>
          <w:color w:val="000000" w:themeColor="text1"/>
          <w:lang w:val="id-ID"/>
        </w:rPr>
        <w:drawing>
          <wp:inline distT="0" distB="0" distL="0" distR="0" wp14:anchorId="7D8257AC" wp14:editId="0C6A67AF">
            <wp:extent cx="4787265" cy="2507226"/>
            <wp:effectExtent l="0" t="0" r="0" b="7620"/>
            <wp:docPr id="12" name="Picture 1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imeline&#10;&#10;Description automatically generated"/>
                    <pic:cNvPicPr/>
                  </pic:nvPicPr>
                  <pic:blipFill>
                    <a:blip r:embed="rId10"/>
                    <a:stretch>
                      <a:fillRect/>
                    </a:stretch>
                  </pic:blipFill>
                  <pic:spPr>
                    <a:xfrm>
                      <a:off x="0" y="0"/>
                      <a:ext cx="4808601" cy="2518400"/>
                    </a:xfrm>
                    <a:prstGeom prst="rect">
                      <a:avLst/>
                    </a:prstGeom>
                  </pic:spPr>
                </pic:pic>
              </a:graphicData>
            </a:graphic>
          </wp:inline>
        </w:drawing>
      </w:r>
    </w:p>
    <w:p w14:paraId="1EBF00D6" w14:textId="77777777" w:rsidR="001612BD" w:rsidRPr="00F139D9" w:rsidRDefault="001612BD" w:rsidP="001612BD">
      <w:pPr>
        <w:pStyle w:val="NormalWeb"/>
        <w:spacing w:before="240" w:beforeAutospacing="0" w:after="240" w:afterAutospacing="0" w:line="276" w:lineRule="auto"/>
        <w:jc w:val="center"/>
        <w:rPr>
          <w:rStyle w:val="Hyperlink"/>
          <w:rFonts w:ascii="Athelas" w:hAnsi="Athelas"/>
          <w:color w:val="000000" w:themeColor="text1"/>
          <w:lang w:val="id-ID"/>
        </w:rPr>
      </w:pPr>
      <w:r w:rsidRPr="00F139D9">
        <w:rPr>
          <w:rFonts w:ascii="Athelas" w:hAnsi="Athelas"/>
          <w:color w:val="000000" w:themeColor="text1"/>
          <w:lang w:val="id-ID"/>
        </w:rPr>
        <w:t>Source:</w:t>
      </w:r>
      <w:hyperlink r:id="rId11" w:history="1">
        <w:r w:rsidRPr="00F139D9">
          <w:rPr>
            <w:rStyle w:val="Hyperlink"/>
            <w:rFonts w:ascii="Athelas" w:hAnsi="Athelas"/>
            <w:color w:val="000000" w:themeColor="text1"/>
            <w:lang w:val="id-ID"/>
          </w:rPr>
          <w:t>https://datastudio.google.com/reporting/f4e74364-ded6-4fff-81a1-92bfed3a8552/page/p_b1vix3bkzc</w:t>
        </w:r>
      </w:hyperlink>
      <w:r w:rsidRPr="00F139D9">
        <w:rPr>
          <w:rStyle w:val="Hyperlink"/>
          <w:rFonts w:ascii="Athelas" w:hAnsi="Athelas"/>
          <w:color w:val="000000" w:themeColor="text1"/>
          <w:lang w:val="id-ID"/>
        </w:rPr>
        <w:t>.  (2022)</w:t>
      </w:r>
    </w:p>
    <w:p w14:paraId="208FE1EB" w14:textId="77777777" w:rsidR="001612BD" w:rsidRPr="00F139D9" w:rsidRDefault="001612BD" w:rsidP="001612BD">
      <w:pPr>
        <w:pStyle w:val="NormalWeb"/>
        <w:spacing w:line="276" w:lineRule="auto"/>
        <w:ind w:firstLine="720"/>
        <w:jc w:val="both"/>
        <w:rPr>
          <w:rFonts w:ascii="Athelas" w:hAnsi="Athelas"/>
          <w:color w:val="000000" w:themeColor="text1"/>
        </w:rPr>
      </w:pPr>
      <w:r w:rsidRPr="00F139D9">
        <w:rPr>
          <w:rFonts w:ascii="Athelas" w:hAnsi="Athelas"/>
          <w:color w:val="000000" w:themeColor="text1"/>
        </w:rPr>
        <w:t>Based on the graph above, the six indicators of Thailand's World Governance Indicator (WGI) are always superior to Myanmar's. In the Voice and Accountability indicator, Thailand scored 82.53 points lower than Indonesia, Singapore, the Philippines, and Malaysia. However, it is higher than Brunei Darussalam. In the indicator of Political stability and Absence of violence or terrorism, Thailand scored 55.86 points lower than Indonesia, Singapore, Brunei Darussalam, and Malaysia. But higher than the Philippines and Myanmar. In the Government Effectiveness indicator, Thailand scored 185.2 points lower than Brunei Darussalam, Singapore, and Malaysia. However, it is higher than Indonesia, the Philippines, and Myanmar.</w:t>
      </w:r>
    </w:p>
    <w:p w14:paraId="4ADAB57C" w14:textId="77777777" w:rsidR="001612BD" w:rsidRPr="00F139D9" w:rsidRDefault="001612BD" w:rsidP="001612BD">
      <w:pPr>
        <w:pStyle w:val="NormalWeb"/>
        <w:spacing w:line="276" w:lineRule="auto"/>
        <w:ind w:firstLine="720"/>
        <w:jc w:val="both"/>
        <w:rPr>
          <w:rStyle w:val="Hyperlink"/>
          <w:rFonts w:ascii="Athelas" w:hAnsi="Athelas"/>
          <w:color w:val="000000" w:themeColor="text1"/>
        </w:rPr>
      </w:pPr>
      <w:r w:rsidRPr="00F139D9">
        <w:rPr>
          <w:rFonts w:ascii="Athelas" w:hAnsi="Athelas"/>
          <w:color w:val="000000" w:themeColor="text1"/>
        </w:rPr>
        <w:t>In the Regulatory indicator, Thailand scored 168.43, lower than Singapore, Brunei Darussalam, Malaysia, and the Philippines. But higher than Indonesia and Myanmar. On the Rule of Law indicator, Thailand scored 158.44 points lower than Singapore, Brunei Darussalam, and Malaysia. However, it is higher than Indonesia, the Philippines, and Myanmar. In the last indicator, namely Control of Corruption, Thailand scored 119.55 points lower than Singapore, Brunei Darussalam, and Malaysia. However, it is superior to the Philippines, Indonesia, and Myanmar. The World Governance Indicator (WGI) in Thailand in terms of percentiles is estimated to be in the middle rank, around 50–60.</w:t>
      </w:r>
      <w:r w:rsidRPr="00F139D9">
        <w:rPr>
          <w:rFonts w:ascii="Athelas" w:hAnsi="Athelas"/>
          <w:color w:val="000000" w:themeColor="text1"/>
          <w:lang w:val="id-ID"/>
        </w:rPr>
        <w:t xml:space="preserve"> </w:t>
      </w:r>
      <w:r w:rsidRPr="00F139D9">
        <w:rPr>
          <w:rFonts w:ascii="Athelas" w:hAnsi="Athelas"/>
          <w:color w:val="000000" w:themeColor="text1"/>
          <w:lang w:val="id-ID"/>
        </w:rPr>
        <w:fldChar w:fldCharType="begin" w:fldLock="1"/>
      </w:r>
      <w:r w:rsidRPr="00F139D9">
        <w:rPr>
          <w:rFonts w:ascii="Athelas" w:hAnsi="Athelas"/>
          <w:color w:val="000000" w:themeColor="text1"/>
          <w:lang w:val="id-ID"/>
        </w:rPr>
        <w:instrText>ADDIN CSL_CITATION {"citationItems":[{"id":"ITEM-1","itemData":{"DOI":"10.15604/ejef.2018.06.01.009","abstract":"Good governance has been placed an important factor in economic development especially in developing countries. Consequently, good governance is set to be one of the development goals in the millennium of the United Nations. The paper aims at comparatively investigating level of governance of Thailand and few other Asian countries. The study examined Worldwide Governance Indicator (WGI) comparatively among selected Asian countries. High percentile ranks of the WGI were found in advanced economies. Framework of production function is used to quantitatively analyze effect of being good governance on income per head. The production function was estimated for 16 Asian countries during 1996 - 2016 using the fixed effect model indicated by the Hausman Test. The result showed that apart from capital per head and total factor productivity growth, the good governance can additionally be a significant factor that contributes to growth of income per head. A higher composite governance index by 1 percent from the past year can help raise country's income per head by US $31.34 or 0.54 percent per year. For Asian developing countries, the good governance is therefore a crucial factor that can contribute significantly to their growth.","author":[{"dropping-particle":"","family":"Kraipornsak","given":"Paitoon","non-dropping-particle":"","parse-names":false,"suffix":""}],"container-title":"Eurasian Journal of Economics and Finance","id":"ITEM-1","issue":"1","issued":{"date-parts":[["2018"]]},"page":"93-106","title":"Good Governance and Economic Growth: an Investigation of Thailand and Selected Asian Countries","type":"article-journal","volume":"6"},"uris":["http://www.mendeley.com/documents/?uuid=f30c1450-e5fd-409a-98d6-bcd43732d134"]}],"mendeley":{"formattedCitation":"(Kraipornsak, 2018)","plainTextFormattedCitation":"(Kraipornsak, 2018)","previouslyFormattedCitation":"(Kraipornsak, 2018)"},"properties":{"noteIndex":0},"schema":"https://github.com/citation-style-language/schema/raw/master/csl-citation.json"}</w:instrText>
      </w:r>
      <w:r w:rsidRPr="00F139D9">
        <w:rPr>
          <w:rFonts w:ascii="Athelas" w:hAnsi="Athelas"/>
          <w:color w:val="000000" w:themeColor="text1"/>
          <w:lang w:val="id-ID"/>
        </w:rPr>
        <w:fldChar w:fldCharType="separate"/>
      </w:r>
      <w:r w:rsidRPr="00F139D9">
        <w:rPr>
          <w:rFonts w:ascii="Athelas" w:hAnsi="Athelas"/>
          <w:noProof/>
          <w:color w:val="000000" w:themeColor="text1"/>
          <w:lang w:val="id-ID"/>
        </w:rPr>
        <w:t>(Kraipornsak, 2018)</w:t>
      </w:r>
      <w:r w:rsidRPr="00F139D9">
        <w:rPr>
          <w:rFonts w:ascii="Athelas" w:hAnsi="Athelas"/>
          <w:color w:val="000000" w:themeColor="text1"/>
          <w:lang w:val="id-ID"/>
        </w:rPr>
        <w:fldChar w:fldCharType="end"/>
      </w:r>
      <w:r w:rsidRPr="00F139D9">
        <w:rPr>
          <w:rStyle w:val="Hyperlink"/>
          <w:rFonts w:ascii="Athelas" w:hAnsi="Athelas"/>
          <w:color w:val="000000" w:themeColor="text1"/>
          <w:lang w:val="id-ID"/>
        </w:rPr>
        <w:t>.</w:t>
      </w:r>
    </w:p>
    <w:p w14:paraId="437129F7" w14:textId="77777777" w:rsidR="001612BD" w:rsidRPr="0040708F" w:rsidRDefault="001612BD" w:rsidP="001612BD">
      <w:pPr>
        <w:pStyle w:val="NormalWeb"/>
        <w:spacing w:before="240" w:beforeAutospacing="0" w:after="240" w:afterAutospacing="0" w:line="276" w:lineRule="auto"/>
        <w:ind w:firstLine="720"/>
        <w:jc w:val="both"/>
        <w:rPr>
          <w:rStyle w:val="Hyperlink"/>
          <w:rFonts w:ascii="Athelas" w:hAnsi="Athelas"/>
          <w:color w:val="000000" w:themeColor="text1"/>
          <w:u w:val="none"/>
          <w:lang w:val="id-ID"/>
        </w:rPr>
      </w:pPr>
      <w:r w:rsidRPr="0040708F">
        <w:rPr>
          <w:rStyle w:val="Hyperlink"/>
          <w:rFonts w:ascii="Athelas" w:hAnsi="Athelas"/>
          <w:color w:val="000000" w:themeColor="text1"/>
          <w:u w:val="none"/>
          <w:lang w:val="id-ID"/>
        </w:rPr>
        <w:t xml:space="preserve">When compared between Thailand and Brunei Darussalam on the Voice and Accountability indicator, it was found that the Voice and Accountability indicator of </w:t>
      </w:r>
      <w:r w:rsidRPr="0040708F">
        <w:rPr>
          <w:rStyle w:val="Hyperlink"/>
          <w:rFonts w:ascii="Athelas" w:hAnsi="Athelas"/>
          <w:color w:val="000000" w:themeColor="text1"/>
          <w:u w:val="none"/>
          <w:lang w:val="id-ID"/>
        </w:rPr>
        <w:lastRenderedPageBreak/>
        <w:t xml:space="preserve">Brunei Darussalam was close to Thailand with a score of 76.42. However, on the Voice and Accountability indicator, Thailand scored 82.53 lower than Indonesia, Singapore, the Philippines, and Malaysia. This is due to the low freedom of expression in Thailan,  that freedom of expression in Thailand is very terrible, it is not uncommon for people to hold demonstrations or demonstrations and ended up imprisoned </w:t>
      </w:r>
      <w:r w:rsidRPr="0040708F">
        <w:rPr>
          <w:rStyle w:val="Hyperlink"/>
          <w:rFonts w:ascii="Athelas" w:hAnsi="Athelas"/>
          <w:color w:val="000000" w:themeColor="text1"/>
          <w:u w:val="none"/>
          <w:lang w:val="id-ID"/>
        </w:rPr>
        <w:fldChar w:fldCharType="begin" w:fldLock="1"/>
      </w:r>
      <w:r w:rsidRPr="0040708F">
        <w:rPr>
          <w:rStyle w:val="Hyperlink"/>
          <w:rFonts w:ascii="Athelas" w:hAnsi="Athelas"/>
          <w:color w:val="000000" w:themeColor="text1"/>
          <w:u w:val="none"/>
          <w:lang w:val="id-ID"/>
        </w:rPr>
        <w:instrText>ADDIN CSL_CITATION {"citationItems":[{"id":"ITEM-1","itemData":{"URL":"https://www.republika.co.id/berita/q5il2e318/kelamnya-teror-thailand","author":[{"dropping-particle":"","family":"republika.co.id","given":"","non-dropping-particle":"","parse-names":false,"suffix":""}],"container-title":"republika.co.id","id":"ITEM-1","issued":{"date-parts":[["2020"]]},"title":"Kelamnya Teror Thailand","type":"webpage"},"uris":["http://www.mendeley.com/documents/?uuid=153ca9e5-3da8-4517-8a76-36d2160db19f"]},{"id":"ITEM-2","itemData":{"author":[{"dropping-particle":"","family":"Ucanews.com","given":"","non-dropping-particle":"","parse-names":false,"suffix":""}],"id":"ITEM-2","issued":{"date-parts":[["2019"]]},"publisher-place":"Bangkok","title":"Rule by law but no rule of law in Thailand","type":"report"},"uris":["http://www.mendeley.com/documents/?uuid=14717770-7dd0-4efd-b975-42617487638a"]}],"mendeley":{"formattedCitation":"(republika.co.id, 2020; Ucanews.com, 2019)","plainTextFormattedCitation":"(republika.co.id, 2020; Ucanews.com, 2019)","previouslyFormattedCitation":"(republika.co.id, 2020; Ucanews.com, 2019)"},"properties":{"noteIndex":0},"schema":"https://github.com/citation-style-language/schema/raw/master/csl-citation.json"}</w:instrText>
      </w:r>
      <w:r w:rsidRPr="0040708F">
        <w:rPr>
          <w:rStyle w:val="Hyperlink"/>
          <w:rFonts w:ascii="Athelas" w:hAnsi="Athelas"/>
          <w:color w:val="000000" w:themeColor="text1"/>
          <w:u w:val="none"/>
          <w:lang w:val="id-ID"/>
        </w:rPr>
        <w:fldChar w:fldCharType="separate"/>
      </w:r>
      <w:r w:rsidRPr="0040708F">
        <w:rPr>
          <w:rStyle w:val="Hyperlink"/>
          <w:rFonts w:ascii="Athelas" w:hAnsi="Athelas"/>
          <w:color w:val="000000" w:themeColor="text1"/>
          <w:u w:val="none"/>
          <w:lang w:val="id-ID"/>
        </w:rPr>
        <w:t>(republika.co.id, 2020; Ucanews.com, 2019)</w:t>
      </w:r>
      <w:r w:rsidRPr="0040708F">
        <w:rPr>
          <w:rStyle w:val="Hyperlink"/>
          <w:rFonts w:ascii="Athelas" w:hAnsi="Athelas"/>
          <w:color w:val="000000" w:themeColor="text1"/>
          <w:u w:val="none"/>
          <w:lang w:val="id-ID"/>
        </w:rPr>
        <w:fldChar w:fldCharType="end"/>
      </w:r>
      <w:r w:rsidRPr="0040708F">
        <w:rPr>
          <w:rStyle w:val="Hyperlink"/>
          <w:rFonts w:ascii="Athelas" w:hAnsi="Athelas"/>
          <w:color w:val="000000" w:themeColor="text1"/>
          <w:u w:val="none"/>
          <w:lang w:val="id-ID"/>
        </w:rPr>
        <w:t>.</w:t>
      </w:r>
    </w:p>
    <w:p w14:paraId="6763D35A" w14:textId="77777777" w:rsidR="001612BD" w:rsidRPr="00F139D9" w:rsidRDefault="001612BD" w:rsidP="001612BD">
      <w:pPr>
        <w:pStyle w:val="NormalWeb"/>
        <w:spacing w:line="276" w:lineRule="auto"/>
        <w:ind w:firstLine="720"/>
        <w:jc w:val="both"/>
        <w:rPr>
          <w:rFonts w:ascii="Athelas" w:hAnsi="Athelas"/>
          <w:color w:val="000000" w:themeColor="text1"/>
          <w:lang w:val="id-ID"/>
        </w:rPr>
      </w:pPr>
      <w:r w:rsidRPr="00F139D9">
        <w:rPr>
          <w:rFonts w:ascii="Athelas" w:hAnsi="Athelas"/>
          <w:color w:val="000000" w:themeColor="text1"/>
        </w:rPr>
        <w:t>When compared between Thailand, the Philippines, and Myanmar on the indicators of Political Stability and Absence of violence or terrorism, it was found that the difference in scores between Myanmar and the Philippines was not much different, namely 37.5 for Myanmar and 35.98 for the Philippines, but these two countries are still far from the average. Thailand is 55.86. Myanmar was ranked last among the six other selected ASEAN countries in the indicator of Political Stability and Absence of violence or terrorism because Myanmar has experienced unstable political conditions since the overthrow of the elected civilian government on February 1, 2021, and the act of violence carried out by the military junta against anti-coup protests in Myanmar has raised international concern</w:t>
      </w:r>
      <w:r w:rsidRPr="00F139D9">
        <w:rPr>
          <w:rFonts w:ascii="Athelas" w:hAnsi="Athelas"/>
          <w:color w:val="000000" w:themeColor="text1"/>
          <w:lang w:val="id-ID"/>
        </w:rPr>
        <w:t xml:space="preserve"> </w:t>
      </w:r>
      <w:r w:rsidRPr="00F139D9">
        <w:rPr>
          <w:rFonts w:ascii="Athelas" w:hAnsi="Athelas"/>
          <w:color w:val="000000" w:themeColor="text1"/>
          <w:lang w:val="id-ID"/>
        </w:rPr>
        <w:fldChar w:fldCharType="begin" w:fldLock="1"/>
      </w:r>
      <w:r w:rsidRPr="00F139D9">
        <w:rPr>
          <w:rFonts w:ascii="Athelas" w:hAnsi="Athelas"/>
          <w:color w:val="000000" w:themeColor="text1"/>
          <w:lang w:val="id-ID"/>
        </w:rPr>
        <w:instrText>ADDIN CSL_CITATION {"citationItems":[{"id":"ITEM-1","itemData":{"abstract":"Myanmar masih mengalami situasi politik yang tidak menentu. Pemberlakuan\nkeadaan darurat oleh pihak militer selama setahun memaksa rakyat untuk melakukan\nunjuk rasa agar demokrasi dapat ditegakkan. Tulisan ini membahas intervensi\nseperti apa yang bisa dilakukan ASEAN, dan juga masyarakat internasional,\ntermasuk PBB, dalam mencari solusi atas krisis politik yang terjadi di Myanmar.\nDalam menyikapi krisis politik di Myanmar tersebut, ASEAN tidak bisa keluar\ndari prinsip yang tertera dalam Piagam ASEAN. Salah satu prinsip yang kerap\ndikemukakan adalah prinsip non-intervensi. Ini artinya, tidak mudah bagi ASEAN\nuntuk melakukan intervensi dalam mengatasi krisis yang terjadi di Myanmar.\nKetika intervensi ASEAN tidak berjalan efektif, maka solusi alternatif untuk\nmenangani krisis Myanmar bisa saja melibatkan masyarakat internasional yang\nlebih luas, termasuk PBB. Melalui PBB, dengan perangkat dan otoritas kuat yang\ndimiliknya, badan dunia tersebut dapat menekan rezim junta militer jika dianggap\ntidak kooperatif dalam menyelesaikan krisis di Myanmar. ","author":[{"dropping-particle":"","family":"Hidriyah","given":"Sita","non-dropping-particle":"","parse-names":false,"suffix":""}],"container-title":"Info Singkat","id":"ITEM-1","issue":"6","issued":{"date-parts":[["2021"]]},"page":"7-12","title":"Krisis Politik Myanmar dan Intervensi ASEAN","type":"article-journal","volume":"XIII"},"uris":["http://www.mendeley.com/documents/?uuid=87fa0310-f07c-4b00-ab22-98ba2f318578"]}],"mendeley":{"formattedCitation":"(Hidriyah, 2021)","plainTextFormattedCitation":"(Hidriyah, 2021)","previouslyFormattedCitation":"(Hidriyah, 2021)"},"properties":{"noteIndex":0},"schema":"https://github.com/citation-style-language/schema/raw/master/csl-citation.json"}</w:instrText>
      </w:r>
      <w:r w:rsidRPr="00F139D9">
        <w:rPr>
          <w:rFonts w:ascii="Athelas" w:hAnsi="Athelas"/>
          <w:color w:val="000000" w:themeColor="text1"/>
          <w:lang w:val="id-ID"/>
        </w:rPr>
        <w:fldChar w:fldCharType="separate"/>
      </w:r>
      <w:r w:rsidRPr="00F139D9">
        <w:rPr>
          <w:rFonts w:ascii="Athelas" w:hAnsi="Athelas"/>
          <w:noProof/>
          <w:color w:val="000000" w:themeColor="text1"/>
          <w:lang w:val="id-ID"/>
        </w:rPr>
        <w:t>(Hidriyah, 2021)</w:t>
      </w:r>
      <w:r w:rsidRPr="00F139D9">
        <w:rPr>
          <w:rFonts w:ascii="Athelas" w:hAnsi="Athelas"/>
          <w:color w:val="000000" w:themeColor="text1"/>
          <w:lang w:val="id-ID"/>
        </w:rPr>
        <w:fldChar w:fldCharType="end"/>
      </w:r>
      <w:r w:rsidRPr="00F139D9">
        <w:rPr>
          <w:rFonts w:ascii="Athelas" w:hAnsi="Athelas"/>
          <w:color w:val="000000" w:themeColor="text1"/>
          <w:lang w:val="id-ID"/>
        </w:rPr>
        <w:t xml:space="preserve">. </w:t>
      </w:r>
      <w:r w:rsidRPr="00F139D9">
        <w:rPr>
          <w:rFonts w:ascii="Athelas" w:hAnsi="Athelas"/>
          <w:color w:val="000000" w:themeColor="text1"/>
        </w:rPr>
        <w:t xml:space="preserve">Thailand itself experienced several acts of terror, namely the 2015 bombing at the </w:t>
      </w:r>
      <w:proofErr w:type="spellStart"/>
      <w:r w:rsidRPr="00F139D9">
        <w:rPr>
          <w:rFonts w:ascii="Athelas" w:hAnsi="Athelas"/>
          <w:color w:val="000000" w:themeColor="text1"/>
        </w:rPr>
        <w:t>Erawan</w:t>
      </w:r>
      <w:proofErr w:type="spellEnd"/>
      <w:r w:rsidRPr="00F139D9">
        <w:rPr>
          <w:rFonts w:ascii="Athelas" w:hAnsi="Athelas"/>
          <w:color w:val="000000" w:themeColor="text1"/>
        </w:rPr>
        <w:t xml:space="preserve"> Temple in Bangkok, Thailand. The next happened on August 17, 2015, at around 18:56 local time, when a bomb exploded at the Ratchaprasong intersection, in downtown Bangkok and close to </w:t>
      </w:r>
      <w:proofErr w:type="spellStart"/>
      <w:r w:rsidRPr="00F139D9">
        <w:rPr>
          <w:rFonts w:ascii="Athelas" w:hAnsi="Athelas"/>
          <w:color w:val="000000" w:themeColor="text1"/>
        </w:rPr>
        <w:t>Erawan</w:t>
      </w:r>
      <w:proofErr w:type="spellEnd"/>
      <w:r w:rsidRPr="00F139D9">
        <w:rPr>
          <w:rFonts w:ascii="Athelas" w:hAnsi="Athelas"/>
          <w:color w:val="000000" w:themeColor="text1"/>
        </w:rPr>
        <w:t xml:space="preserve"> Temple. The death toll was about 20 people</w:t>
      </w:r>
      <w:r w:rsidRPr="00F139D9">
        <w:rPr>
          <w:rFonts w:ascii="Athelas" w:hAnsi="Athelas"/>
          <w:color w:val="000000" w:themeColor="text1"/>
          <w:lang w:val="id-ID"/>
        </w:rPr>
        <w:t xml:space="preserve"> </w:t>
      </w:r>
      <w:r w:rsidRPr="00F139D9">
        <w:rPr>
          <w:rFonts w:ascii="Athelas" w:hAnsi="Athelas"/>
          <w:color w:val="000000" w:themeColor="text1"/>
          <w:lang w:val="id-ID"/>
        </w:rPr>
        <w:fldChar w:fldCharType="begin" w:fldLock="1"/>
      </w:r>
      <w:r w:rsidRPr="00F139D9">
        <w:rPr>
          <w:rFonts w:ascii="Athelas" w:hAnsi="Athelas"/>
          <w:color w:val="000000" w:themeColor="text1"/>
          <w:lang w:val="id-ID"/>
        </w:rPr>
        <w:instrText>ADDIN CSL_CITATION {"citationItems":[{"id":"ITEM-1","itemData":{"URL":"https://www.republika.co.id/berita/q5il2e318/kelamnya-teror-thailand","author":[{"dropping-particle":"","family":"republika.co.id","given":"","non-dropping-particle":"","parse-names":false,"suffix":""}],"container-title":"republika.co.id","id":"ITEM-1","issued":{"date-parts":[["2020"]]},"title":"Kelamnya Teror Thailand","type":"webpage"},"uris":["http://www.mendeley.com/documents/?uuid=153ca9e5-3da8-4517-8a76-36d2160db19f"]}],"mendeley":{"formattedCitation":"(republika.co.id, 2020)","plainTextFormattedCitation":"(republika.co.id, 2020)","previouslyFormattedCitation":"(republika.co.id, 2020)"},"properties":{"noteIndex":0},"schema":"https://github.com/citation-style-language/schema/raw/master/csl-citation.json"}</w:instrText>
      </w:r>
      <w:r w:rsidRPr="00F139D9">
        <w:rPr>
          <w:rFonts w:ascii="Athelas" w:hAnsi="Athelas"/>
          <w:color w:val="000000" w:themeColor="text1"/>
          <w:lang w:val="id-ID"/>
        </w:rPr>
        <w:fldChar w:fldCharType="separate"/>
      </w:r>
      <w:r w:rsidRPr="00F139D9">
        <w:rPr>
          <w:rFonts w:ascii="Athelas" w:hAnsi="Athelas"/>
          <w:noProof/>
          <w:color w:val="000000" w:themeColor="text1"/>
          <w:lang w:val="id-ID"/>
        </w:rPr>
        <w:t>(republika.co.id, 2020)</w:t>
      </w:r>
      <w:r w:rsidRPr="00F139D9">
        <w:rPr>
          <w:rFonts w:ascii="Athelas" w:hAnsi="Athelas"/>
          <w:color w:val="000000" w:themeColor="text1"/>
          <w:lang w:val="id-ID"/>
        </w:rPr>
        <w:fldChar w:fldCharType="end"/>
      </w:r>
      <w:r w:rsidRPr="00F139D9">
        <w:rPr>
          <w:rFonts w:ascii="Athelas" w:hAnsi="Athelas"/>
          <w:color w:val="000000" w:themeColor="text1"/>
          <w:lang w:val="id-ID"/>
        </w:rPr>
        <w:t>.</w:t>
      </w:r>
    </w:p>
    <w:p w14:paraId="7BB00FBD" w14:textId="77777777" w:rsidR="001612BD" w:rsidRPr="0040708F" w:rsidRDefault="001612BD" w:rsidP="001612BD">
      <w:pPr>
        <w:pStyle w:val="NormalWeb"/>
        <w:spacing w:before="240" w:beforeAutospacing="0" w:after="240" w:afterAutospacing="0" w:line="276" w:lineRule="auto"/>
        <w:ind w:firstLine="720"/>
        <w:jc w:val="both"/>
        <w:rPr>
          <w:rStyle w:val="Hyperlink"/>
          <w:rFonts w:ascii="Athelas" w:hAnsi="Athelas"/>
          <w:color w:val="000000" w:themeColor="text1"/>
          <w:u w:val="none"/>
          <w:lang w:val="id-ID"/>
        </w:rPr>
      </w:pPr>
      <w:r w:rsidRPr="0040708F">
        <w:rPr>
          <w:rStyle w:val="Hyperlink"/>
          <w:rFonts w:ascii="Athelas" w:hAnsi="Athelas"/>
          <w:color w:val="000000" w:themeColor="text1"/>
          <w:u w:val="none"/>
          <w:lang w:val="id-ID"/>
        </w:rPr>
        <w:t xml:space="preserve">In the Government Effectiveness indicator, Thailand got a score of 185.2, which was almost followed by the Philippines at 174.12 and Indonesia at 160.9. Meanwhile, on the Government Effectiveness indicator, Indonesia is still lagging behind Thailand </w:t>
      </w:r>
      <w:r w:rsidRPr="0040708F">
        <w:rPr>
          <w:rStyle w:val="Hyperlink"/>
          <w:rFonts w:ascii="Athelas" w:hAnsi="Athelas"/>
          <w:color w:val="000000" w:themeColor="text1"/>
          <w:u w:val="none"/>
          <w:lang w:val="id-ID"/>
        </w:rPr>
        <w:fldChar w:fldCharType="begin" w:fldLock="1"/>
      </w:r>
      <w:r w:rsidRPr="0040708F">
        <w:rPr>
          <w:rStyle w:val="Hyperlink"/>
          <w:rFonts w:ascii="Athelas" w:hAnsi="Athelas"/>
          <w:color w:val="000000" w:themeColor="text1"/>
          <w:u w:val="none"/>
          <w:lang w:val="id-ID"/>
        </w:rPr>
        <w:instrText>ADDIN CSL_CITATION {"citationItems":[{"id":"ITEM-1","itemData":{"author":[{"dropping-particle":"","family":"Anastasia Arvirianty","given":"","non-dropping-particle":"","parse-names":false,"suffix":""}],"id":"ITEM-1","issued":{"date-parts":[["2019"]]},"title":"Sri Mulyani Akui RI Kalah Efektif dari Thailand dan Malaysia","type":"report"},"uris":["http://www.mendeley.com/documents/?uuid=56cc1058-8ab8-4e34-b4e4-78e3b155e6e5"]}],"mendeley":{"formattedCitation":"(Anastasia Arvirianty, 2019)","plainTextFormattedCitation":"(Anastasia Arvirianty, 2019)","previouslyFormattedCitation":"(Anastasia Arvirianty, 2019)"},"properties":{"noteIndex":0},"schema":"https://github.com/citation-style-language/schema/raw/master/csl-citation.json"}</w:instrText>
      </w:r>
      <w:r w:rsidRPr="0040708F">
        <w:rPr>
          <w:rStyle w:val="Hyperlink"/>
          <w:rFonts w:ascii="Athelas" w:hAnsi="Athelas"/>
          <w:color w:val="000000" w:themeColor="text1"/>
          <w:u w:val="none"/>
          <w:lang w:val="id-ID"/>
        </w:rPr>
        <w:fldChar w:fldCharType="separate"/>
      </w:r>
      <w:r w:rsidRPr="0040708F">
        <w:rPr>
          <w:rStyle w:val="Hyperlink"/>
          <w:rFonts w:ascii="Athelas" w:hAnsi="Athelas"/>
          <w:color w:val="000000" w:themeColor="text1"/>
          <w:u w:val="none"/>
          <w:lang w:val="id-ID"/>
        </w:rPr>
        <w:t>(Anastasia Arvirianty, 2019)</w:t>
      </w:r>
      <w:r w:rsidRPr="0040708F">
        <w:rPr>
          <w:rStyle w:val="Hyperlink"/>
          <w:rFonts w:ascii="Athelas" w:hAnsi="Athelas"/>
          <w:color w:val="000000" w:themeColor="text1"/>
          <w:u w:val="none"/>
          <w:lang w:val="id-ID"/>
        </w:rPr>
        <w:fldChar w:fldCharType="end"/>
      </w:r>
      <w:r w:rsidRPr="0040708F">
        <w:rPr>
          <w:rStyle w:val="Hyperlink"/>
          <w:rFonts w:ascii="Athelas" w:hAnsi="Athelas"/>
          <w:color w:val="000000" w:themeColor="text1"/>
          <w:u w:val="none"/>
          <w:lang w:val="id-ID"/>
        </w:rPr>
        <w:t xml:space="preserve">. In this regard, the Government of Thailand has implemented good regulatory practices and is committed to using regulatory policies to achieve social goals, this initiative is a new effort to improve the quality of regulation (OECD, 2020). In the Regulatory Quality indicator, Thailand got a score of 168.42, which was almost followed by the Philippines at 162.28 and Indonesia at 157.09. Thailand has been working to accelerate reforms for three years to set a solid foundation for sustainable regulatory policy intervention. </w:t>
      </w:r>
    </w:p>
    <w:p w14:paraId="2C58C304" w14:textId="77777777" w:rsidR="001612BD" w:rsidRPr="0040708F" w:rsidRDefault="001612BD" w:rsidP="001612BD">
      <w:pPr>
        <w:pStyle w:val="NormalWeb"/>
        <w:spacing w:before="240" w:beforeAutospacing="0" w:after="240" w:afterAutospacing="0" w:line="276" w:lineRule="auto"/>
        <w:ind w:firstLine="720"/>
        <w:jc w:val="both"/>
        <w:rPr>
          <w:rStyle w:val="Hyperlink"/>
          <w:rFonts w:ascii="Athelas" w:hAnsi="Athelas"/>
          <w:color w:val="000000" w:themeColor="text1"/>
          <w:u w:val="none"/>
          <w:lang w:val="id-ID"/>
        </w:rPr>
      </w:pPr>
      <w:r w:rsidRPr="0040708F">
        <w:rPr>
          <w:rStyle w:val="Hyperlink"/>
          <w:rFonts w:ascii="Athelas" w:hAnsi="Athelas"/>
          <w:color w:val="000000" w:themeColor="text1"/>
          <w:u w:val="none"/>
          <w:lang w:val="id-ID"/>
        </w:rPr>
        <w:t xml:space="preserve">Based on the OECD (2020), it is explained that the New Thai Constitution establishes the principles and instruments of good regulation. In 2019, a new Law on Legislative Drafting and Evaluation of Laws was formed which implements constitutional requirements and establishes rules for drafting legislation, including the use of Regulatory Impact Assessments (RIA), stakeholder engagement, and ex-post review. This reform offers major improvements in terms of both form and substance and follows previous reform efforts that included good governance principles for regulatory </w:t>
      </w:r>
      <w:r w:rsidRPr="0040708F">
        <w:rPr>
          <w:rStyle w:val="Hyperlink"/>
          <w:rFonts w:ascii="Athelas" w:hAnsi="Athelas"/>
          <w:color w:val="000000" w:themeColor="text1"/>
          <w:u w:val="none"/>
          <w:lang w:val="id-ID"/>
        </w:rPr>
        <w:lastRenderedPageBreak/>
        <w:t xml:space="preserve">policymaking as well as ex-post evaluation and reform of licensing procedures aimed at targeting the regulatory stock </w:t>
      </w:r>
      <w:r w:rsidRPr="0040708F">
        <w:rPr>
          <w:rStyle w:val="Hyperlink"/>
          <w:rFonts w:ascii="Athelas" w:hAnsi="Athelas"/>
          <w:color w:val="000000" w:themeColor="text1"/>
          <w:u w:val="none"/>
          <w:lang w:val="id-ID"/>
        </w:rPr>
        <w:fldChar w:fldCharType="begin" w:fldLock="1"/>
      </w:r>
      <w:r w:rsidRPr="0040708F">
        <w:rPr>
          <w:rStyle w:val="Hyperlink"/>
          <w:rFonts w:ascii="Athelas" w:hAnsi="Athelas"/>
          <w:color w:val="000000" w:themeColor="text1"/>
          <w:u w:val="none"/>
          <w:lang w:val="id-ID"/>
        </w:rPr>
        <w:instrText>ADDIN CSL_CITATION {"citationItems":[{"id":"ITEM-1","itemData":{"author":[{"dropping-particle":"","family":"OECD","given":"","non-dropping-particle":"","parse-names":false,"suffix":""}],"id":"ITEM-1","issued":{"date-parts":[["2020"]]},"publisher-place":"Paris","title":"Regulatory Management and Oversight Reforms in Thailand: A Diagnostic Scan","type":"book"},"uris":["http://www.mendeley.com/documents/?uuid=35062657-3816-4ef2-8c8f-e9bf09222fa4"]}],"mendeley":{"formattedCitation":"(OECD, 2020)","plainTextFormattedCitation":"(OECD, 2020)","previouslyFormattedCitation":"(OECD, 2020)"},"properties":{"noteIndex":0},"schema":"https://github.com/citation-style-language/schema/raw/master/csl-citation.json"}</w:instrText>
      </w:r>
      <w:r w:rsidRPr="0040708F">
        <w:rPr>
          <w:rStyle w:val="Hyperlink"/>
          <w:rFonts w:ascii="Athelas" w:hAnsi="Athelas"/>
          <w:color w:val="000000" w:themeColor="text1"/>
          <w:u w:val="none"/>
          <w:lang w:val="id-ID"/>
        </w:rPr>
        <w:fldChar w:fldCharType="separate"/>
      </w:r>
      <w:r w:rsidRPr="0040708F">
        <w:rPr>
          <w:rStyle w:val="Hyperlink"/>
          <w:rFonts w:ascii="Athelas" w:hAnsi="Athelas"/>
          <w:color w:val="000000" w:themeColor="text1"/>
          <w:u w:val="none"/>
          <w:lang w:val="id-ID"/>
        </w:rPr>
        <w:t>(OECD, 2020)</w:t>
      </w:r>
      <w:r w:rsidRPr="0040708F">
        <w:rPr>
          <w:rStyle w:val="Hyperlink"/>
          <w:rFonts w:ascii="Athelas" w:hAnsi="Athelas"/>
          <w:color w:val="000000" w:themeColor="text1"/>
          <w:u w:val="none"/>
          <w:lang w:val="id-ID"/>
        </w:rPr>
        <w:fldChar w:fldCharType="end"/>
      </w:r>
      <w:r w:rsidRPr="0040708F">
        <w:rPr>
          <w:rStyle w:val="Hyperlink"/>
          <w:rFonts w:ascii="Athelas" w:hAnsi="Athelas"/>
          <w:color w:val="000000" w:themeColor="text1"/>
          <w:u w:val="none"/>
          <w:lang w:val="id-ID"/>
        </w:rPr>
        <w:t>.</w:t>
      </w:r>
    </w:p>
    <w:p w14:paraId="643E45F2" w14:textId="77777777" w:rsidR="001612BD" w:rsidRPr="00F139D9" w:rsidRDefault="001612BD" w:rsidP="001612BD">
      <w:pPr>
        <w:pStyle w:val="NormalWeb"/>
        <w:spacing w:line="276" w:lineRule="auto"/>
        <w:ind w:firstLine="720"/>
        <w:jc w:val="both"/>
        <w:rPr>
          <w:rFonts w:ascii="Athelas" w:hAnsi="Athelas"/>
          <w:color w:val="000000" w:themeColor="text1"/>
        </w:rPr>
      </w:pPr>
      <w:r w:rsidRPr="00F139D9">
        <w:rPr>
          <w:rFonts w:ascii="Athelas" w:hAnsi="Athelas"/>
          <w:color w:val="000000" w:themeColor="text1"/>
        </w:rPr>
        <w:t>On the Rule of Law indicator, Thailand scored 158.44 points higher than Indonesia at 119.91 and the Philippines at 101.49. In the news article on Ucanews.com (2019), it is explained that not long after the first elections in Thailand in eight years were completed on March 24, the chaos began</w:t>
      </w:r>
      <w:r w:rsidRPr="00F139D9">
        <w:rPr>
          <w:rFonts w:ascii="Athelas" w:hAnsi="Athelas"/>
          <w:color w:val="000000" w:themeColor="text1"/>
          <w:lang w:val="id-ID"/>
        </w:rPr>
        <w:t xml:space="preserve"> </w:t>
      </w:r>
      <w:r w:rsidRPr="00F139D9">
        <w:rPr>
          <w:rFonts w:ascii="Athelas" w:hAnsi="Athelas"/>
          <w:color w:val="000000" w:themeColor="text1"/>
          <w:lang w:val="id-ID"/>
        </w:rPr>
        <w:fldChar w:fldCharType="begin" w:fldLock="1"/>
      </w:r>
      <w:r w:rsidRPr="00F139D9">
        <w:rPr>
          <w:rFonts w:ascii="Athelas" w:hAnsi="Athelas"/>
          <w:color w:val="000000" w:themeColor="text1"/>
          <w:lang w:val="id-ID"/>
        </w:rPr>
        <w:instrText>ADDIN CSL_CITATION {"citationItems":[{"id":"ITEM-1","itemData":{"author":[{"dropping-particle":"","family":"Ucanews.com","given":"","non-dropping-particle":"","parse-names":false,"suffix":""}],"id":"ITEM-1","issued":{"date-parts":[["2019"]]},"publisher-place":"Bangkok","title":"Rule by law but no rule of law in Thailand","type":"report"},"uris":["http://www.mendeley.com/documents/?uuid=14717770-7dd0-4efd-b975-42617487638a"]}],"mendeley":{"formattedCitation":"(Ucanews.com, 2019)","plainTextFormattedCitation":"(Ucanews.com, 2019)","previouslyFormattedCitation":"(Ucanews.com, 2019)"},"properties":{"noteIndex":0},"schema":"https://github.com/citation-style-language/schema/raw/master/csl-citation.json"}</w:instrText>
      </w:r>
      <w:r w:rsidRPr="00F139D9">
        <w:rPr>
          <w:rFonts w:ascii="Athelas" w:hAnsi="Athelas"/>
          <w:color w:val="000000" w:themeColor="text1"/>
          <w:lang w:val="id-ID"/>
        </w:rPr>
        <w:fldChar w:fldCharType="separate"/>
      </w:r>
      <w:r w:rsidRPr="00F139D9">
        <w:rPr>
          <w:rFonts w:ascii="Athelas" w:hAnsi="Athelas"/>
          <w:noProof/>
          <w:color w:val="000000" w:themeColor="text1"/>
          <w:lang w:val="id-ID"/>
        </w:rPr>
        <w:t>(Ucanews.com, 2019)</w:t>
      </w:r>
      <w:r w:rsidRPr="00F139D9">
        <w:rPr>
          <w:rFonts w:ascii="Athelas" w:hAnsi="Athelas"/>
          <w:color w:val="000000" w:themeColor="text1"/>
          <w:lang w:val="id-ID"/>
        </w:rPr>
        <w:fldChar w:fldCharType="end"/>
      </w:r>
      <w:r w:rsidRPr="00F139D9">
        <w:rPr>
          <w:rFonts w:ascii="Athelas" w:hAnsi="Athelas"/>
          <w:color w:val="000000" w:themeColor="text1"/>
        </w:rPr>
        <w:t>. There are differences in the raw votes announced by the commission and its official documents released later; the number of voters does not match the number of ballots used, and the number of votes cast for political parties does not match the number of ballots declared valid, according to a local newspaper</w:t>
      </w:r>
      <w:r w:rsidRPr="00F139D9">
        <w:rPr>
          <w:rFonts w:ascii="Athelas" w:hAnsi="Athelas"/>
          <w:color w:val="000000" w:themeColor="text1"/>
          <w:lang w:val="id-ID"/>
        </w:rPr>
        <w:t xml:space="preserve"> </w:t>
      </w:r>
      <w:r w:rsidRPr="00F139D9">
        <w:rPr>
          <w:rFonts w:ascii="Athelas" w:hAnsi="Athelas"/>
          <w:color w:val="000000" w:themeColor="text1"/>
          <w:lang w:val="id-ID"/>
        </w:rPr>
        <w:fldChar w:fldCharType="begin" w:fldLock="1"/>
      </w:r>
      <w:r w:rsidRPr="00F139D9">
        <w:rPr>
          <w:rFonts w:ascii="Athelas" w:hAnsi="Athelas"/>
          <w:color w:val="000000" w:themeColor="text1"/>
          <w:lang w:val="id-ID"/>
        </w:rPr>
        <w:instrText>ADDIN CSL_CITATION {"citationItems":[{"id":"ITEM-1","itemData":{"abstract":"… Globalization and the knowledge revolution present both challenges and opportunities to developing countries … (1) Geographic proximity to markets, (2) Net knowledge inflows … 1 shows the human capital and structural capital components used to calculate the nation's IC value …","author":[{"dropping-particle":"","family":"Wirawan","given":"A","non-dropping-particle":"","parse-names":false,"suffix":""},{"dropping-particle":"","family":"Foong","given":"S G C","non-dropping-particle":"","parse-names":false,"suffix":""},{"dropping-particle":"","family":"Win","given":"Y M","non-dropping-particle":"","parse-names":false,"suffix":""},{"dropping-particle":"","family":"...","given":"","non-dropping-particle":"","parse-names":false,"suffix":""}],"container-title":"The International Journal …","id":"ITEM-1","issued":{"date-parts":[["2009"]]},"page":"1-38","title":"Bridging the knowledge gap in developing societies: a field study of Indonesia, Vietnam and Myanmar","type":"article-journal"},"uris":["http://www.mendeley.com/documents/?uuid=0b5ab307-d098-48f9-a6fa-515917704574"]},{"id":"ITEM-2","itemData":{"ISBN":"9788490225370","abstract":"This study departs from the reality of gender relations within the family institution which has to be dikhotomis, causing the pole inequality relations between men and women. Therefore, in this study wanted to dismantle the detail view of some theories, both social and feminist about gender relations in the family. Each of these theories (structural functional, conflict and feminist) has their own viewpoint about the pattern of gender relations in the family. However, simultaneously acknowledging that the social construction of culture remained significant influence on the division of roles are played by men (husbands) and women (wife) in the family institution. This means that the social construction of culture was instrumental in the creation of relations contribute between men and women equally or otherwise occurred inequality.","author":[{"dropping-particle":"","family":"AR Maulana","given":"Akmal","non-dropping-particle":"","parse-names":false,"suffix":""}],"container-title":"Braz Dent J.","id":"ITEM-2","issued":{"date-parts":[["2022"]]},"page":"1-79","title":"Pengaruh Gerakan Mahasiswa Terhadap Upaya Penegakan Demokrasi di Thailand pada masa Pemerintahan PM Prayuth Chan-Ocha (2014-2020)","type":"entry-encyclopedia"},"uris":["http://www.mendeley.com/documents/?uuid=8bd5fadc-5626-4166-b829-ff09a5fac122"]}],"mendeley":{"formattedCitation":"(AR Maulana, 2022; A. Wirawan et al., 2009)","manualFormatting":"(AR Maulana, 2022)","plainTextFormattedCitation":"(AR Maulana, 2022; A. Wirawan et al., 2009)","previouslyFormattedCitation":"(AR Maulana, 2022; A. Wirawan et al., 2009)"},"properties":{"noteIndex":0},"schema":"https://github.com/citation-style-language/schema/raw/master/csl-citation.json"}</w:instrText>
      </w:r>
      <w:r w:rsidRPr="00F139D9">
        <w:rPr>
          <w:rFonts w:ascii="Athelas" w:hAnsi="Athelas"/>
          <w:color w:val="000000" w:themeColor="text1"/>
          <w:lang w:val="id-ID"/>
        </w:rPr>
        <w:fldChar w:fldCharType="separate"/>
      </w:r>
      <w:r w:rsidRPr="00F139D9">
        <w:rPr>
          <w:rFonts w:ascii="Athelas" w:hAnsi="Athelas"/>
          <w:noProof/>
          <w:color w:val="000000" w:themeColor="text1"/>
          <w:lang w:val="id-ID"/>
        </w:rPr>
        <w:t>(AR Maulana, 2022)</w:t>
      </w:r>
      <w:r w:rsidRPr="00F139D9">
        <w:rPr>
          <w:rFonts w:ascii="Athelas" w:hAnsi="Athelas"/>
          <w:color w:val="000000" w:themeColor="text1"/>
          <w:lang w:val="id-ID"/>
        </w:rPr>
        <w:fldChar w:fldCharType="end"/>
      </w:r>
      <w:r w:rsidRPr="00F139D9">
        <w:rPr>
          <w:rFonts w:ascii="Athelas" w:hAnsi="Athelas"/>
          <w:color w:val="000000" w:themeColor="text1"/>
        </w:rPr>
        <w:t>. Within hours, the report was removed from the Election Commission's website, adding to widespread suspicions that the election had been rigged in favor of the junta</w:t>
      </w:r>
      <w:r w:rsidRPr="00F139D9">
        <w:rPr>
          <w:rFonts w:ascii="Athelas" w:hAnsi="Athelas"/>
          <w:color w:val="000000" w:themeColor="text1"/>
          <w:lang w:val="id-ID"/>
        </w:rPr>
        <w:t xml:space="preserve"> </w:t>
      </w:r>
      <w:r w:rsidRPr="00F139D9">
        <w:rPr>
          <w:rFonts w:ascii="Athelas" w:hAnsi="Athelas"/>
          <w:color w:val="000000" w:themeColor="text1"/>
          <w:lang w:val="id-ID"/>
        </w:rPr>
        <w:fldChar w:fldCharType="begin" w:fldLock="1"/>
      </w:r>
      <w:r w:rsidRPr="00F139D9">
        <w:rPr>
          <w:rFonts w:ascii="Athelas" w:hAnsi="Athelas"/>
          <w:color w:val="000000" w:themeColor="text1"/>
          <w:lang w:val="id-ID"/>
        </w:rPr>
        <w:instrText>ADDIN CSL_CITATION {"citationItems":[{"id":"ITEM-1","itemData":{"DOI":"10.1177/0021909620926529","ISSN":"17452538","abstract":"Grounded in 41 semi-structured interviews, this article examines the extent to which the complaints system under regulatory oversight of the Public Sector Anti-Corruption Commission (PACC) in Thailand has been effective for addressing corruption complaints. The present article revisits the theoretical arguments of the structural school and the reputational school over agency independence, deploying such arguments to analyze the way in which de facto independence of the anti-corruption agencies (ACAs) operating in a highly politicized environment can be protected. The analysis finds that a high level of legal independence is the best possible way to safeguard de facto independence, enhancing the overall effectiveness of the ACAs working in highly politicized countries. In addition, the empirical findings suggest that a low level of legal independence, a lack of prosecution power, inadequate qualified staffing, and the absence of meaningful public participation are the core factors contributing to the ineffectiveness of the PACC system.","author":[{"dropping-particle":"","family":"Prateeppornnarong","given":"Dhiyathad","non-dropping-particle":"","parse-names":false,"suffix":""}],"container-title":"Journal of Asian and African Studies","id":"ITEM-1","issue":"2","issued":{"date-parts":[["2021"]]},"page":"320-334","title":"Fighting Corruption While Having Hands Tied: A Case Study of Thailand’s Public Sector Anti-Corruption Commission","type":"article-journal","volume":"56"},"uris":["http://www.mendeley.com/documents/?uuid=f9e1fcfa-f407-4e75-8d92-b7f984b606f8"]}],"mendeley":{"formattedCitation":"(Prateeppornnarong, 2021)","plainTextFormattedCitation":"(Prateeppornnarong, 2021)","previouslyFormattedCitation":"(Prateeppornnarong, 2021)"},"properties":{"noteIndex":0},"schema":"https://github.com/citation-style-language/schema/raw/master/csl-citation.json"}</w:instrText>
      </w:r>
      <w:r w:rsidRPr="00F139D9">
        <w:rPr>
          <w:rFonts w:ascii="Athelas" w:hAnsi="Athelas"/>
          <w:color w:val="000000" w:themeColor="text1"/>
          <w:lang w:val="id-ID"/>
        </w:rPr>
        <w:fldChar w:fldCharType="separate"/>
      </w:r>
      <w:r w:rsidRPr="00F139D9">
        <w:rPr>
          <w:rFonts w:ascii="Athelas" w:hAnsi="Athelas"/>
          <w:noProof/>
          <w:color w:val="000000" w:themeColor="text1"/>
          <w:lang w:val="id-ID"/>
        </w:rPr>
        <w:t>(Prateeppornnarong, 2021)</w:t>
      </w:r>
      <w:r w:rsidRPr="00F139D9">
        <w:rPr>
          <w:rFonts w:ascii="Athelas" w:hAnsi="Athelas"/>
          <w:color w:val="000000" w:themeColor="text1"/>
          <w:lang w:val="id-ID"/>
        </w:rPr>
        <w:fldChar w:fldCharType="end"/>
      </w:r>
      <w:r w:rsidRPr="00F139D9">
        <w:rPr>
          <w:rFonts w:ascii="Athelas" w:hAnsi="Athelas"/>
          <w:color w:val="000000" w:themeColor="text1"/>
        </w:rPr>
        <w:t>.</w:t>
      </w:r>
    </w:p>
    <w:p w14:paraId="440E386B" w14:textId="18974300" w:rsidR="001612BD" w:rsidRPr="00F139D9" w:rsidRDefault="00957D98" w:rsidP="001612BD">
      <w:pPr>
        <w:pStyle w:val="NormalWeb"/>
        <w:spacing w:line="276" w:lineRule="auto"/>
        <w:ind w:firstLine="720"/>
        <w:jc w:val="both"/>
        <w:rPr>
          <w:rStyle w:val="Hyperlink"/>
          <w:rFonts w:ascii="Athelas" w:hAnsi="Athelas"/>
          <w:color w:val="000000" w:themeColor="text1"/>
        </w:rPr>
      </w:pPr>
      <w:r w:rsidRPr="00957D98">
        <w:rPr>
          <w:rFonts w:ascii="Athelas" w:hAnsi="Athelas"/>
          <w:color w:val="000000" w:themeColor="text1"/>
        </w:rPr>
        <w:t>The question of overriding election results is Thailand's biggest challenge. The law frequently reflects the opinions of the powerful. In Thailand, where the rule of law has never been particularly strong, violations occur frequently. Meanwhile, it is well known for individuals in authority, especially those who pass laws and are responsible for upholding them, to do so at will. Even for major crimes, persons with money and power often do not have to worry about legal repercussions</w:t>
      </w:r>
      <w:r>
        <w:rPr>
          <w:rFonts w:ascii="Athelas" w:hAnsi="Athelas"/>
          <w:color w:val="000000" w:themeColor="text1"/>
          <w:lang w:val="id-ID"/>
        </w:rPr>
        <w:t xml:space="preserve"> </w:t>
      </w:r>
      <w:r w:rsidR="001612BD" w:rsidRPr="00F139D9">
        <w:rPr>
          <w:rFonts w:ascii="Athelas" w:hAnsi="Athelas"/>
          <w:color w:val="000000" w:themeColor="text1"/>
          <w:lang w:val="id-ID"/>
        </w:rPr>
        <w:fldChar w:fldCharType="begin" w:fldLock="1"/>
      </w:r>
      <w:r w:rsidR="001612BD" w:rsidRPr="00F139D9">
        <w:rPr>
          <w:rFonts w:ascii="Athelas" w:hAnsi="Athelas"/>
          <w:color w:val="000000" w:themeColor="text1"/>
          <w:lang w:val="id-ID"/>
        </w:rPr>
        <w:instrText>ADDIN CSL_CITATION {"citationItems":[{"id":"ITEM-1","itemData":{"author":[{"dropping-particle":"","family":"Ucanews.com","given":"","non-dropping-particle":"","parse-names":false,"suffix":""}],"id":"ITEM-1","issued":{"date-parts":[["2019"]]},"publisher-place":"Bangkok","title":"Rule by law but no rule of law in Thailand","type":"report"},"uris":["http://www.mendeley.com/documents/?uuid=14717770-7dd0-4efd-b975-42617487638a"]}],"mendeley":{"formattedCitation":"(Ucanews.com, 2019)","plainTextFormattedCitation":"(Ucanews.com, 2019)","previouslyFormattedCitation":"(Ucanews.com, 2019)"},"properties":{"noteIndex":0},"schema":"https://github.com/citation-style-language/schema/raw/master/csl-citation.json"}</w:instrText>
      </w:r>
      <w:r w:rsidR="001612BD" w:rsidRPr="00F139D9">
        <w:rPr>
          <w:rFonts w:ascii="Athelas" w:hAnsi="Athelas"/>
          <w:color w:val="000000" w:themeColor="text1"/>
          <w:lang w:val="id-ID"/>
        </w:rPr>
        <w:fldChar w:fldCharType="separate"/>
      </w:r>
      <w:r w:rsidR="001612BD" w:rsidRPr="00F139D9">
        <w:rPr>
          <w:rFonts w:ascii="Athelas" w:hAnsi="Athelas"/>
          <w:noProof/>
          <w:color w:val="000000" w:themeColor="text1"/>
          <w:lang w:val="id-ID"/>
        </w:rPr>
        <w:t>(Ucanews.com, 2019)</w:t>
      </w:r>
      <w:r w:rsidR="001612BD" w:rsidRPr="00F139D9">
        <w:rPr>
          <w:rFonts w:ascii="Athelas" w:hAnsi="Athelas"/>
          <w:color w:val="000000" w:themeColor="text1"/>
          <w:lang w:val="id-ID"/>
        </w:rPr>
        <w:fldChar w:fldCharType="end"/>
      </w:r>
      <w:r w:rsidR="001612BD" w:rsidRPr="00F139D9">
        <w:rPr>
          <w:rFonts w:ascii="Athelas" w:hAnsi="Athelas"/>
          <w:color w:val="000000" w:themeColor="text1"/>
        </w:rPr>
        <w:t>.</w:t>
      </w:r>
    </w:p>
    <w:p w14:paraId="70974319" w14:textId="77777777" w:rsidR="001612BD" w:rsidRPr="00F139D9" w:rsidRDefault="001612BD" w:rsidP="001612BD">
      <w:pPr>
        <w:pStyle w:val="NormalWeb"/>
        <w:spacing w:line="276" w:lineRule="auto"/>
        <w:ind w:firstLine="720"/>
        <w:jc w:val="both"/>
        <w:rPr>
          <w:rFonts w:ascii="Athelas" w:hAnsi="Athelas"/>
          <w:color w:val="000000" w:themeColor="text1"/>
        </w:rPr>
      </w:pPr>
      <w:r w:rsidRPr="00F139D9">
        <w:rPr>
          <w:rFonts w:ascii="Athelas" w:hAnsi="Athelas"/>
          <w:color w:val="000000" w:themeColor="text1"/>
        </w:rPr>
        <w:t>In the Control of Corruption indicator, Thailand scored 119.55 points higher than the Philippines at 96.73 and Myanmar at 49.02. Thailand's efforts to control corruption in its country are through several anti-corruption regulations, one of which is the Organic Act on Anti-Corruption B.E. 2561 (2018), or the New Anti-Corruption Law, which stipulates the 1999 Organic Law on the Eradication of Corruption (Old OACC) and all its amendments</w:t>
      </w:r>
      <w:r w:rsidRPr="00F139D9">
        <w:rPr>
          <w:rFonts w:ascii="Athelas" w:hAnsi="Athelas"/>
          <w:color w:val="000000" w:themeColor="text1"/>
          <w:lang w:val="id-ID"/>
        </w:rPr>
        <w:t xml:space="preserve"> </w:t>
      </w:r>
      <w:r w:rsidRPr="00F139D9">
        <w:rPr>
          <w:rFonts w:ascii="Athelas" w:hAnsi="Athelas"/>
          <w:color w:val="000000" w:themeColor="text1"/>
          <w:lang w:val="id-ID"/>
        </w:rPr>
        <w:fldChar w:fldCharType="begin" w:fldLock="1"/>
      </w:r>
      <w:r w:rsidRPr="00F139D9">
        <w:rPr>
          <w:rFonts w:ascii="Athelas" w:hAnsi="Athelas"/>
          <w:color w:val="000000" w:themeColor="text1"/>
          <w:lang w:val="id-ID"/>
        </w:rPr>
        <w:instrText>ADDIN CSL_CITATION {"citationItems":[{"id":"ITEM-1","itemData":{"DOI":"10.55927/mudima.v2i10.1462","abstract":"Penelitian ini bertujuan untuk mengkaji dampak populasi penduduk, foreign direct investment (FDI) dan control of corruption terhadap emisi karbon dioksida. Sampel penelitian mencakup sembilan negara anggota ASEAN (Indonesia, Malaysia, Singapura, Thailand, Filipina, Brunei Darussalam, Vietnam, Myanmar dan Kamboja) periode tahun 2011 hingga 2020. Metode regresi panel menggunakan model Fixed Effect digunakan untuk menyelidiki dampak populasi penduduk, foreign direct investment (FDI) dan control of corruption terhadap emisi karbon dioksida. Hasil penelitian menunjukkan, variabel populasi penduduk, foreign direct investment (FDI) masing-masing mempunyai pengaruh positif dan signifikan terhadap emisi karbon dioksida, sedangkan variabel control of corruption berpengaruh negatif dan signifikan terhadap emisi karbon dioksida.","author":[{"dropping-particle":"","family":"Yusril Izha Mahendra","given":"","non-dropping-particle":"","parse-names":false,"suffix":""},{"dropping-particle":"","family":"Marselina","given":"","non-dropping-particle":"","parse-names":false,"suffix":""},{"dropping-particle":"","family":"Heru Wahyudi","given":"","non-dropping-particle":"","parse-names":false,"suffix":""},{"dropping-particle":"","family":"Ukhti Ciptawati","given":"","non-dropping-particle":"","parse-names":false,"suffix":""}],"container-title":"Jurnal Multidisiplin Madani (MUDIMA)","id":"ITEM-1","issue":"10","issued":{"date-parts":[["2022"]]},"page":"3741-3753","title":"Pengaruh Populasi Penduduk, FDI dan Control of Corruption terhadap Emisi CO2 di 9 Negara ASEAN","type":"article-journal","volume":"2"},"uris":["http://www.mendeley.com/documents/?uuid=80cf209a-f50e-4579-a6a7-7f15cbb1d4c0"]}],"mendeley":{"formattedCitation":"(Yusril Izha Mahendra et al., 2022)","plainTextFormattedCitation":"(Yusril Izha Mahendra et al., 2022)","previouslyFormattedCitation":"(Yusril Izha Mahendra et al., 2022)"},"properties":{"noteIndex":0},"schema":"https://github.com/citation-style-language/schema/raw/master/csl-citation.json"}</w:instrText>
      </w:r>
      <w:r w:rsidRPr="00F139D9">
        <w:rPr>
          <w:rFonts w:ascii="Athelas" w:hAnsi="Athelas"/>
          <w:color w:val="000000" w:themeColor="text1"/>
          <w:lang w:val="id-ID"/>
        </w:rPr>
        <w:fldChar w:fldCharType="separate"/>
      </w:r>
      <w:r w:rsidRPr="00F139D9">
        <w:rPr>
          <w:rFonts w:ascii="Athelas" w:hAnsi="Athelas"/>
          <w:noProof/>
          <w:color w:val="000000" w:themeColor="text1"/>
          <w:lang w:val="id-ID"/>
        </w:rPr>
        <w:t>(Yusril Izha Mahendra et al., 2022)</w:t>
      </w:r>
      <w:r w:rsidRPr="00F139D9">
        <w:rPr>
          <w:rFonts w:ascii="Athelas" w:hAnsi="Athelas"/>
          <w:color w:val="000000" w:themeColor="text1"/>
          <w:lang w:val="id-ID"/>
        </w:rPr>
        <w:fldChar w:fldCharType="end"/>
      </w:r>
      <w:r w:rsidRPr="00F139D9">
        <w:rPr>
          <w:rFonts w:ascii="Athelas" w:hAnsi="Athelas"/>
          <w:color w:val="000000" w:themeColor="text1"/>
        </w:rPr>
        <w:t xml:space="preserve">. Unlike the previous OACC, under this new law, corporations are included as legal entities that can be subject to bribery sanctions. Corporations are responsible if bribes are given by related people, whether employees, joint venture partners, agents, companies, or anyone on behalf of the corporation </w:t>
      </w:r>
      <w:r w:rsidRPr="00F139D9">
        <w:rPr>
          <w:rFonts w:ascii="Athelas" w:hAnsi="Athelas"/>
          <w:color w:val="000000" w:themeColor="text1"/>
        </w:rPr>
        <w:fldChar w:fldCharType="begin" w:fldLock="1"/>
      </w:r>
      <w:r w:rsidRPr="00F139D9">
        <w:rPr>
          <w:rFonts w:ascii="Athelas" w:hAnsi="Athelas"/>
          <w:color w:val="000000" w:themeColor="text1"/>
        </w:rPr>
        <w:instrText>ADDIN CSL_CITATION {"citationItems":[{"id":"ITEM-1","itemData":{"DOI":"10.15604/ejef.2018.06.01.009","abstract":"Good governance has been placed an important factor in economic development especially in developing countries. Consequently, good governance is set to be one of the development goals in the millennium of the United Nations. The paper aims at comparatively investigating level of governance of Thailand and few other Asian countries. The study examined Worldwide Governance Indicator (WGI) comparatively among selected Asian countries. High percentile ranks of the WGI were found in advanced economies. Framework of production function is used to quantitatively analyze effect of being good governance on income per head. The production function was estimated for 16 Asian countries during 1996 - 2016 using the fixed effect model indicated by the Hausman Test. The result showed that apart from capital per head and total factor productivity growth, the good governance can additionally be a significant factor that contributes to growth of income per head. A higher composite governance index by 1 percent from the past year can help raise country's income per head by US $31.34 or 0.54 percent per year. For Asian developing countries, the good governance is therefore a crucial factor that can contribute significantly to their growth.","author":[{"dropping-particle":"","family":"Kraipornsak","given":"Paitoon","non-dropping-particle":"","parse-names":false,"suffix":""}],"container-title":"Eurasian Journal of Economics and Finance","id":"ITEM-1","issue":"1","issued":{"date-parts":[["2018"]]},"page":"93-106","title":"Good Governance and Economic Growth: an Investigation of Thailand and Selected Asian Countries","type":"article-journal","volume":"6"},"uris":["http://www.mendeley.com/documents/?uuid=f30c1450-e5fd-409a-98d6-bcd43732d134"]}],"mendeley":{"formattedCitation":"(Kraipornsak, 2018)","plainTextFormattedCitation":"(Kraipornsak, 2018)","previouslyFormattedCitation":"(Kraipornsak, 2018)"},"properties":{"noteIndex":0},"schema":"https://github.com/citation-style-language/schema/raw/master/csl-citation.json"}</w:instrText>
      </w:r>
      <w:r w:rsidRPr="00F139D9">
        <w:rPr>
          <w:rFonts w:ascii="Athelas" w:hAnsi="Athelas"/>
          <w:color w:val="000000" w:themeColor="text1"/>
        </w:rPr>
        <w:fldChar w:fldCharType="separate"/>
      </w:r>
      <w:r w:rsidRPr="00F139D9">
        <w:rPr>
          <w:rFonts w:ascii="Athelas" w:hAnsi="Athelas"/>
          <w:noProof/>
          <w:color w:val="000000" w:themeColor="text1"/>
        </w:rPr>
        <w:t>(Kraipornsak, 2018)</w:t>
      </w:r>
      <w:r w:rsidRPr="00F139D9">
        <w:rPr>
          <w:rFonts w:ascii="Athelas" w:hAnsi="Athelas"/>
          <w:color w:val="000000" w:themeColor="text1"/>
        </w:rPr>
        <w:fldChar w:fldCharType="end"/>
      </w:r>
      <w:r w:rsidRPr="00F139D9">
        <w:rPr>
          <w:rFonts w:ascii="Athelas" w:hAnsi="Athelas"/>
          <w:color w:val="000000" w:themeColor="text1"/>
        </w:rPr>
        <w:t>.</w:t>
      </w:r>
    </w:p>
    <w:p w14:paraId="2FB31BD2" w14:textId="2E094FA1" w:rsidR="001612BD" w:rsidRPr="00BB0A50" w:rsidRDefault="001612BD" w:rsidP="001612BD">
      <w:pPr>
        <w:pStyle w:val="NoSpacing"/>
        <w:spacing w:line="288" w:lineRule="auto"/>
        <w:ind w:right="-1" w:firstLine="0"/>
        <w:rPr>
          <w:rFonts w:ascii="Athelas" w:hAnsi="Athelas"/>
          <w:b/>
          <w:color w:val="2F5496" w:themeColor="accent1" w:themeShade="BF"/>
          <w:sz w:val="28"/>
          <w:szCs w:val="28"/>
        </w:rPr>
      </w:pPr>
      <w:r>
        <w:rPr>
          <w:rFonts w:ascii="Athelas" w:hAnsi="Athelas"/>
          <w:b/>
          <w:color w:val="2F5496" w:themeColor="accent1" w:themeShade="BF"/>
          <w:sz w:val="28"/>
          <w:szCs w:val="28"/>
          <w:lang w:val="id-ID"/>
        </w:rPr>
        <w:t xml:space="preserve">World Governance Indicator (WGI) and E-Government Development Index (EGDI) data of 2020 from seven selected ASEAN Countries </w:t>
      </w:r>
    </w:p>
    <w:p w14:paraId="570AE102" w14:textId="216E80C3" w:rsidR="0040708F" w:rsidRDefault="001612BD" w:rsidP="0040708F">
      <w:pPr>
        <w:pStyle w:val="NormalWeb"/>
        <w:spacing w:before="240" w:after="240" w:line="276" w:lineRule="auto"/>
        <w:ind w:firstLine="720"/>
        <w:jc w:val="both"/>
        <w:rPr>
          <w:rFonts w:ascii="Athelas" w:hAnsi="Athelas"/>
          <w:color w:val="000000" w:themeColor="text1"/>
          <w:lang w:val="id-ID"/>
        </w:rPr>
      </w:pPr>
      <w:r w:rsidRPr="00F139D9">
        <w:rPr>
          <w:rFonts w:ascii="Athelas" w:hAnsi="Athelas"/>
          <w:noProof/>
          <w:color w:val="000000" w:themeColor="text1"/>
          <w:lang w:val="id-ID"/>
        </w:rPr>
        <w:t xml:space="preserve">Based on the research background and research methods above, the following are the results of the visualization between </w:t>
      </w:r>
      <w:r w:rsidRPr="00F139D9">
        <w:rPr>
          <w:rFonts w:ascii="Athelas" w:hAnsi="Athelas"/>
          <w:color w:val="000000" w:themeColor="text1"/>
        </w:rPr>
        <w:t>World Governance Indicator (WGI) and E-Government Development Index (EG</w:t>
      </w:r>
      <w:r w:rsidR="0040708F">
        <w:rPr>
          <w:rFonts w:ascii="Athelas" w:hAnsi="Athelas"/>
          <w:color w:val="000000" w:themeColor="text1"/>
          <w:lang w:val="id-ID"/>
        </w:rPr>
        <w:t>D</w:t>
      </w:r>
      <w:r w:rsidRPr="00F139D9">
        <w:rPr>
          <w:rFonts w:ascii="Athelas" w:hAnsi="Athelas"/>
          <w:color w:val="000000" w:themeColor="text1"/>
        </w:rPr>
        <w:t>I) data</w:t>
      </w:r>
      <w:r w:rsidRPr="00F139D9">
        <w:rPr>
          <w:rFonts w:ascii="Athelas" w:hAnsi="Athelas"/>
          <w:color w:val="000000" w:themeColor="text1"/>
          <w:lang w:val="id-ID"/>
        </w:rPr>
        <w:t xml:space="preserve"> of </w:t>
      </w:r>
      <w:r w:rsidRPr="00F139D9">
        <w:rPr>
          <w:rFonts w:ascii="Athelas" w:hAnsi="Athelas"/>
          <w:color w:val="000000" w:themeColor="text1"/>
        </w:rPr>
        <w:t>2020 from seven selected ASEAN countries</w:t>
      </w:r>
      <w:r w:rsidRPr="00F139D9">
        <w:rPr>
          <w:rFonts w:ascii="Athelas" w:hAnsi="Athelas"/>
          <w:noProof/>
          <w:color w:val="000000" w:themeColor="text1"/>
        </w:rPr>
        <w:t xml:space="preserve"> </w:t>
      </w:r>
      <w:r w:rsidRPr="00F139D9">
        <w:rPr>
          <w:rFonts w:ascii="Athelas" w:hAnsi="Athelas"/>
          <w:noProof/>
          <w:color w:val="000000" w:themeColor="text1"/>
          <w:lang w:val="id-ID"/>
        </w:rPr>
        <w:t>:</w:t>
      </w:r>
      <w:r w:rsidR="0040708F" w:rsidRPr="0040708F">
        <w:rPr>
          <w:rFonts w:ascii="Athelas" w:hAnsi="Athelas"/>
          <w:color w:val="000000" w:themeColor="text1"/>
          <w:lang w:val="id-ID"/>
        </w:rPr>
        <w:t xml:space="preserve"> </w:t>
      </w:r>
    </w:p>
    <w:p w14:paraId="2611D421" w14:textId="0B72397E" w:rsidR="0040708F" w:rsidRPr="00F139D9" w:rsidRDefault="0040708F" w:rsidP="0040708F">
      <w:pPr>
        <w:pStyle w:val="NormalWeb"/>
        <w:spacing w:before="240" w:after="240" w:line="276" w:lineRule="auto"/>
        <w:ind w:left="720"/>
        <w:jc w:val="both"/>
        <w:rPr>
          <w:rFonts w:ascii="Athelas" w:hAnsi="Athelas"/>
          <w:b/>
          <w:bCs/>
          <w:color w:val="000000" w:themeColor="text1"/>
          <w:lang w:val="id-ID"/>
        </w:rPr>
      </w:pPr>
      <w:r w:rsidRPr="00F139D9">
        <w:rPr>
          <w:rFonts w:ascii="Athelas" w:hAnsi="Athelas"/>
          <w:color w:val="000000" w:themeColor="text1"/>
          <w:lang w:val="id-ID"/>
        </w:rPr>
        <w:lastRenderedPageBreak/>
        <w:t xml:space="preserve">Figur 3. </w:t>
      </w:r>
      <w:r w:rsidRPr="00F139D9">
        <w:rPr>
          <w:rFonts w:ascii="Athelas" w:hAnsi="Athelas"/>
          <w:noProof/>
          <w:color w:val="000000" w:themeColor="text1"/>
          <w:lang w:val="id-ID"/>
        </w:rPr>
        <w:t xml:space="preserve">The visualization between </w:t>
      </w:r>
      <w:r w:rsidRPr="00F139D9">
        <w:rPr>
          <w:rFonts w:ascii="Athelas" w:hAnsi="Athelas"/>
          <w:color w:val="000000" w:themeColor="text1"/>
        </w:rPr>
        <w:t>World Governance Indicator (WGI) and E-Government Development Index (EG</w:t>
      </w:r>
      <w:r>
        <w:rPr>
          <w:rFonts w:ascii="Athelas" w:hAnsi="Athelas"/>
          <w:color w:val="000000" w:themeColor="text1"/>
          <w:lang w:val="id-ID"/>
        </w:rPr>
        <w:t>D</w:t>
      </w:r>
      <w:r w:rsidRPr="00F139D9">
        <w:rPr>
          <w:rFonts w:ascii="Athelas" w:hAnsi="Athelas"/>
          <w:color w:val="000000" w:themeColor="text1"/>
        </w:rPr>
        <w:t>I) data</w:t>
      </w:r>
      <w:r w:rsidRPr="00F139D9">
        <w:rPr>
          <w:rFonts w:ascii="Athelas" w:hAnsi="Athelas"/>
          <w:color w:val="000000" w:themeColor="text1"/>
          <w:lang w:val="id-ID"/>
        </w:rPr>
        <w:t xml:space="preserve"> of </w:t>
      </w:r>
      <w:r w:rsidRPr="00F139D9">
        <w:rPr>
          <w:rFonts w:ascii="Athelas" w:hAnsi="Athelas"/>
          <w:color w:val="000000" w:themeColor="text1"/>
        </w:rPr>
        <w:t>2020 from seven selected ASEAN countries</w:t>
      </w:r>
      <w:r w:rsidRPr="00F139D9">
        <w:rPr>
          <w:rFonts w:ascii="Athelas" w:hAnsi="Athelas"/>
          <w:b/>
          <w:bCs/>
          <w:color w:val="000000" w:themeColor="text1"/>
          <w:lang w:val="id-ID"/>
        </w:rPr>
        <w:t>.</w:t>
      </w:r>
    </w:p>
    <w:p w14:paraId="2CC9E67C" w14:textId="1503CC3C" w:rsidR="001612BD" w:rsidRPr="00F139D9" w:rsidRDefault="001612BD" w:rsidP="001612BD">
      <w:pPr>
        <w:spacing w:before="240" w:line="276" w:lineRule="auto"/>
        <w:ind w:firstLine="720"/>
        <w:jc w:val="both"/>
        <w:rPr>
          <w:rFonts w:ascii="Athelas" w:hAnsi="Athelas"/>
          <w:noProof/>
          <w:color w:val="000000" w:themeColor="text1"/>
          <w:lang w:val="id-ID"/>
        </w:rPr>
      </w:pPr>
    </w:p>
    <w:p w14:paraId="589BFA69" w14:textId="77777777" w:rsidR="001612BD" w:rsidRPr="00F139D9" w:rsidRDefault="001612BD" w:rsidP="001612BD">
      <w:pPr>
        <w:spacing w:before="240" w:line="276" w:lineRule="auto"/>
        <w:ind w:firstLine="720"/>
        <w:jc w:val="both"/>
        <w:rPr>
          <w:rFonts w:ascii="Athelas" w:hAnsi="Athelas"/>
          <w:color w:val="000000" w:themeColor="text1"/>
        </w:rPr>
      </w:pPr>
      <w:r w:rsidRPr="00F139D9">
        <w:rPr>
          <w:rFonts w:ascii="Athelas" w:hAnsi="Athelas"/>
          <w:noProof/>
          <w:color w:val="000000" w:themeColor="text1"/>
        </w:rPr>
        <w:drawing>
          <wp:inline distT="0" distB="0" distL="0" distR="0" wp14:anchorId="670FCF34" wp14:editId="648CFEC4">
            <wp:extent cx="5137414" cy="2698889"/>
            <wp:effectExtent l="0" t="0" r="6350" b="635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12"/>
                    <a:stretch>
                      <a:fillRect/>
                    </a:stretch>
                  </pic:blipFill>
                  <pic:spPr>
                    <a:xfrm>
                      <a:off x="0" y="0"/>
                      <a:ext cx="5137414" cy="2698889"/>
                    </a:xfrm>
                    <a:prstGeom prst="rect">
                      <a:avLst/>
                    </a:prstGeom>
                  </pic:spPr>
                </pic:pic>
              </a:graphicData>
            </a:graphic>
          </wp:inline>
        </w:drawing>
      </w:r>
    </w:p>
    <w:p w14:paraId="774B0BB6" w14:textId="77777777" w:rsidR="001612BD" w:rsidRPr="00F139D9" w:rsidRDefault="001612BD" w:rsidP="001612BD">
      <w:pPr>
        <w:pStyle w:val="NormalWeb"/>
        <w:spacing w:before="240" w:after="240" w:line="276" w:lineRule="auto"/>
        <w:ind w:left="720"/>
        <w:jc w:val="center"/>
        <w:rPr>
          <w:rFonts w:ascii="Athelas" w:hAnsi="Athelas"/>
          <w:b/>
          <w:bCs/>
          <w:color w:val="000000" w:themeColor="text1"/>
          <w:lang w:val="id-ID"/>
        </w:rPr>
      </w:pPr>
      <w:r w:rsidRPr="00F139D9">
        <w:rPr>
          <w:rFonts w:ascii="Athelas" w:hAnsi="Athelas"/>
          <w:color w:val="000000" w:themeColor="text1"/>
          <w:lang w:val="id-ID"/>
        </w:rPr>
        <w:t>Source:</w:t>
      </w:r>
      <w:r w:rsidRPr="00F139D9">
        <w:rPr>
          <w:rFonts w:ascii="Athelas" w:hAnsi="Athelas"/>
          <w:color w:val="000000" w:themeColor="text1"/>
        </w:rPr>
        <w:t xml:space="preserve"> </w:t>
      </w:r>
      <w:hyperlink r:id="rId13" w:history="1">
        <w:r w:rsidRPr="00F139D9">
          <w:rPr>
            <w:rStyle w:val="Hyperlink"/>
            <w:rFonts w:ascii="Athelas" w:hAnsi="Athelas"/>
            <w:color w:val="000000" w:themeColor="text1"/>
            <w:lang w:val="id-ID"/>
          </w:rPr>
          <w:t>https://datastudio.google.com/reporting/f4e74364-ded6-4fff-81a1-92bfed3a8552/page/p_t9xuzgbkzc</w:t>
        </w:r>
      </w:hyperlink>
      <w:r w:rsidRPr="00F139D9">
        <w:rPr>
          <w:rFonts w:ascii="Athelas" w:hAnsi="Athelas"/>
          <w:color w:val="000000" w:themeColor="text1"/>
          <w:lang w:val="id-ID"/>
        </w:rPr>
        <w:t xml:space="preserve"> (2022)</w:t>
      </w:r>
    </w:p>
    <w:p w14:paraId="150D2D58" w14:textId="67EDCBD1" w:rsidR="001612BD" w:rsidRPr="00F139D9" w:rsidRDefault="001612BD" w:rsidP="001612BD">
      <w:pPr>
        <w:pStyle w:val="NormalWeb"/>
        <w:spacing w:line="276" w:lineRule="auto"/>
        <w:ind w:firstLine="720"/>
        <w:jc w:val="both"/>
        <w:rPr>
          <w:rFonts w:ascii="Athelas" w:hAnsi="Athelas"/>
          <w:color w:val="000000" w:themeColor="text1"/>
          <w:lang w:val="id-ID"/>
        </w:rPr>
      </w:pPr>
      <w:r w:rsidRPr="00F139D9">
        <w:rPr>
          <w:rFonts w:ascii="Athelas" w:hAnsi="Athelas"/>
          <w:color w:val="000000" w:themeColor="text1"/>
        </w:rPr>
        <w:t>Based on the visualization results between the World Governance Indicator (WGI) data of the seven selected ASEAN countries and the E-Government Development Index (EG</w:t>
      </w:r>
      <w:r w:rsidR="0040708F">
        <w:rPr>
          <w:rFonts w:ascii="Athelas" w:hAnsi="Athelas"/>
          <w:color w:val="000000" w:themeColor="text1"/>
          <w:lang w:val="id-ID"/>
        </w:rPr>
        <w:t>D</w:t>
      </w:r>
      <w:r w:rsidRPr="00F139D9">
        <w:rPr>
          <w:rFonts w:ascii="Athelas" w:hAnsi="Athelas"/>
          <w:color w:val="000000" w:themeColor="text1"/>
        </w:rPr>
        <w:t>I) of 2020 above, it can be concluded that Singapore has the highest total score compared to Thailand and five other countries with a score of 1,590.93, while Myanmar has a World Governance Indicator</w:t>
      </w:r>
      <w:r w:rsidRPr="00F139D9">
        <w:rPr>
          <w:rFonts w:ascii="Athelas" w:hAnsi="Athelas"/>
          <w:color w:val="000000" w:themeColor="text1"/>
          <w:lang w:val="id-ID"/>
        </w:rPr>
        <w:t xml:space="preserve"> (WGI)</w:t>
      </w:r>
      <w:r w:rsidRPr="00F139D9">
        <w:rPr>
          <w:rFonts w:ascii="Athelas" w:hAnsi="Athelas"/>
          <w:color w:val="000000" w:themeColor="text1"/>
        </w:rPr>
        <w:t xml:space="preserve"> score is the lowest, with a score of 206.61. The higher the World Governance Indicator (WGI) score of a country, the higher the quality of that country. Singapore is a country with the best implementation of E-Government compared to Thailand and five other countries. Based on the E-Government Development Index (EG</w:t>
      </w:r>
      <w:r w:rsidR="0040708F">
        <w:rPr>
          <w:rFonts w:ascii="Athelas" w:hAnsi="Athelas"/>
          <w:color w:val="000000" w:themeColor="text1"/>
          <w:lang w:val="id-ID"/>
        </w:rPr>
        <w:t>D</w:t>
      </w:r>
      <w:r w:rsidRPr="00F139D9">
        <w:rPr>
          <w:rFonts w:ascii="Athelas" w:hAnsi="Athelas"/>
          <w:color w:val="000000" w:themeColor="text1"/>
        </w:rPr>
        <w:t>I) 2020 score, Singapore has the highest score compared to Thailand and five other countries with a score of 6.35417, and Myanmar has the lowest score with a score of 2.997222. When compared between Thailand and Indonesia's E-Government Development Index (EG</w:t>
      </w:r>
      <w:r w:rsidR="009B7ECF">
        <w:rPr>
          <w:rFonts w:ascii="Athelas" w:hAnsi="Athelas"/>
          <w:color w:val="000000" w:themeColor="text1"/>
          <w:lang w:val="id-ID"/>
        </w:rPr>
        <w:t>D</w:t>
      </w:r>
      <w:r w:rsidRPr="00F139D9">
        <w:rPr>
          <w:rFonts w:ascii="Athelas" w:hAnsi="Athelas"/>
          <w:color w:val="000000" w:themeColor="text1"/>
        </w:rPr>
        <w:t>I), Indonesia is still relatively low, so the Indonesian government accelerates the digital transformation process to catch up with other ASEAN countries</w:t>
      </w:r>
      <w:r w:rsidRPr="00F139D9">
        <w:rPr>
          <w:rFonts w:ascii="Athelas" w:hAnsi="Athelas"/>
          <w:color w:val="000000" w:themeColor="text1"/>
          <w:lang w:val="id-ID"/>
        </w:rPr>
        <w:t xml:space="preserve"> </w:t>
      </w:r>
      <w:r w:rsidRPr="00F139D9">
        <w:rPr>
          <w:rFonts w:ascii="Athelas" w:hAnsi="Athelas"/>
          <w:color w:val="000000" w:themeColor="text1"/>
          <w:lang w:val="id-ID"/>
        </w:rPr>
        <w:fldChar w:fldCharType="begin" w:fldLock="1"/>
      </w:r>
      <w:r w:rsidRPr="00F139D9">
        <w:rPr>
          <w:rFonts w:ascii="Athelas" w:hAnsi="Athelas"/>
          <w:color w:val="000000" w:themeColor="text1"/>
          <w:lang w:val="id-ID"/>
        </w:rPr>
        <w:instrText>ADDIN CSL_CITATION {"citationItems":[{"id":"ITEM-1","itemData":{"author":[{"dropping-particle":"","family":"Rizkinaswara","given":"Leski","non-dropping-particle":"","parse-names":false,"suffix":""}],"id":"ITEM-1","issued":{"date-parts":[["2020"]]},"title":"Tingkatkan EGDI, Pemerintah Fokus Percepat Transformasi Digital","type":"report"},"uris":["http://www.mendeley.com/documents/?uuid=4d8e64b4-c14c-4972-b02e-4c16ae0e1b23"]}],"mendeley":{"formattedCitation":"(Rizkinaswara, 2020)","plainTextFormattedCitation":"(Rizkinaswara, 2020)","previouslyFormattedCitation":"(Rizkinaswara, 2020)"},"properties":{"noteIndex":0},"schema":"https://github.com/citation-style-language/schema/raw/master/csl-citation.json"}</w:instrText>
      </w:r>
      <w:r w:rsidRPr="00F139D9">
        <w:rPr>
          <w:rFonts w:ascii="Athelas" w:hAnsi="Athelas"/>
          <w:color w:val="000000" w:themeColor="text1"/>
          <w:lang w:val="id-ID"/>
        </w:rPr>
        <w:fldChar w:fldCharType="separate"/>
      </w:r>
      <w:r w:rsidRPr="00F139D9">
        <w:rPr>
          <w:rFonts w:ascii="Athelas" w:hAnsi="Athelas"/>
          <w:noProof/>
          <w:color w:val="000000" w:themeColor="text1"/>
          <w:lang w:val="id-ID"/>
        </w:rPr>
        <w:t>(Rizkinaswara, 2020)</w:t>
      </w:r>
      <w:r w:rsidRPr="00F139D9">
        <w:rPr>
          <w:rFonts w:ascii="Athelas" w:hAnsi="Athelas"/>
          <w:color w:val="000000" w:themeColor="text1"/>
          <w:lang w:val="id-ID"/>
        </w:rPr>
        <w:fldChar w:fldCharType="end"/>
      </w:r>
      <w:r w:rsidRPr="00F139D9">
        <w:rPr>
          <w:rFonts w:ascii="Athelas" w:hAnsi="Athelas"/>
          <w:color w:val="000000" w:themeColor="text1"/>
          <w:lang w:val="id-ID"/>
        </w:rPr>
        <w:t>.</w:t>
      </w:r>
    </w:p>
    <w:p w14:paraId="245E6108" w14:textId="4C7D2064" w:rsidR="004344B4" w:rsidRPr="0040708F" w:rsidRDefault="00957D98" w:rsidP="0040708F">
      <w:pPr>
        <w:pStyle w:val="NormalWeb"/>
        <w:spacing w:line="276" w:lineRule="auto"/>
        <w:ind w:firstLine="720"/>
        <w:jc w:val="both"/>
        <w:rPr>
          <w:rFonts w:ascii="Athelas" w:hAnsi="Athelas"/>
          <w:color w:val="000000" w:themeColor="text1"/>
        </w:rPr>
      </w:pPr>
      <w:r w:rsidRPr="00957D98">
        <w:rPr>
          <w:rFonts w:ascii="Athelas" w:hAnsi="Athelas"/>
          <w:color w:val="000000" w:themeColor="text1"/>
        </w:rPr>
        <w:t xml:space="preserve">Thailand comes in third place behind Singapore and Malaysia in the E-Government Development Index (EGDI) rankings. Thailand has improved on the United Nations' (UN) E-Government Development Index due to the growth of digital </w:t>
      </w:r>
      <w:r w:rsidRPr="00957D98">
        <w:rPr>
          <w:rFonts w:ascii="Athelas" w:hAnsi="Athelas"/>
          <w:color w:val="000000" w:themeColor="text1"/>
        </w:rPr>
        <w:lastRenderedPageBreak/>
        <w:t>government</w:t>
      </w:r>
      <w:r w:rsidR="001612BD" w:rsidRPr="00F139D9">
        <w:rPr>
          <w:rFonts w:ascii="Athelas" w:hAnsi="Athelas"/>
          <w:color w:val="000000" w:themeColor="text1"/>
          <w:lang w:val="id-ID"/>
        </w:rPr>
        <w:t xml:space="preserve"> </w:t>
      </w:r>
      <w:r w:rsidR="001612BD" w:rsidRPr="00F139D9">
        <w:rPr>
          <w:rFonts w:ascii="Athelas" w:hAnsi="Athelas"/>
          <w:color w:val="000000" w:themeColor="text1"/>
          <w:lang w:val="id-ID"/>
        </w:rPr>
        <w:fldChar w:fldCharType="begin" w:fldLock="1"/>
      </w:r>
      <w:r w:rsidR="001612BD" w:rsidRPr="00F139D9">
        <w:rPr>
          <w:rFonts w:ascii="Athelas" w:hAnsi="Athelas"/>
          <w:color w:val="000000" w:themeColor="text1"/>
          <w:lang w:val="id-ID"/>
        </w:rPr>
        <w:instrText>ADDIN CSL_CITATION {"citationItems":[{"id":"ITEM-1","itemData":{"author":[{"dropping-particle":"","family":"Annur","given":"Cindy Mutia","non-dropping-particle":"","parse-names":false,"suffix":""}],"id":"ITEM-1","issued":{"date-parts":[["2022"]]},"title":"Sistem E-Government Indonesia Peringkat ke-5 di Asia Tenggara","type":"report"},"uris":["http://www.mendeley.com/documents/?uuid=6a7ebba9-e62a-49f6-a760-c15c2b6ab1d1"]}],"mendeley":{"formattedCitation":"(Annur, 2022)","plainTextFormattedCitation":"(Annur, 2022)","previouslyFormattedCitation":"(Annur, 2022)"},"properties":{"noteIndex":0},"schema":"https://github.com/citation-style-language/schema/raw/master/csl-citation.json"}</w:instrText>
      </w:r>
      <w:r w:rsidR="001612BD" w:rsidRPr="00F139D9">
        <w:rPr>
          <w:rFonts w:ascii="Athelas" w:hAnsi="Athelas"/>
          <w:color w:val="000000" w:themeColor="text1"/>
          <w:lang w:val="id-ID"/>
        </w:rPr>
        <w:fldChar w:fldCharType="separate"/>
      </w:r>
      <w:r w:rsidR="001612BD" w:rsidRPr="00F139D9">
        <w:rPr>
          <w:rFonts w:ascii="Athelas" w:hAnsi="Athelas"/>
          <w:noProof/>
          <w:color w:val="000000" w:themeColor="text1"/>
          <w:lang w:val="id-ID"/>
        </w:rPr>
        <w:t>(Annur, 2022)</w:t>
      </w:r>
      <w:r w:rsidR="001612BD" w:rsidRPr="00F139D9">
        <w:rPr>
          <w:rFonts w:ascii="Athelas" w:hAnsi="Athelas"/>
          <w:color w:val="000000" w:themeColor="text1"/>
          <w:lang w:val="id-ID"/>
        </w:rPr>
        <w:fldChar w:fldCharType="end"/>
      </w:r>
      <w:r w:rsidR="001612BD" w:rsidRPr="00F139D9">
        <w:rPr>
          <w:rFonts w:ascii="Athelas" w:hAnsi="Athelas"/>
          <w:color w:val="000000" w:themeColor="text1"/>
        </w:rPr>
        <w:t xml:space="preserve">. </w:t>
      </w:r>
      <w:r w:rsidRPr="00957D98">
        <w:rPr>
          <w:rFonts w:ascii="Athelas" w:hAnsi="Athelas"/>
          <w:color w:val="000000" w:themeColor="text1"/>
        </w:rPr>
        <w:t>In the E-Government Development Index, Thailand is placed 57th out of 193 nations. It received a high score due to advancements in online services and telecommunications infrastructure. The execution of a digital government development plan for 2020–2022 has helped the Thai government actively shift into a digital government. Thailand has consequently gained respect on a global scale</w:t>
      </w:r>
      <w:r>
        <w:rPr>
          <w:rFonts w:ascii="Athelas" w:hAnsi="Athelas"/>
          <w:color w:val="000000" w:themeColor="text1"/>
          <w:lang w:val="id-ID"/>
        </w:rPr>
        <w:t>, a</w:t>
      </w:r>
      <w:proofErr w:type="spellStart"/>
      <w:r w:rsidR="001612BD" w:rsidRPr="00F139D9">
        <w:rPr>
          <w:rFonts w:ascii="Athelas" w:hAnsi="Athelas"/>
          <w:color w:val="000000" w:themeColor="text1"/>
        </w:rPr>
        <w:t>s</w:t>
      </w:r>
      <w:proofErr w:type="spellEnd"/>
      <w:r w:rsidR="001612BD" w:rsidRPr="00F139D9">
        <w:rPr>
          <w:rFonts w:ascii="Athelas" w:hAnsi="Athelas"/>
          <w:color w:val="000000" w:themeColor="text1"/>
        </w:rPr>
        <w:t xml:space="preserve"> a result, Thailand has received recognition on the global stage</w:t>
      </w:r>
      <w:r w:rsidR="001612BD" w:rsidRPr="00F139D9">
        <w:rPr>
          <w:rFonts w:ascii="Athelas" w:hAnsi="Athelas"/>
          <w:color w:val="000000" w:themeColor="text1"/>
          <w:lang w:val="id-ID"/>
        </w:rPr>
        <w:t xml:space="preserve"> </w:t>
      </w:r>
      <w:r w:rsidR="001612BD" w:rsidRPr="00F139D9">
        <w:rPr>
          <w:rFonts w:ascii="Athelas" w:hAnsi="Athelas"/>
          <w:color w:val="000000" w:themeColor="text1"/>
          <w:lang w:val="id-ID"/>
        </w:rPr>
        <w:fldChar w:fldCharType="begin" w:fldLock="1"/>
      </w:r>
      <w:r w:rsidR="001612BD" w:rsidRPr="00F139D9">
        <w:rPr>
          <w:rFonts w:ascii="Athelas" w:hAnsi="Athelas"/>
          <w:color w:val="000000" w:themeColor="text1"/>
          <w:lang w:val="id-ID"/>
        </w:rPr>
        <w:instrText>ADDIN CSL_CITATION {"citationItems":[{"id":"ITEM-1","itemData":{"author":[{"dropping-particle":"","family":"Praphornkul","given":"Praphorn","non-dropping-particle":"","parse-names":false,"suffix":""}],"id":"ITEM-1","issued":{"date-parts":[["2021"]]},"title":"Thailand ranks higher on UN E-Government Development Index","type":"report"},"uris":["http://www.mendeley.com/documents/?uuid=dd8c336c-0c3d-4f47-af2f-844382a76b62"]}],"mendeley":{"formattedCitation":"(Praphornkul, 2021)","plainTextFormattedCitation":"(Praphornkul, 2021)","previouslyFormattedCitation":"(Praphornkul, 2021)"},"properties":{"noteIndex":0},"schema":"https://github.com/citation-style-language/schema/raw/master/csl-citation.json"}</w:instrText>
      </w:r>
      <w:r w:rsidR="001612BD" w:rsidRPr="00F139D9">
        <w:rPr>
          <w:rFonts w:ascii="Athelas" w:hAnsi="Athelas"/>
          <w:color w:val="000000" w:themeColor="text1"/>
          <w:lang w:val="id-ID"/>
        </w:rPr>
        <w:fldChar w:fldCharType="separate"/>
      </w:r>
      <w:r w:rsidR="001612BD" w:rsidRPr="00F139D9">
        <w:rPr>
          <w:rFonts w:ascii="Athelas" w:hAnsi="Athelas"/>
          <w:noProof/>
          <w:color w:val="000000" w:themeColor="text1"/>
          <w:lang w:val="id-ID"/>
        </w:rPr>
        <w:t>(Praphornkul, 2021)</w:t>
      </w:r>
      <w:r w:rsidR="001612BD" w:rsidRPr="00F139D9">
        <w:rPr>
          <w:rFonts w:ascii="Athelas" w:hAnsi="Athelas"/>
          <w:color w:val="000000" w:themeColor="text1"/>
          <w:lang w:val="id-ID"/>
        </w:rPr>
        <w:fldChar w:fldCharType="end"/>
      </w:r>
      <w:r w:rsidR="001612BD" w:rsidRPr="00F139D9">
        <w:rPr>
          <w:rFonts w:ascii="Athelas" w:hAnsi="Athelas"/>
          <w:color w:val="000000" w:themeColor="text1"/>
        </w:rPr>
        <w:t>.</w:t>
      </w:r>
    </w:p>
    <w:p w14:paraId="1B07EFAC" w14:textId="755E4A98" w:rsidR="004344B4" w:rsidRPr="00BB0A50" w:rsidRDefault="001612BD" w:rsidP="00620D85">
      <w:pPr>
        <w:pStyle w:val="NoSpacing"/>
        <w:spacing w:line="288" w:lineRule="auto"/>
        <w:ind w:right="-1" w:firstLine="0"/>
        <w:rPr>
          <w:rFonts w:ascii="Athelas" w:hAnsi="Athelas"/>
          <w:b/>
          <w:color w:val="2F5496" w:themeColor="accent1" w:themeShade="BF"/>
          <w:sz w:val="28"/>
          <w:szCs w:val="28"/>
        </w:rPr>
      </w:pPr>
      <w:r>
        <w:rPr>
          <w:rFonts w:ascii="Athelas" w:hAnsi="Athelas"/>
          <w:b/>
          <w:color w:val="2F5496" w:themeColor="accent1" w:themeShade="BF"/>
          <w:sz w:val="28"/>
          <w:szCs w:val="28"/>
          <w:lang w:val="id-ID"/>
        </w:rPr>
        <w:t>Conclusion</w:t>
      </w:r>
      <w:r w:rsidR="00BB0A50">
        <w:rPr>
          <w:rFonts w:ascii="Athelas" w:hAnsi="Athelas"/>
          <w:b/>
          <w:color w:val="2F5496" w:themeColor="accent1" w:themeShade="BF"/>
          <w:sz w:val="28"/>
          <w:szCs w:val="28"/>
        </w:rPr>
        <w:t xml:space="preserve"> </w:t>
      </w:r>
    </w:p>
    <w:p w14:paraId="3D60A779" w14:textId="41B11CFD" w:rsidR="00F42563" w:rsidRPr="00F139D9" w:rsidRDefault="00F42563" w:rsidP="00F42563">
      <w:pPr>
        <w:pStyle w:val="NormalWeb"/>
        <w:spacing w:line="276" w:lineRule="auto"/>
        <w:ind w:firstLine="720"/>
        <w:jc w:val="both"/>
        <w:rPr>
          <w:rFonts w:ascii="Athelas" w:hAnsi="Athelas"/>
          <w:color w:val="000000" w:themeColor="text1"/>
        </w:rPr>
      </w:pPr>
      <w:r w:rsidRPr="00F139D9">
        <w:rPr>
          <w:rFonts w:ascii="Athelas" w:hAnsi="Athelas"/>
          <w:color w:val="000000" w:themeColor="text1"/>
        </w:rPr>
        <w:t>Based on the explanation of the three indicators of the E-Government Development Index (EG</w:t>
      </w:r>
      <w:r w:rsidR="0040708F">
        <w:rPr>
          <w:rFonts w:ascii="Athelas" w:hAnsi="Athelas"/>
          <w:color w:val="000000" w:themeColor="text1"/>
          <w:lang w:val="id-ID"/>
        </w:rPr>
        <w:t>D</w:t>
      </w:r>
      <w:r w:rsidRPr="00F139D9">
        <w:rPr>
          <w:rFonts w:ascii="Athelas" w:hAnsi="Athelas"/>
          <w:color w:val="000000" w:themeColor="text1"/>
        </w:rPr>
        <w:t>I) from Singapore, Brunei Darussalam, Malaysia, Thailand, Indonesia, the Philippines, and Myanmar, it is explained that the development of e-government in each country is different. This situation is due to several influencing factors, such as environmental factors, cultural factors, and social factors. The achievement of economic growth below 5% was obtained by Thailand, which is also a country with an autocratic political system and has lower indicators of good governance. Vietnam has an autocratic political system and an indicator value that is approximately the same as Thailand. Indonesia and Malaysia, with democratic political systems, achieve good governance indicators that are not as high as Singapore's. However, Indonesia and Malaysia achieved average economic growth of 5%. Based on the six indicators from the World Governance Indicator (WGI), Thailand has always been superior to Myanmar. Based on the indicators of the E-Government Development Index (EDGI), Thailand is ranked third behind Singapore and Malaysia. Thailand ranks 57th out of 193 countries in the E-Government Development Index</w:t>
      </w:r>
      <w:r w:rsidR="0040708F">
        <w:rPr>
          <w:rFonts w:ascii="Athelas" w:hAnsi="Athelas"/>
          <w:color w:val="000000" w:themeColor="text1"/>
          <w:lang w:val="id-ID"/>
        </w:rPr>
        <w:t xml:space="preserve"> </w:t>
      </w:r>
      <w:r w:rsidR="0040708F" w:rsidRPr="00F139D9">
        <w:rPr>
          <w:rFonts w:ascii="Athelas" w:hAnsi="Athelas"/>
          <w:color w:val="000000" w:themeColor="text1"/>
        </w:rPr>
        <w:t>(EG</w:t>
      </w:r>
      <w:r w:rsidR="0040708F">
        <w:rPr>
          <w:rFonts w:ascii="Athelas" w:hAnsi="Athelas"/>
          <w:color w:val="000000" w:themeColor="text1"/>
          <w:lang w:val="id-ID"/>
        </w:rPr>
        <w:t>D</w:t>
      </w:r>
      <w:r w:rsidR="0040708F" w:rsidRPr="00F139D9">
        <w:rPr>
          <w:rFonts w:ascii="Athelas" w:hAnsi="Athelas"/>
          <w:color w:val="000000" w:themeColor="text1"/>
        </w:rPr>
        <w:t>I)</w:t>
      </w:r>
      <w:r w:rsidRPr="00F139D9">
        <w:rPr>
          <w:rFonts w:ascii="Athelas" w:hAnsi="Athelas"/>
          <w:color w:val="000000" w:themeColor="text1"/>
        </w:rPr>
        <w:t>. Thailand scores high because of improvements in online services and telecommunications infrastructure.</w:t>
      </w:r>
    </w:p>
    <w:p w14:paraId="4005A958" w14:textId="77777777" w:rsidR="00F42563" w:rsidRPr="00F139D9" w:rsidRDefault="00F42563" w:rsidP="00F42563">
      <w:pPr>
        <w:pStyle w:val="NormalWeb"/>
        <w:spacing w:line="276" w:lineRule="auto"/>
        <w:ind w:firstLine="720"/>
        <w:jc w:val="both"/>
        <w:rPr>
          <w:rFonts w:ascii="Athelas" w:hAnsi="Athelas"/>
          <w:color w:val="000000" w:themeColor="text1"/>
        </w:rPr>
      </w:pPr>
      <w:r w:rsidRPr="00F139D9">
        <w:rPr>
          <w:rFonts w:ascii="Athelas" w:hAnsi="Athelas"/>
          <w:color w:val="000000" w:themeColor="text1"/>
        </w:rPr>
        <w:t xml:space="preserve">It can be concluded that on the Voice and Accountability indicator, Thailand scored 82.53 because the freedom of expression in Thailand is still not fully free. On the indicator of Political Stability and Absence of violence or terrorism, it was found that Thailand's score was 55.86, and Thailand itself experienced several acts of terror in its country. In the Government Effectiveness indicator, Thailand scored 185.2. In this case, the Thai Government has implemented good regulatory practices and is committed to improving the quality of regulations. On the Regulatory Quality indicator, Thailand got a score of 168.42. Thailand has been working to accelerate reforms for three years to set a solid foundation for sustainable regulatory policy intervention. On the Rule of Law indicator, Thailand scored 158.44. The rule of law, which is never too strong in Thailand, is routinely violated. On the Control of Corruption indicator, Thailand scored 119.55 for its efforts to control corruption in its country through several anti-corruption regulations. </w:t>
      </w:r>
    </w:p>
    <w:p w14:paraId="6CE8C70C" w14:textId="52DA5E5A" w:rsidR="00BB0A50" w:rsidRPr="0040708F" w:rsidRDefault="00F42563" w:rsidP="0040708F">
      <w:pPr>
        <w:pStyle w:val="NormalWeb"/>
        <w:spacing w:line="276" w:lineRule="auto"/>
        <w:ind w:firstLine="720"/>
        <w:jc w:val="both"/>
        <w:rPr>
          <w:rFonts w:ascii="Athelas" w:hAnsi="Athelas"/>
          <w:color w:val="000000" w:themeColor="text1"/>
        </w:rPr>
      </w:pPr>
      <w:r w:rsidRPr="00F139D9">
        <w:rPr>
          <w:rFonts w:ascii="Athelas" w:hAnsi="Athelas"/>
          <w:color w:val="000000" w:themeColor="text1"/>
        </w:rPr>
        <w:lastRenderedPageBreak/>
        <w:t xml:space="preserve">The efforts made by the Thai government to accelerate good governance in their country are considered good because there have been several efforts from the Thai government, such as making sustainable regulations, preventing terrorism, and several other efforts. Although there are still some shortcomings compared to other ASEAN countries such as Singapore, Thailand is still in the middle position in the order of measurement based on the World Governance Indicator (WGI) and E-Government Development Index </w:t>
      </w:r>
      <w:r w:rsidR="0040708F" w:rsidRPr="00F139D9">
        <w:rPr>
          <w:rFonts w:ascii="Athelas" w:hAnsi="Athelas"/>
          <w:color w:val="000000" w:themeColor="text1"/>
        </w:rPr>
        <w:t>(EG</w:t>
      </w:r>
      <w:r w:rsidR="0040708F">
        <w:rPr>
          <w:rFonts w:ascii="Athelas" w:hAnsi="Athelas"/>
          <w:color w:val="000000" w:themeColor="text1"/>
          <w:lang w:val="id-ID"/>
        </w:rPr>
        <w:t>D</w:t>
      </w:r>
      <w:r w:rsidR="0040708F" w:rsidRPr="00F139D9">
        <w:rPr>
          <w:rFonts w:ascii="Athelas" w:hAnsi="Athelas"/>
          <w:color w:val="000000" w:themeColor="text1"/>
        </w:rPr>
        <w:t>I)</w:t>
      </w:r>
      <w:r w:rsidRPr="00F139D9">
        <w:rPr>
          <w:rFonts w:ascii="Athelas" w:hAnsi="Athelas"/>
          <w:color w:val="000000" w:themeColor="text1"/>
        </w:rPr>
        <w:t xml:space="preserve"> indicators. For further research, it should focus on all countries in ASEAN and compare all countries in ASEAN.</w:t>
      </w:r>
    </w:p>
    <w:p w14:paraId="2A0CEBDE" w14:textId="203E6685" w:rsidR="000E6CFB" w:rsidRPr="007F51BE" w:rsidRDefault="00F42563" w:rsidP="000E6CFB">
      <w:pPr>
        <w:pStyle w:val="NoSpacing"/>
        <w:spacing w:line="298" w:lineRule="auto"/>
        <w:ind w:right="-1" w:firstLine="0"/>
        <w:rPr>
          <w:rFonts w:ascii="Athelas" w:hAnsi="Athelas"/>
          <w:b/>
          <w:color w:val="2F5496" w:themeColor="accent1" w:themeShade="BF"/>
          <w:sz w:val="28"/>
          <w:szCs w:val="28"/>
          <w:lang w:val="id-ID"/>
        </w:rPr>
      </w:pPr>
      <w:r>
        <w:rPr>
          <w:rFonts w:ascii="Athelas" w:hAnsi="Athelas"/>
          <w:b/>
          <w:color w:val="2F5496" w:themeColor="accent1" w:themeShade="BF"/>
          <w:sz w:val="28"/>
          <w:szCs w:val="28"/>
          <w:lang w:val="id-ID"/>
        </w:rPr>
        <w:t>Acknowledgement</w:t>
      </w:r>
      <w:r w:rsidR="000E6CFB" w:rsidRPr="007F51BE">
        <w:rPr>
          <w:rFonts w:ascii="Athelas" w:hAnsi="Athelas"/>
          <w:b/>
          <w:color w:val="2F5496" w:themeColor="accent1" w:themeShade="BF"/>
          <w:sz w:val="28"/>
          <w:szCs w:val="28"/>
          <w:lang w:val="id-ID"/>
        </w:rPr>
        <w:t xml:space="preserve"> </w:t>
      </w:r>
    </w:p>
    <w:p w14:paraId="0B7FE828" w14:textId="215C908D" w:rsidR="00A93AC8" w:rsidRPr="00957D98" w:rsidRDefault="00F42563" w:rsidP="00957D98">
      <w:pPr>
        <w:pStyle w:val="NormalWeb"/>
        <w:spacing w:line="276" w:lineRule="auto"/>
        <w:jc w:val="both"/>
        <w:rPr>
          <w:rFonts w:ascii="Athelas" w:hAnsi="Athelas"/>
          <w:color w:val="000000" w:themeColor="text1"/>
        </w:rPr>
      </w:pPr>
      <w:r w:rsidRPr="00F139D9">
        <w:rPr>
          <w:rFonts w:ascii="Athelas" w:hAnsi="Athelas"/>
          <w:color w:val="000000" w:themeColor="text1"/>
        </w:rPr>
        <w:t xml:space="preserve">Thank you to the Master of Government </w:t>
      </w:r>
      <w:r>
        <w:rPr>
          <w:rFonts w:ascii="Athelas" w:hAnsi="Athelas"/>
          <w:color w:val="000000" w:themeColor="text1"/>
          <w:lang w:val="id-ID"/>
        </w:rPr>
        <w:t>Affairs and Adminstration</w:t>
      </w:r>
      <w:r w:rsidRPr="00F139D9">
        <w:rPr>
          <w:rFonts w:ascii="Athelas" w:hAnsi="Athelas"/>
          <w:color w:val="000000" w:themeColor="text1"/>
        </w:rPr>
        <w:t>,</w:t>
      </w:r>
      <w:r>
        <w:rPr>
          <w:rFonts w:ascii="Athelas" w:hAnsi="Athelas"/>
          <w:color w:val="000000" w:themeColor="text1"/>
          <w:lang w:val="id-ID"/>
        </w:rPr>
        <w:t xml:space="preserve"> Universitas Muhammadiyah Yogyakarta</w:t>
      </w:r>
      <w:r w:rsidRPr="00F139D9">
        <w:rPr>
          <w:rFonts w:ascii="Athelas" w:hAnsi="Athelas"/>
          <w:color w:val="000000" w:themeColor="text1"/>
        </w:rPr>
        <w:t xml:space="preserve"> which has provided supporting facilities in completing this proceeding, and all the reviewers who have contributed so that this proceeding can meet the requirements for publication.</w:t>
      </w:r>
    </w:p>
    <w:p w14:paraId="0AD97DA4" w14:textId="0CFBFC3C" w:rsidR="000E6CFB" w:rsidRPr="00DB68A6" w:rsidRDefault="00F42563" w:rsidP="000E6CFB">
      <w:pPr>
        <w:pStyle w:val="NoSpacing"/>
        <w:spacing w:line="298" w:lineRule="auto"/>
        <w:ind w:right="-1" w:firstLine="0"/>
        <w:rPr>
          <w:rFonts w:ascii="Athelas" w:hAnsi="Athelas"/>
          <w:b/>
          <w:color w:val="2F5496" w:themeColor="accent1" w:themeShade="BF"/>
          <w:sz w:val="28"/>
          <w:szCs w:val="28"/>
          <w:lang w:val="id-ID"/>
        </w:rPr>
      </w:pPr>
      <w:r>
        <w:rPr>
          <w:rFonts w:ascii="Athelas" w:hAnsi="Athelas"/>
          <w:b/>
          <w:color w:val="2F5496" w:themeColor="accent1" w:themeShade="BF"/>
          <w:sz w:val="28"/>
          <w:szCs w:val="28"/>
          <w:lang w:val="id-ID"/>
        </w:rPr>
        <w:t>Funding</w:t>
      </w:r>
    </w:p>
    <w:p w14:paraId="65E72803" w14:textId="535EE504" w:rsidR="000E6CFB" w:rsidRDefault="00F42563" w:rsidP="00233D6C">
      <w:pPr>
        <w:pStyle w:val="NoSpacing"/>
        <w:spacing w:line="290" w:lineRule="auto"/>
        <w:ind w:right="-1" w:firstLine="0"/>
        <w:rPr>
          <w:rFonts w:ascii="Athelas" w:hAnsi="Athelas"/>
          <w:szCs w:val="24"/>
          <w:lang w:val="id-ID" w:eastAsia="en-GB"/>
        </w:rPr>
      </w:pPr>
      <w:r w:rsidRPr="00F42563">
        <w:rPr>
          <w:rFonts w:ascii="Athelas" w:hAnsi="Athelas"/>
          <w:szCs w:val="24"/>
          <w:lang w:val="id-ID" w:eastAsia="en-GB"/>
        </w:rPr>
        <w:t>This article was written with funding from the Research and Publication Fund, Master of Government Affairs and Administration,</w:t>
      </w:r>
      <w:r>
        <w:rPr>
          <w:rFonts w:ascii="Athelas" w:hAnsi="Athelas"/>
          <w:szCs w:val="24"/>
          <w:lang w:val="id-ID" w:eastAsia="en-GB"/>
        </w:rPr>
        <w:t xml:space="preserve"> Universitas Muhammadiyah Yogyakarta</w:t>
      </w:r>
      <w:r w:rsidR="00957D98">
        <w:rPr>
          <w:rFonts w:ascii="Athelas" w:hAnsi="Athelas"/>
          <w:szCs w:val="24"/>
          <w:lang w:val="id-ID" w:eastAsia="en-GB"/>
        </w:rPr>
        <w:t>.</w:t>
      </w:r>
    </w:p>
    <w:p w14:paraId="4E859892" w14:textId="77777777" w:rsidR="00957D98" w:rsidRPr="00957D98" w:rsidRDefault="00957D98" w:rsidP="00233D6C">
      <w:pPr>
        <w:pStyle w:val="NoSpacing"/>
        <w:spacing w:line="290" w:lineRule="auto"/>
        <w:ind w:right="-1" w:firstLine="0"/>
        <w:rPr>
          <w:rFonts w:ascii="Athelas" w:hAnsi="Athelas"/>
          <w:szCs w:val="24"/>
          <w:lang w:val="id-ID" w:eastAsia="en-GB"/>
        </w:rPr>
      </w:pPr>
    </w:p>
    <w:p w14:paraId="6B95E7DA" w14:textId="55160127" w:rsidR="00013E9C" w:rsidRPr="00957D98" w:rsidRDefault="00F42563" w:rsidP="00957D98">
      <w:pPr>
        <w:pStyle w:val="NoSpacing"/>
        <w:ind w:right="-1" w:firstLine="0"/>
        <w:rPr>
          <w:rFonts w:ascii="Athelas" w:hAnsi="Athelas"/>
          <w:b/>
          <w:color w:val="2F5496" w:themeColor="accent1" w:themeShade="BF"/>
          <w:sz w:val="22"/>
          <w:lang w:val="id-ID"/>
        </w:rPr>
      </w:pPr>
      <w:r>
        <w:rPr>
          <w:rFonts w:ascii="Athelas" w:hAnsi="Athelas"/>
          <w:b/>
          <w:color w:val="2F5496" w:themeColor="accent1" w:themeShade="BF"/>
          <w:sz w:val="28"/>
          <w:szCs w:val="28"/>
          <w:lang w:val="id-ID"/>
        </w:rPr>
        <w:t>References</w:t>
      </w:r>
    </w:p>
    <w:p w14:paraId="1EC46194"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color w:val="000000" w:themeColor="text1"/>
          <w:sz w:val="22"/>
          <w:szCs w:val="22"/>
        </w:rPr>
        <w:fldChar w:fldCharType="begin" w:fldLock="1"/>
      </w:r>
      <w:r w:rsidRPr="00957D98">
        <w:rPr>
          <w:rFonts w:ascii="Athelas" w:hAnsi="Athelas"/>
          <w:color w:val="000000" w:themeColor="text1"/>
          <w:sz w:val="22"/>
          <w:szCs w:val="22"/>
        </w:rPr>
        <w:instrText xml:space="preserve">ADDIN Mendeley Bibliography CSL_BIBLIOGRAPHY </w:instrText>
      </w:r>
      <w:r w:rsidRPr="00957D98">
        <w:rPr>
          <w:rFonts w:ascii="Athelas" w:hAnsi="Athelas"/>
          <w:color w:val="000000" w:themeColor="text1"/>
          <w:sz w:val="22"/>
          <w:szCs w:val="22"/>
        </w:rPr>
        <w:fldChar w:fldCharType="separate"/>
      </w:r>
      <w:r w:rsidRPr="00957D98">
        <w:rPr>
          <w:rFonts w:ascii="Athelas" w:hAnsi="Athelas"/>
          <w:noProof/>
          <w:color w:val="000000" w:themeColor="text1"/>
          <w:sz w:val="22"/>
          <w:szCs w:val="22"/>
        </w:rPr>
        <w:t xml:space="preserve">Ahmad, J., Hardianti, Nilwana, A., Muliani, &amp; Hamid, H. (2021). Digitalization Era: Website Based E-Government. </w:t>
      </w:r>
      <w:r w:rsidRPr="00957D98">
        <w:rPr>
          <w:rFonts w:ascii="Athelas" w:hAnsi="Athelas"/>
          <w:i/>
          <w:iCs/>
          <w:noProof/>
          <w:color w:val="000000" w:themeColor="text1"/>
          <w:sz w:val="22"/>
          <w:szCs w:val="22"/>
        </w:rPr>
        <w:t>IOP Conference Series: Earth and Environmental Science</w:t>
      </w:r>
      <w:r w:rsidRPr="00957D98">
        <w:rPr>
          <w:rFonts w:ascii="Athelas" w:hAnsi="Athelas"/>
          <w:noProof/>
          <w:color w:val="000000" w:themeColor="text1"/>
          <w:sz w:val="22"/>
          <w:szCs w:val="22"/>
        </w:rPr>
        <w:t xml:space="preserve">, </w:t>
      </w:r>
      <w:r w:rsidRPr="00957D98">
        <w:rPr>
          <w:rFonts w:ascii="Athelas" w:hAnsi="Athelas"/>
          <w:i/>
          <w:iCs/>
          <w:noProof/>
          <w:color w:val="000000" w:themeColor="text1"/>
          <w:sz w:val="22"/>
          <w:szCs w:val="22"/>
        </w:rPr>
        <w:t>717</w:t>
      </w:r>
      <w:r w:rsidRPr="00957D98">
        <w:rPr>
          <w:rFonts w:ascii="Athelas" w:hAnsi="Athelas"/>
          <w:noProof/>
          <w:color w:val="000000" w:themeColor="text1"/>
          <w:sz w:val="22"/>
          <w:szCs w:val="22"/>
        </w:rPr>
        <w:t>(1). https://doi.org/10.1088/1755-1315/717/1/012047</w:t>
      </w:r>
    </w:p>
    <w:p w14:paraId="6EE02D99"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Ali, B. J., &amp; Anwar, G. (2021). Factors Influencing the Citizens’ Acceptance of Electronic Government. </w:t>
      </w:r>
      <w:r w:rsidRPr="00957D98">
        <w:rPr>
          <w:rFonts w:ascii="Athelas" w:hAnsi="Athelas"/>
          <w:i/>
          <w:iCs/>
          <w:noProof/>
          <w:color w:val="000000" w:themeColor="text1"/>
          <w:sz w:val="22"/>
          <w:szCs w:val="22"/>
        </w:rPr>
        <w:t>International Journal of Engineering, Business and Management</w:t>
      </w:r>
      <w:r w:rsidRPr="00957D98">
        <w:rPr>
          <w:rFonts w:ascii="Athelas" w:hAnsi="Athelas"/>
          <w:noProof/>
          <w:color w:val="000000" w:themeColor="text1"/>
          <w:sz w:val="22"/>
          <w:szCs w:val="22"/>
        </w:rPr>
        <w:t xml:space="preserve">, </w:t>
      </w:r>
      <w:r w:rsidRPr="00957D98">
        <w:rPr>
          <w:rFonts w:ascii="Athelas" w:hAnsi="Athelas"/>
          <w:i/>
          <w:iCs/>
          <w:noProof/>
          <w:color w:val="000000" w:themeColor="text1"/>
          <w:sz w:val="22"/>
          <w:szCs w:val="22"/>
        </w:rPr>
        <w:t>5</w:t>
      </w:r>
      <w:r w:rsidRPr="00957D98">
        <w:rPr>
          <w:rFonts w:ascii="Athelas" w:hAnsi="Athelas"/>
          <w:noProof/>
          <w:color w:val="000000" w:themeColor="text1"/>
          <w:sz w:val="22"/>
          <w:szCs w:val="22"/>
        </w:rPr>
        <w:t>(1), 48–60. https://doi.org/10.22161/ijebm.5.1.5</w:t>
      </w:r>
    </w:p>
    <w:p w14:paraId="294247AF"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Anastasia Arvirianty. (2019). </w:t>
      </w:r>
      <w:r w:rsidRPr="00957D98">
        <w:rPr>
          <w:rFonts w:ascii="Athelas" w:hAnsi="Athelas"/>
          <w:i/>
          <w:iCs/>
          <w:noProof/>
          <w:color w:val="000000" w:themeColor="text1"/>
          <w:sz w:val="22"/>
          <w:szCs w:val="22"/>
        </w:rPr>
        <w:t>Sri Mulyani Akui RI Kalah Efektif dari Thailand dan Malaysia</w:t>
      </w:r>
      <w:r w:rsidRPr="00957D98">
        <w:rPr>
          <w:rFonts w:ascii="Athelas" w:hAnsi="Athelas"/>
          <w:noProof/>
          <w:color w:val="000000" w:themeColor="text1"/>
          <w:sz w:val="22"/>
          <w:szCs w:val="22"/>
        </w:rPr>
        <w:t>. https://www.cnbcindonesia.com/news/20190131124448-4-53284/sri-mulyani-akui-ri-kalah-efektif-dari-thailand-dan-malaysia</w:t>
      </w:r>
    </w:p>
    <w:p w14:paraId="6EC4DD36"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Andrea Lidwina. (2021). </w:t>
      </w:r>
      <w:r w:rsidRPr="00957D98">
        <w:rPr>
          <w:rFonts w:ascii="Athelas" w:hAnsi="Athelas"/>
          <w:i/>
          <w:iCs/>
          <w:noProof/>
          <w:color w:val="000000" w:themeColor="text1"/>
          <w:sz w:val="22"/>
          <w:szCs w:val="22"/>
        </w:rPr>
        <w:t>Akses Internet Singapura Paling Inklusif di Asia Tenggara</w:t>
      </w:r>
      <w:r w:rsidRPr="00957D98">
        <w:rPr>
          <w:rFonts w:ascii="Athelas" w:hAnsi="Athelas"/>
          <w:noProof/>
          <w:color w:val="000000" w:themeColor="text1"/>
          <w:sz w:val="22"/>
          <w:szCs w:val="22"/>
        </w:rPr>
        <w:t>. https://databoks.katadata.co.id/datapublish/2021/08/04/akses-internet-singapura-paling-inklusif-di-asia-tenggara</w:t>
      </w:r>
    </w:p>
    <w:p w14:paraId="11675C41"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Annur, C. M. (2022). </w:t>
      </w:r>
      <w:r w:rsidRPr="00957D98">
        <w:rPr>
          <w:rFonts w:ascii="Athelas" w:hAnsi="Athelas"/>
          <w:i/>
          <w:iCs/>
          <w:noProof/>
          <w:color w:val="000000" w:themeColor="text1"/>
          <w:sz w:val="22"/>
          <w:szCs w:val="22"/>
        </w:rPr>
        <w:t>Sistem E-Government Indonesia Peringkat ke-5 di Asia Tenggara</w:t>
      </w:r>
      <w:r w:rsidRPr="00957D98">
        <w:rPr>
          <w:rFonts w:ascii="Athelas" w:hAnsi="Athelas"/>
          <w:noProof/>
          <w:color w:val="000000" w:themeColor="text1"/>
          <w:sz w:val="22"/>
          <w:szCs w:val="22"/>
        </w:rPr>
        <w:t>. https://databoks.katadata.co.id/datapublish/2022/10/05/sistem-e-government-indonesia-peringkat-ke-5-di-asia-tenggara</w:t>
      </w:r>
    </w:p>
    <w:p w14:paraId="454AD200"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AR Maulana, A. (2022). Pengaruh Gerakan Mahasiswa Terhadap Upaya Penegakan Demokrasi di Thailand pada masa Pemerintahan PM Prayuth Chan-Ocha (2014-2020). In </w:t>
      </w:r>
      <w:r w:rsidRPr="00957D98">
        <w:rPr>
          <w:rFonts w:ascii="Athelas" w:hAnsi="Athelas"/>
          <w:i/>
          <w:iCs/>
          <w:noProof/>
          <w:color w:val="000000" w:themeColor="text1"/>
          <w:sz w:val="22"/>
          <w:szCs w:val="22"/>
        </w:rPr>
        <w:t>Braz Dent J.</w:t>
      </w:r>
      <w:r w:rsidRPr="00957D98">
        <w:rPr>
          <w:rFonts w:ascii="Athelas" w:hAnsi="Athelas"/>
          <w:noProof/>
          <w:color w:val="000000" w:themeColor="text1"/>
          <w:sz w:val="22"/>
          <w:szCs w:val="22"/>
        </w:rPr>
        <w:t xml:space="preserve"> (pp. 1–79).</w:t>
      </w:r>
    </w:p>
    <w:p w14:paraId="6267202A"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lastRenderedPageBreak/>
        <w:t xml:space="preserve">Cindy Mutia Annur. (2022). </w:t>
      </w:r>
      <w:r w:rsidRPr="00957D98">
        <w:rPr>
          <w:rFonts w:ascii="Athelas" w:hAnsi="Athelas"/>
          <w:i/>
          <w:iCs/>
          <w:noProof/>
          <w:color w:val="000000" w:themeColor="text1"/>
          <w:sz w:val="22"/>
          <w:szCs w:val="22"/>
        </w:rPr>
        <w:t>Sistem E-Government Indonesia Peringkat ke-5 di Asia Tenggara</w:t>
      </w:r>
      <w:r w:rsidRPr="00957D98">
        <w:rPr>
          <w:rFonts w:ascii="Athelas" w:hAnsi="Athelas"/>
          <w:noProof/>
          <w:color w:val="000000" w:themeColor="text1"/>
          <w:sz w:val="22"/>
          <w:szCs w:val="22"/>
        </w:rPr>
        <w:t>. https://databoks.katadata.co.id/datapublish/2022/10/05/sistem-e-government-indonesia-peringkat-ke-5-di-asia-tenggara</w:t>
      </w:r>
    </w:p>
    <w:p w14:paraId="2949E71E"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databoks. (2022). </w:t>
      </w:r>
      <w:r w:rsidRPr="00957D98">
        <w:rPr>
          <w:rFonts w:ascii="Athelas" w:hAnsi="Athelas"/>
          <w:i/>
          <w:iCs/>
          <w:noProof/>
          <w:color w:val="000000" w:themeColor="text1"/>
          <w:sz w:val="22"/>
          <w:szCs w:val="22"/>
        </w:rPr>
        <w:t>Sistem E-Government Indonesia Peringkat ke-5 di Asia Tenggara</w:t>
      </w:r>
      <w:r w:rsidRPr="00957D98">
        <w:rPr>
          <w:rFonts w:ascii="Athelas" w:hAnsi="Athelas"/>
          <w:noProof/>
          <w:color w:val="000000" w:themeColor="text1"/>
          <w:sz w:val="22"/>
          <w:szCs w:val="22"/>
        </w:rPr>
        <w:t>. https://databoks.katadata.co.id/datapublish/2022/10/05/sistem-e-government-indonesia-peringkat-ke-5-di-asia-tenggara</w:t>
      </w:r>
    </w:p>
    <w:p w14:paraId="1334270B"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Databoks. (2019). </w:t>
      </w:r>
      <w:r w:rsidRPr="00957D98">
        <w:rPr>
          <w:rFonts w:ascii="Athelas" w:hAnsi="Athelas"/>
          <w:i/>
          <w:iCs/>
          <w:noProof/>
          <w:color w:val="000000" w:themeColor="text1"/>
          <w:sz w:val="22"/>
          <w:szCs w:val="22"/>
        </w:rPr>
        <w:t>Indeks Modal Manusia Indonesia Peringkat 6 di ASEAN</w:t>
      </w:r>
      <w:r w:rsidRPr="00957D98">
        <w:rPr>
          <w:rFonts w:ascii="Athelas" w:hAnsi="Athelas"/>
          <w:noProof/>
          <w:color w:val="000000" w:themeColor="text1"/>
          <w:sz w:val="22"/>
          <w:szCs w:val="22"/>
        </w:rPr>
        <w:t>. https://databoks.katadata.co.id/datapublish/2019/05/22/indeks-modal-manusia-indonesia-peringkat-6-di-asean</w:t>
      </w:r>
    </w:p>
    <w:p w14:paraId="52CA8CDD"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Dizrisa, D. A., Sudrajat, S., &amp; Kusumawardani, N. (2020). Pengaruh Elemen Good Governance Terhadap Tingkat Korupsi Di Asia Tenggara. </w:t>
      </w:r>
      <w:r w:rsidRPr="00957D98">
        <w:rPr>
          <w:rFonts w:ascii="Athelas" w:hAnsi="Athelas"/>
          <w:i/>
          <w:iCs/>
          <w:noProof/>
          <w:color w:val="000000" w:themeColor="text1"/>
          <w:sz w:val="22"/>
          <w:szCs w:val="22"/>
        </w:rPr>
        <w:t>Jurnal Akuntansi Dan Keuangan (JAK)</w:t>
      </w:r>
      <w:r w:rsidRPr="00957D98">
        <w:rPr>
          <w:rFonts w:ascii="Athelas" w:hAnsi="Athelas"/>
          <w:noProof/>
          <w:color w:val="000000" w:themeColor="text1"/>
          <w:sz w:val="22"/>
          <w:szCs w:val="22"/>
        </w:rPr>
        <w:t xml:space="preserve">, </w:t>
      </w:r>
      <w:r w:rsidRPr="00957D98">
        <w:rPr>
          <w:rFonts w:ascii="Athelas" w:hAnsi="Athelas"/>
          <w:i/>
          <w:iCs/>
          <w:noProof/>
          <w:color w:val="000000" w:themeColor="text1"/>
          <w:sz w:val="22"/>
          <w:szCs w:val="22"/>
        </w:rPr>
        <w:t>25</w:t>
      </w:r>
      <w:r w:rsidRPr="00957D98">
        <w:rPr>
          <w:rFonts w:ascii="Athelas" w:hAnsi="Athelas"/>
          <w:noProof/>
          <w:color w:val="000000" w:themeColor="text1"/>
          <w:sz w:val="22"/>
          <w:szCs w:val="22"/>
        </w:rPr>
        <w:t>(1), 96–114. https://doi.org/10.23960/jak.v25i1.242</w:t>
      </w:r>
    </w:p>
    <w:p w14:paraId="3F8AD925"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Doramia Lumbanraja, A. (2020). Urgensi Transformasi Pelayanan Publik melalui E-Government Pada New Normal dan Reformasi Regulasi Birokrasi. </w:t>
      </w:r>
      <w:r w:rsidRPr="00957D98">
        <w:rPr>
          <w:rFonts w:ascii="Athelas" w:hAnsi="Athelas"/>
          <w:i/>
          <w:iCs/>
          <w:noProof/>
          <w:color w:val="000000" w:themeColor="text1"/>
          <w:sz w:val="22"/>
          <w:szCs w:val="22"/>
        </w:rPr>
        <w:t>Administrative Law and Governance Journal</w:t>
      </w:r>
      <w:r w:rsidRPr="00957D98">
        <w:rPr>
          <w:rFonts w:ascii="Athelas" w:hAnsi="Athelas"/>
          <w:noProof/>
          <w:color w:val="000000" w:themeColor="text1"/>
          <w:sz w:val="22"/>
          <w:szCs w:val="22"/>
        </w:rPr>
        <w:t xml:space="preserve">, </w:t>
      </w:r>
      <w:r w:rsidRPr="00957D98">
        <w:rPr>
          <w:rFonts w:ascii="Athelas" w:hAnsi="Athelas"/>
          <w:i/>
          <w:iCs/>
          <w:noProof/>
          <w:color w:val="000000" w:themeColor="text1"/>
          <w:sz w:val="22"/>
          <w:szCs w:val="22"/>
        </w:rPr>
        <w:t>3</w:t>
      </w:r>
      <w:r w:rsidRPr="00957D98">
        <w:rPr>
          <w:rFonts w:ascii="Athelas" w:hAnsi="Athelas"/>
          <w:noProof/>
          <w:color w:val="000000" w:themeColor="text1"/>
          <w:sz w:val="22"/>
          <w:szCs w:val="22"/>
        </w:rPr>
        <w:t>(2), 220–231. https://doi.org/10.14710/alj.v3i2.220-231</w:t>
      </w:r>
    </w:p>
    <w:p w14:paraId="4CB938A2"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Drajat, E. U. (2015). </w:t>
      </w:r>
      <w:r w:rsidRPr="00957D98">
        <w:rPr>
          <w:rFonts w:ascii="Athelas" w:hAnsi="Athelas"/>
          <w:i/>
          <w:iCs/>
          <w:noProof/>
          <w:color w:val="000000" w:themeColor="text1"/>
          <w:sz w:val="22"/>
          <w:szCs w:val="22"/>
        </w:rPr>
        <w:t>Pengaruh kualitas pemerintahan terhadap penanaman modal asing</w:t>
      </w:r>
      <w:r w:rsidRPr="00957D98">
        <w:rPr>
          <w:rFonts w:ascii="Athelas" w:hAnsi="Athelas"/>
          <w:noProof/>
          <w:color w:val="000000" w:themeColor="text1"/>
          <w:sz w:val="22"/>
          <w:szCs w:val="22"/>
        </w:rPr>
        <w:t>.</w:t>
      </w:r>
    </w:p>
    <w:p w14:paraId="78BE70AC"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Eka Asbarini, N. F., Isnaini, L., &amp; Wibowo, M. G. (2021). Pengaruh Tata Kelola Pemerintah Terhadap Pertumbuhan Ekonomi Di ASEAN. </w:t>
      </w:r>
      <w:r w:rsidRPr="00957D98">
        <w:rPr>
          <w:rFonts w:ascii="Athelas" w:hAnsi="Athelas"/>
          <w:i/>
          <w:iCs/>
          <w:noProof/>
          <w:color w:val="000000" w:themeColor="text1"/>
          <w:sz w:val="22"/>
          <w:szCs w:val="22"/>
        </w:rPr>
        <w:t>Jurnal Ekonomi Dan Pembangunan</w:t>
      </w:r>
      <w:r w:rsidRPr="00957D98">
        <w:rPr>
          <w:rFonts w:ascii="Athelas" w:hAnsi="Athelas"/>
          <w:noProof/>
          <w:color w:val="000000" w:themeColor="text1"/>
          <w:sz w:val="22"/>
          <w:szCs w:val="22"/>
        </w:rPr>
        <w:t xml:space="preserve">, </w:t>
      </w:r>
      <w:r w:rsidRPr="00957D98">
        <w:rPr>
          <w:rFonts w:ascii="Athelas" w:hAnsi="Athelas"/>
          <w:i/>
          <w:iCs/>
          <w:noProof/>
          <w:color w:val="000000" w:themeColor="text1"/>
          <w:sz w:val="22"/>
          <w:szCs w:val="22"/>
        </w:rPr>
        <w:t>12</w:t>
      </w:r>
      <w:r w:rsidRPr="00957D98">
        <w:rPr>
          <w:rFonts w:ascii="Athelas" w:hAnsi="Athelas"/>
          <w:noProof/>
          <w:color w:val="000000" w:themeColor="text1"/>
          <w:sz w:val="22"/>
          <w:szCs w:val="22"/>
        </w:rPr>
        <w:t>(1), 82–93. https://doi.org/10.22373/jep.v12i1.606</w:t>
      </w:r>
    </w:p>
    <w:p w14:paraId="3CF55DD0"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Gioh, A. (2021). Pelayanan Publik E-Government Di Dinas Komunikasi Informatika Kabupaten Minahasa. </w:t>
      </w:r>
      <w:r w:rsidRPr="00957D98">
        <w:rPr>
          <w:rFonts w:ascii="Athelas" w:hAnsi="Athelas"/>
          <w:i/>
          <w:iCs/>
          <w:noProof/>
          <w:color w:val="000000" w:themeColor="text1"/>
          <w:sz w:val="22"/>
          <w:szCs w:val="22"/>
        </w:rPr>
        <w:t>Jurnal Politico</w:t>
      </w:r>
      <w:r w:rsidRPr="00957D98">
        <w:rPr>
          <w:rFonts w:ascii="Athelas" w:hAnsi="Athelas"/>
          <w:noProof/>
          <w:color w:val="000000" w:themeColor="text1"/>
          <w:sz w:val="22"/>
          <w:szCs w:val="22"/>
        </w:rPr>
        <w:t xml:space="preserve">, </w:t>
      </w:r>
      <w:r w:rsidRPr="00957D98">
        <w:rPr>
          <w:rFonts w:ascii="Athelas" w:hAnsi="Athelas"/>
          <w:i/>
          <w:iCs/>
          <w:noProof/>
          <w:color w:val="000000" w:themeColor="text1"/>
          <w:sz w:val="22"/>
          <w:szCs w:val="22"/>
        </w:rPr>
        <w:t>10</w:t>
      </w:r>
      <w:r w:rsidRPr="00957D98">
        <w:rPr>
          <w:rFonts w:ascii="Athelas" w:hAnsi="Athelas"/>
          <w:noProof/>
          <w:color w:val="000000" w:themeColor="text1"/>
          <w:sz w:val="22"/>
          <w:szCs w:val="22"/>
        </w:rPr>
        <w:t>(1), 1–14.</w:t>
      </w:r>
    </w:p>
    <w:p w14:paraId="2C1CBA9F"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Hidriyah, S. (2021). Krisis Politik Myanmar dan Intervensi ASEAN. </w:t>
      </w:r>
      <w:r w:rsidRPr="00957D98">
        <w:rPr>
          <w:rFonts w:ascii="Athelas" w:hAnsi="Athelas"/>
          <w:i/>
          <w:iCs/>
          <w:noProof/>
          <w:color w:val="000000" w:themeColor="text1"/>
          <w:sz w:val="22"/>
          <w:szCs w:val="22"/>
        </w:rPr>
        <w:t>Info Singkat</w:t>
      </w:r>
      <w:r w:rsidRPr="00957D98">
        <w:rPr>
          <w:rFonts w:ascii="Athelas" w:hAnsi="Athelas"/>
          <w:noProof/>
          <w:color w:val="000000" w:themeColor="text1"/>
          <w:sz w:val="22"/>
          <w:szCs w:val="22"/>
        </w:rPr>
        <w:t xml:space="preserve">, </w:t>
      </w:r>
      <w:r w:rsidRPr="00957D98">
        <w:rPr>
          <w:rFonts w:ascii="Athelas" w:hAnsi="Athelas"/>
          <w:i/>
          <w:iCs/>
          <w:noProof/>
          <w:color w:val="000000" w:themeColor="text1"/>
          <w:sz w:val="22"/>
          <w:szCs w:val="22"/>
        </w:rPr>
        <w:t>XIII</w:t>
      </w:r>
      <w:r w:rsidRPr="00957D98">
        <w:rPr>
          <w:rFonts w:ascii="Athelas" w:hAnsi="Athelas"/>
          <w:noProof/>
          <w:color w:val="000000" w:themeColor="text1"/>
          <w:sz w:val="22"/>
          <w:szCs w:val="22"/>
        </w:rPr>
        <w:t>(6), 7–12.</w:t>
      </w:r>
    </w:p>
    <w:p w14:paraId="6530393B"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Husain, F. R., &amp; Marselina. (2022). Pengaruh Kelembangaan dan Pertumbuhan Ekonomi Terhadap Arus Masuk Foreign Direct Investment Negara ASEAN Tahun 2016-2022. </w:t>
      </w:r>
      <w:r w:rsidRPr="00957D98">
        <w:rPr>
          <w:rFonts w:ascii="Athelas" w:hAnsi="Athelas"/>
          <w:i/>
          <w:iCs/>
          <w:noProof/>
          <w:color w:val="000000" w:themeColor="text1"/>
          <w:sz w:val="22"/>
          <w:szCs w:val="22"/>
        </w:rPr>
        <w:t>KLASSEN</w:t>
      </w:r>
      <w:r w:rsidRPr="00957D98">
        <w:rPr>
          <w:rFonts w:ascii="Athelas" w:hAnsi="Athelas"/>
          <w:noProof/>
          <w:color w:val="000000" w:themeColor="text1"/>
          <w:sz w:val="22"/>
          <w:szCs w:val="22"/>
        </w:rPr>
        <w:t xml:space="preserve">, </w:t>
      </w:r>
      <w:r w:rsidRPr="00957D98">
        <w:rPr>
          <w:rFonts w:ascii="Athelas" w:hAnsi="Athelas"/>
          <w:i/>
          <w:iCs/>
          <w:noProof/>
          <w:color w:val="000000" w:themeColor="text1"/>
          <w:sz w:val="22"/>
          <w:szCs w:val="22"/>
        </w:rPr>
        <w:t>2</w:t>
      </w:r>
      <w:r w:rsidRPr="00957D98">
        <w:rPr>
          <w:rFonts w:ascii="Athelas" w:hAnsi="Athelas"/>
          <w:noProof/>
          <w:color w:val="000000" w:themeColor="text1"/>
          <w:sz w:val="22"/>
          <w:szCs w:val="22"/>
        </w:rPr>
        <w:t>(1), 32–45.</w:t>
      </w:r>
    </w:p>
    <w:p w14:paraId="0610739D"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Kelas Pintar. (2020). </w:t>
      </w:r>
      <w:r w:rsidRPr="00957D98">
        <w:rPr>
          <w:rFonts w:ascii="Athelas" w:hAnsi="Athelas"/>
          <w:i/>
          <w:iCs/>
          <w:noProof/>
          <w:color w:val="000000" w:themeColor="text1"/>
          <w:sz w:val="22"/>
          <w:szCs w:val="22"/>
        </w:rPr>
        <w:t>Memahami Konflik Berdarah di Thailand</w:t>
      </w:r>
      <w:r w:rsidRPr="00957D98">
        <w:rPr>
          <w:rFonts w:ascii="Athelas" w:hAnsi="Athelas"/>
          <w:noProof/>
          <w:color w:val="000000" w:themeColor="text1"/>
          <w:sz w:val="22"/>
          <w:szCs w:val="22"/>
        </w:rPr>
        <w:t>. https://www.kelaspintar.id/blog/inspirasi/memahami-konflik-berdarah-di-thailand-9058/</w:t>
      </w:r>
    </w:p>
    <w:p w14:paraId="40300615"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Kraipornsak, P. (2018). Good Governance and Economic Growth: an Investigation of Thailand and Selected Asian Countries. </w:t>
      </w:r>
      <w:r w:rsidRPr="00957D98">
        <w:rPr>
          <w:rFonts w:ascii="Athelas" w:hAnsi="Athelas"/>
          <w:i/>
          <w:iCs/>
          <w:noProof/>
          <w:color w:val="000000" w:themeColor="text1"/>
          <w:sz w:val="22"/>
          <w:szCs w:val="22"/>
        </w:rPr>
        <w:t>Eurasian Journal of Economics and Finance</w:t>
      </w:r>
      <w:r w:rsidRPr="00957D98">
        <w:rPr>
          <w:rFonts w:ascii="Athelas" w:hAnsi="Athelas"/>
          <w:noProof/>
          <w:color w:val="000000" w:themeColor="text1"/>
          <w:sz w:val="22"/>
          <w:szCs w:val="22"/>
        </w:rPr>
        <w:t xml:space="preserve">, </w:t>
      </w:r>
      <w:r w:rsidRPr="00957D98">
        <w:rPr>
          <w:rFonts w:ascii="Athelas" w:hAnsi="Athelas"/>
          <w:i/>
          <w:iCs/>
          <w:noProof/>
          <w:color w:val="000000" w:themeColor="text1"/>
          <w:sz w:val="22"/>
          <w:szCs w:val="22"/>
        </w:rPr>
        <w:t>6</w:t>
      </w:r>
      <w:r w:rsidRPr="00957D98">
        <w:rPr>
          <w:rFonts w:ascii="Athelas" w:hAnsi="Athelas"/>
          <w:noProof/>
          <w:color w:val="000000" w:themeColor="text1"/>
          <w:sz w:val="22"/>
          <w:szCs w:val="22"/>
        </w:rPr>
        <w:t>(1), 93–106. https://doi.org/10.15604/ejef.2018.06.01.009</w:t>
      </w:r>
    </w:p>
    <w:p w14:paraId="0D662860"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Luh, N., Ratnawati, T. T., Made, I., &amp; Suryawan, Y. (2021). E-procurement Implementation as Reflection of Good Governance in North Lombok Regency. </w:t>
      </w:r>
      <w:r w:rsidRPr="00957D98">
        <w:rPr>
          <w:rFonts w:ascii="Athelas" w:hAnsi="Athelas"/>
          <w:i/>
          <w:iCs/>
          <w:noProof/>
          <w:color w:val="000000" w:themeColor="text1"/>
          <w:sz w:val="22"/>
          <w:szCs w:val="22"/>
        </w:rPr>
        <w:t>Social Science, Public Administration and Management (HUSOCPUMENT)</w:t>
      </w:r>
      <w:r w:rsidRPr="00957D98">
        <w:rPr>
          <w:rFonts w:ascii="Athelas" w:hAnsi="Athelas"/>
          <w:noProof/>
          <w:color w:val="000000" w:themeColor="text1"/>
          <w:sz w:val="22"/>
          <w:szCs w:val="22"/>
        </w:rPr>
        <w:t xml:space="preserve">, </w:t>
      </w:r>
      <w:r w:rsidRPr="00957D98">
        <w:rPr>
          <w:rFonts w:ascii="Athelas" w:hAnsi="Athelas"/>
          <w:i/>
          <w:iCs/>
          <w:noProof/>
          <w:color w:val="000000" w:themeColor="text1"/>
          <w:sz w:val="22"/>
          <w:szCs w:val="22"/>
        </w:rPr>
        <w:t>1</w:t>
      </w:r>
      <w:r w:rsidRPr="00957D98">
        <w:rPr>
          <w:rFonts w:ascii="Athelas" w:hAnsi="Athelas"/>
          <w:noProof/>
          <w:color w:val="000000" w:themeColor="text1"/>
          <w:sz w:val="22"/>
          <w:szCs w:val="22"/>
        </w:rPr>
        <w:t>(1), 8–14. https://doi.org/10.0121/husocpument.v1i1.3</w:t>
      </w:r>
    </w:p>
    <w:p w14:paraId="2327AF10"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Lutfiah, R. A., Zahara, V. M., &amp; Anwar, C. J. (2021). Analisis Pengaruh Utang Luar Negeri Dan Risiko Negara Terhadap Capital Flight Di Negara Berkembang Asean. </w:t>
      </w:r>
      <w:r w:rsidRPr="00957D98">
        <w:rPr>
          <w:rFonts w:ascii="Athelas" w:hAnsi="Athelas"/>
          <w:i/>
          <w:iCs/>
          <w:noProof/>
          <w:color w:val="000000" w:themeColor="text1"/>
          <w:sz w:val="22"/>
          <w:szCs w:val="22"/>
        </w:rPr>
        <w:t>National Conference on Applied Business, Education, &amp; Technology (NCABET)</w:t>
      </w:r>
      <w:r w:rsidRPr="00957D98">
        <w:rPr>
          <w:rFonts w:ascii="Athelas" w:hAnsi="Athelas"/>
          <w:noProof/>
          <w:color w:val="000000" w:themeColor="text1"/>
          <w:sz w:val="22"/>
          <w:szCs w:val="22"/>
        </w:rPr>
        <w:t xml:space="preserve">, </w:t>
      </w:r>
      <w:r w:rsidRPr="00957D98">
        <w:rPr>
          <w:rFonts w:ascii="Athelas" w:hAnsi="Athelas"/>
          <w:i/>
          <w:iCs/>
          <w:noProof/>
          <w:color w:val="000000" w:themeColor="text1"/>
          <w:sz w:val="22"/>
          <w:szCs w:val="22"/>
        </w:rPr>
        <w:t>1</w:t>
      </w:r>
      <w:r w:rsidRPr="00957D98">
        <w:rPr>
          <w:rFonts w:ascii="Athelas" w:hAnsi="Athelas"/>
          <w:noProof/>
          <w:color w:val="000000" w:themeColor="text1"/>
          <w:sz w:val="22"/>
          <w:szCs w:val="22"/>
        </w:rPr>
        <w:t>(1), 334–348. https://doi.org/10.46306/ncabet.v1i1.28</w:t>
      </w:r>
    </w:p>
    <w:p w14:paraId="4473B787"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lastRenderedPageBreak/>
        <w:t xml:space="preserve">Lykidis, I., Drosatos, G., &amp; Rantos, K. (2021). The Use of Blockchain Technology in e-Government Services. </w:t>
      </w:r>
      <w:r w:rsidRPr="00957D98">
        <w:rPr>
          <w:rFonts w:ascii="Athelas" w:hAnsi="Athelas"/>
          <w:i/>
          <w:iCs/>
          <w:noProof/>
          <w:color w:val="000000" w:themeColor="text1"/>
          <w:sz w:val="22"/>
          <w:szCs w:val="22"/>
        </w:rPr>
        <w:t>Computers</w:t>
      </w:r>
      <w:r w:rsidRPr="00957D98">
        <w:rPr>
          <w:rFonts w:ascii="Athelas" w:hAnsi="Athelas"/>
          <w:noProof/>
          <w:color w:val="000000" w:themeColor="text1"/>
          <w:sz w:val="22"/>
          <w:szCs w:val="22"/>
        </w:rPr>
        <w:t xml:space="preserve">, </w:t>
      </w:r>
      <w:r w:rsidRPr="00957D98">
        <w:rPr>
          <w:rFonts w:ascii="Athelas" w:hAnsi="Athelas"/>
          <w:i/>
          <w:iCs/>
          <w:noProof/>
          <w:color w:val="000000" w:themeColor="text1"/>
          <w:sz w:val="22"/>
          <w:szCs w:val="22"/>
        </w:rPr>
        <w:t>10</w:t>
      </w:r>
      <w:r w:rsidRPr="00957D98">
        <w:rPr>
          <w:rFonts w:ascii="Athelas" w:hAnsi="Athelas"/>
          <w:noProof/>
          <w:color w:val="000000" w:themeColor="text1"/>
          <w:sz w:val="22"/>
          <w:szCs w:val="22"/>
        </w:rPr>
        <w:t>(12), 1–17. https://doi.org/10.3390/computers10120168</w:t>
      </w:r>
    </w:p>
    <w:p w14:paraId="26549128"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M. Ali Nur. (2018). </w:t>
      </w:r>
      <w:r w:rsidRPr="00957D98">
        <w:rPr>
          <w:rFonts w:ascii="Athelas" w:hAnsi="Athelas"/>
          <w:i/>
          <w:iCs/>
          <w:noProof/>
          <w:color w:val="000000" w:themeColor="text1"/>
          <w:sz w:val="22"/>
          <w:szCs w:val="22"/>
        </w:rPr>
        <w:t>Peringkat Pendidikan Indonesia dan Budaya Buruknya</w:t>
      </w:r>
      <w:r w:rsidRPr="00957D98">
        <w:rPr>
          <w:rFonts w:ascii="Athelas" w:hAnsi="Athelas"/>
          <w:noProof/>
          <w:color w:val="000000" w:themeColor="text1"/>
          <w:sz w:val="22"/>
          <w:szCs w:val="22"/>
        </w:rPr>
        <w:t>. Siedoo. https://siedoo.com/berita-4965-peringkat-pendidikan-indonesia-dan-budaya-buruknya/#:~:text=Brunei Darussalam,Brunei menanggung semua biaya pendidikan.</w:t>
      </w:r>
    </w:p>
    <w:p w14:paraId="15518094"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Maladevi, S. (2022). Implementation of Agile Governance Principles Through the Village/Township Monograph Digitization Program in Bantaeng Regency. </w:t>
      </w:r>
      <w:r w:rsidRPr="00957D98">
        <w:rPr>
          <w:rFonts w:ascii="Athelas" w:hAnsi="Athelas"/>
          <w:i/>
          <w:iCs/>
          <w:noProof/>
          <w:color w:val="000000" w:themeColor="text1"/>
          <w:sz w:val="22"/>
          <w:szCs w:val="22"/>
        </w:rPr>
        <w:t>Iapa Proceedings Conference</w:t>
      </w:r>
      <w:r w:rsidRPr="00957D98">
        <w:rPr>
          <w:rFonts w:ascii="Athelas" w:hAnsi="Athelas"/>
          <w:noProof/>
          <w:color w:val="000000" w:themeColor="text1"/>
          <w:sz w:val="22"/>
          <w:szCs w:val="22"/>
        </w:rPr>
        <w:t>, 322. https://doi.org/10.30589/proceedings.2022.704</w:t>
      </w:r>
    </w:p>
    <w:p w14:paraId="72BE6775"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Mardiana, M. E., Adinda, R. A., &amp; Isnaini, N. L. (2021). Analisis Faktor Keberhasilan Implementasi E-Government di Bandung, Batam, dan Surabaya. </w:t>
      </w:r>
      <w:r w:rsidRPr="00957D98">
        <w:rPr>
          <w:rFonts w:ascii="Athelas" w:hAnsi="Athelas"/>
          <w:i/>
          <w:iCs/>
          <w:noProof/>
          <w:color w:val="000000" w:themeColor="text1"/>
          <w:sz w:val="22"/>
          <w:szCs w:val="22"/>
        </w:rPr>
        <w:t>Jurnal Social and Sains (SOSAINS)</w:t>
      </w:r>
      <w:r w:rsidRPr="00957D98">
        <w:rPr>
          <w:rFonts w:ascii="Athelas" w:hAnsi="Athelas"/>
          <w:noProof/>
          <w:color w:val="000000" w:themeColor="text1"/>
          <w:sz w:val="22"/>
          <w:szCs w:val="22"/>
        </w:rPr>
        <w:t xml:space="preserve">, </w:t>
      </w:r>
      <w:r w:rsidRPr="00957D98">
        <w:rPr>
          <w:rFonts w:ascii="Athelas" w:hAnsi="Athelas"/>
          <w:i/>
          <w:iCs/>
          <w:noProof/>
          <w:color w:val="000000" w:themeColor="text1"/>
          <w:sz w:val="22"/>
          <w:szCs w:val="22"/>
        </w:rPr>
        <w:t>1</w:t>
      </w:r>
      <w:r w:rsidRPr="00957D98">
        <w:rPr>
          <w:rFonts w:ascii="Athelas" w:hAnsi="Athelas"/>
          <w:noProof/>
          <w:color w:val="000000" w:themeColor="text1"/>
          <w:sz w:val="22"/>
          <w:szCs w:val="22"/>
        </w:rPr>
        <w:t>, 598–609.</w:t>
      </w:r>
    </w:p>
    <w:p w14:paraId="0D93EE77"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Mathematics, A. (2022). Agile Governance In Handling the Covid-19 Pandemic by The Kampar District Health Office in 2021. </w:t>
      </w:r>
      <w:r w:rsidRPr="00957D98">
        <w:rPr>
          <w:rFonts w:ascii="Athelas" w:hAnsi="Athelas"/>
          <w:i/>
          <w:iCs/>
          <w:noProof/>
          <w:color w:val="000000" w:themeColor="text1"/>
          <w:sz w:val="22"/>
          <w:szCs w:val="22"/>
        </w:rPr>
        <w:t>Publica: Jurnal Pemikiran Administrasi Negara</w:t>
      </w:r>
      <w:r w:rsidRPr="00957D98">
        <w:rPr>
          <w:rFonts w:ascii="Athelas" w:hAnsi="Athelas"/>
          <w:noProof/>
          <w:color w:val="000000" w:themeColor="text1"/>
          <w:sz w:val="22"/>
          <w:szCs w:val="22"/>
        </w:rPr>
        <w:t xml:space="preserve">, </w:t>
      </w:r>
      <w:r w:rsidRPr="00957D98">
        <w:rPr>
          <w:rFonts w:ascii="Athelas" w:hAnsi="Athelas"/>
          <w:i/>
          <w:iCs/>
          <w:noProof/>
          <w:color w:val="000000" w:themeColor="text1"/>
          <w:sz w:val="22"/>
          <w:szCs w:val="22"/>
        </w:rPr>
        <w:t>14</w:t>
      </w:r>
      <w:r w:rsidRPr="00957D98">
        <w:rPr>
          <w:rFonts w:ascii="Athelas" w:hAnsi="Athelas"/>
          <w:noProof/>
          <w:color w:val="000000" w:themeColor="text1"/>
          <w:sz w:val="22"/>
          <w:szCs w:val="22"/>
        </w:rPr>
        <w:t>(2), 204–214.</w:t>
      </w:r>
    </w:p>
    <w:p w14:paraId="7F30018D"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Minin, I. M., &amp; Leo, A. (2021). Penerimaan Sistem Informasi Pelayanan Desa Berbasis Web Di Desa Kudikan Model E-Government To-Citizens Berdasarkan Tam. </w:t>
      </w:r>
      <w:r w:rsidRPr="00957D98">
        <w:rPr>
          <w:rFonts w:ascii="Athelas" w:hAnsi="Athelas"/>
          <w:i/>
          <w:iCs/>
          <w:noProof/>
          <w:color w:val="000000" w:themeColor="text1"/>
          <w:sz w:val="22"/>
          <w:szCs w:val="22"/>
        </w:rPr>
        <w:t>Sains Terapan Dan Teknologi</w:t>
      </w:r>
      <w:r w:rsidRPr="00957D98">
        <w:rPr>
          <w:rFonts w:ascii="Athelas" w:hAnsi="Athelas"/>
          <w:noProof/>
          <w:color w:val="000000" w:themeColor="text1"/>
          <w:sz w:val="22"/>
          <w:szCs w:val="22"/>
        </w:rPr>
        <w:t xml:space="preserve">, </w:t>
      </w:r>
      <w:r w:rsidRPr="00957D98">
        <w:rPr>
          <w:rFonts w:ascii="Athelas" w:hAnsi="Athelas"/>
          <w:i/>
          <w:iCs/>
          <w:noProof/>
          <w:color w:val="000000" w:themeColor="text1"/>
          <w:sz w:val="22"/>
          <w:szCs w:val="22"/>
        </w:rPr>
        <w:t>2</w:t>
      </w:r>
      <w:r w:rsidRPr="00957D98">
        <w:rPr>
          <w:rFonts w:ascii="Athelas" w:hAnsi="Athelas"/>
          <w:noProof/>
          <w:color w:val="000000" w:themeColor="text1"/>
          <w:sz w:val="22"/>
          <w:szCs w:val="22"/>
        </w:rPr>
        <w:t>(2), 1–15.</w:t>
      </w:r>
    </w:p>
    <w:p w14:paraId="6FB87282"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Morato, J., Iglesias, A., Campillo, A., &amp; Sanchez-Cuadrado, S. (2021). Automated Readability Assessment for Spanish e-Government Information. </w:t>
      </w:r>
      <w:r w:rsidRPr="00957D98">
        <w:rPr>
          <w:rFonts w:ascii="Athelas" w:hAnsi="Athelas"/>
          <w:i/>
          <w:iCs/>
          <w:noProof/>
          <w:color w:val="000000" w:themeColor="text1"/>
          <w:sz w:val="22"/>
          <w:szCs w:val="22"/>
        </w:rPr>
        <w:t>Journal of Information Systems Engineering and Management</w:t>
      </w:r>
      <w:r w:rsidRPr="00957D98">
        <w:rPr>
          <w:rFonts w:ascii="Athelas" w:hAnsi="Athelas"/>
          <w:noProof/>
          <w:color w:val="000000" w:themeColor="text1"/>
          <w:sz w:val="22"/>
          <w:szCs w:val="22"/>
        </w:rPr>
        <w:t xml:space="preserve">, </w:t>
      </w:r>
      <w:r w:rsidRPr="00957D98">
        <w:rPr>
          <w:rFonts w:ascii="Athelas" w:hAnsi="Athelas"/>
          <w:i/>
          <w:iCs/>
          <w:noProof/>
          <w:color w:val="000000" w:themeColor="text1"/>
          <w:sz w:val="22"/>
          <w:szCs w:val="22"/>
        </w:rPr>
        <w:t>6</w:t>
      </w:r>
      <w:r w:rsidRPr="00957D98">
        <w:rPr>
          <w:rFonts w:ascii="Athelas" w:hAnsi="Athelas"/>
          <w:noProof/>
          <w:color w:val="000000" w:themeColor="text1"/>
          <w:sz w:val="22"/>
          <w:szCs w:val="22"/>
        </w:rPr>
        <w:t>(2), em0137. https://doi.org/10.29333/jisem/9620</w:t>
      </w:r>
    </w:p>
    <w:p w14:paraId="120DE1D6"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Muhammad Quranul Kariem, &amp; Ishmatuddin, N. (2021). Analisis Faktor-Faktor Penentu Tata Kelola Pemerintahan Di Pemerintah Kota Surabaya Periode Kepemimpinan Tri Risma Harini Tahun 2015-2020. </w:t>
      </w:r>
      <w:r w:rsidRPr="00957D98">
        <w:rPr>
          <w:rFonts w:ascii="Athelas" w:hAnsi="Athelas"/>
          <w:i/>
          <w:iCs/>
          <w:noProof/>
          <w:color w:val="000000" w:themeColor="text1"/>
          <w:sz w:val="22"/>
          <w:szCs w:val="22"/>
        </w:rPr>
        <w:t>KEMUDI : Jurnal Ilmu Pemerintahan</w:t>
      </w:r>
      <w:r w:rsidRPr="00957D98">
        <w:rPr>
          <w:rFonts w:ascii="Athelas" w:hAnsi="Athelas"/>
          <w:noProof/>
          <w:color w:val="000000" w:themeColor="text1"/>
          <w:sz w:val="22"/>
          <w:szCs w:val="22"/>
        </w:rPr>
        <w:t xml:space="preserve">, </w:t>
      </w:r>
      <w:r w:rsidRPr="00957D98">
        <w:rPr>
          <w:rFonts w:ascii="Athelas" w:hAnsi="Athelas"/>
          <w:i/>
          <w:iCs/>
          <w:noProof/>
          <w:color w:val="000000" w:themeColor="text1"/>
          <w:sz w:val="22"/>
          <w:szCs w:val="22"/>
        </w:rPr>
        <w:t>5</w:t>
      </w:r>
      <w:r w:rsidRPr="00957D98">
        <w:rPr>
          <w:rFonts w:ascii="Athelas" w:hAnsi="Athelas"/>
          <w:noProof/>
          <w:color w:val="000000" w:themeColor="text1"/>
          <w:sz w:val="22"/>
          <w:szCs w:val="22"/>
        </w:rPr>
        <w:t>(02), 239–248. https://doi.org/10.31629/kemudi.v5i02.3141</w:t>
      </w:r>
    </w:p>
    <w:p w14:paraId="399D84EB"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Muzni Hanipah, &amp; Aryani, L. (2022). Efektivitas Inovasi Pelayanan Publik Berbasis E-Government (Simpelin) di Masa Pandemi Covid-19 (Studi Kasus di Dinas Kependudukan dan Pencatatan Sipil Kab. Sukabumi). </w:t>
      </w:r>
      <w:r w:rsidRPr="00957D98">
        <w:rPr>
          <w:rFonts w:ascii="Athelas" w:hAnsi="Athelas"/>
          <w:i/>
          <w:iCs/>
          <w:noProof/>
          <w:color w:val="000000" w:themeColor="text1"/>
          <w:sz w:val="22"/>
          <w:szCs w:val="22"/>
        </w:rPr>
        <w:t>Sawala : Jurnal Administrasi Negara</w:t>
      </w:r>
      <w:r w:rsidRPr="00957D98">
        <w:rPr>
          <w:rFonts w:ascii="Athelas" w:hAnsi="Athelas"/>
          <w:noProof/>
          <w:color w:val="000000" w:themeColor="text1"/>
          <w:sz w:val="22"/>
          <w:szCs w:val="22"/>
        </w:rPr>
        <w:t xml:space="preserve">, </w:t>
      </w:r>
      <w:r w:rsidRPr="00957D98">
        <w:rPr>
          <w:rFonts w:ascii="Athelas" w:hAnsi="Athelas"/>
          <w:i/>
          <w:iCs/>
          <w:noProof/>
          <w:color w:val="000000" w:themeColor="text1"/>
          <w:sz w:val="22"/>
          <w:szCs w:val="22"/>
        </w:rPr>
        <w:t>10</w:t>
      </w:r>
      <w:r w:rsidRPr="00957D98">
        <w:rPr>
          <w:rFonts w:ascii="Athelas" w:hAnsi="Athelas"/>
          <w:noProof/>
          <w:color w:val="000000" w:themeColor="text1"/>
          <w:sz w:val="22"/>
          <w:szCs w:val="22"/>
        </w:rPr>
        <w:t>(1), 112–128. https://doi.org/10.30656/sawala.v10i1.4619</w:t>
      </w:r>
    </w:p>
    <w:p w14:paraId="6B00EB5C"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Nasution, D. K., Fauzi, A., &amp; Ruslan, R. (2021). Legal Certainty on The Implementation of Electronic Registration of Liability Rights Performed by The Office of The Land Act Maker (Study at the Office of the Land Act Maker Deli Serdang). </w:t>
      </w:r>
      <w:r w:rsidRPr="00957D98">
        <w:rPr>
          <w:rFonts w:ascii="Athelas" w:hAnsi="Athelas"/>
          <w:i/>
          <w:iCs/>
          <w:noProof/>
          <w:color w:val="000000" w:themeColor="text1"/>
          <w:sz w:val="22"/>
          <w:szCs w:val="22"/>
        </w:rPr>
        <w:t>Veteran Law Review</w:t>
      </w:r>
      <w:r w:rsidRPr="00957D98">
        <w:rPr>
          <w:rFonts w:ascii="Athelas" w:hAnsi="Athelas"/>
          <w:noProof/>
          <w:color w:val="000000" w:themeColor="text1"/>
          <w:sz w:val="22"/>
          <w:szCs w:val="22"/>
        </w:rPr>
        <w:t xml:space="preserve">, </w:t>
      </w:r>
      <w:r w:rsidRPr="00957D98">
        <w:rPr>
          <w:rFonts w:ascii="Athelas" w:hAnsi="Athelas"/>
          <w:i/>
          <w:iCs/>
          <w:noProof/>
          <w:color w:val="000000" w:themeColor="text1"/>
          <w:sz w:val="22"/>
          <w:szCs w:val="22"/>
        </w:rPr>
        <w:t>4</w:t>
      </w:r>
      <w:r w:rsidRPr="00957D98">
        <w:rPr>
          <w:rFonts w:ascii="Athelas" w:hAnsi="Athelas"/>
          <w:noProof/>
          <w:color w:val="000000" w:themeColor="text1"/>
          <w:sz w:val="22"/>
          <w:szCs w:val="22"/>
        </w:rPr>
        <w:t>(2), 120. https://doi.org/10.35586/velrev.v4i2.2669</w:t>
      </w:r>
    </w:p>
    <w:p w14:paraId="1D5206E9"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OECD. (2020). </w:t>
      </w:r>
      <w:r w:rsidRPr="00957D98">
        <w:rPr>
          <w:rFonts w:ascii="Athelas" w:hAnsi="Athelas"/>
          <w:i/>
          <w:iCs/>
          <w:noProof/>
          <w:color w:val="000000" w:themeColor="text1"/>
          <w:sz w:val="22"/>
          <w:szCs w:val="22"/>
        </w:rPr>
        <w:t>Regulatory Management and Oversight Reforms in Thailand: A Diagnostic Scan</w:t>
      </w:r>
      <w:r w:rsidRPr="00957D98">
        <w:rPr>
          <w:rFonts w:ascii="Athelas" w:hAnsi="Athelas"/>
          <w:noProof/>
          <w:color w:val="000000" w:themeColor="text1"/>
          <w:sz w:val="22"/>
          <w:szCs w:val="22"/>
        </w:rPr>
        <w:t>. https://www.oecd.org/regreform/RIA-Thailand.pdf</w:t>
      </w:r>
    </w:p>
    <w:p w14:paraId="6EDFCE11"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Praphornkul, P. (2021). </w:t>
      </w:r>
      <w:r w:rsidRPr="00957D98">
        <w:rPr>
          <w:rFonts w:ascii="Athelas" w:hAnsi="Athelas"/>
          <w:i/>
          <w:iCs/>
          <w:noProof/>
          <w:color w:val="000000" w:themeColor="text1"/>
          <w:sz w:val="22"/>
          <w:szCs w:val="22"/>
        </w:rPr>
        <w:t>Thailand ranks higher on UN E-Government Development Index</w:t>
      </w:r>
      <w:r w:rsidRPr="00957D98">
        <w:rPr>
          <w:rFonts w:ascii="Athelas" w:hAnsi="Athelas"/>
          <w:noProof/>
          <w:color w:val="000000" w:themeColor="text1"/>
          <w:sz w:val="22"/>
          <w:szCs w:val="22"/>
        </w:rPr>
        <w:t>. https://thainews.prd.go.th/en/news/detail/TCATG210705144423431</w:t>
      </w:r>
    </w:p>
    <w:p w14:paraId="1AF14F93"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Prateeppornnarong, D. (2021). Fighting Corruption While Having Hands Tied: A Case Study of Thailand’s Public Sector Anti-Corruption Commission. </w:t>
      </w:r>
      <w:r w:rsidRPr="00957D98">
        <w:rPr>
          <w:rFonts w:ascii="Athelas" w:hAnsi="Athelas"/>
          <w:i/>
          <w:iCs/>
          <w:noProof/>
          <w:color w:val="000000" w:themeColor="text1"/>
          <w:sz w:val="22"/>
          <w:szCs w:val="22"/>
        </w:rPr>
        <w:t>Journal of Asian and African Studies</w:t>
      </w:r>
      <w:r w:rsidRPr="00957D98">
        <w:rPr>
          <w:rFonts w:ascii="Athelas" w:hAnsi="Athelas"/>
          <w:noProof/>
          <w:color w:val="000000" w:themeColor="text1"/>
          <w:sz w:val="22"/>
          <w:szCs w:val="22"/>
        </w:rPr>
        <w:t xml:space="preserve">, </w:t>
      </w:r>
      <w:r w:rsidRPr="00957D98">
        <w:rPr>
          <w:rFonts w:ascii="Athelas" w:hAnsi="Athelas"/>
          <w:i/>
          <w:iCs/>
          <w:noProof/>
          <w:color w:val="000000" w:themeColor="text1"/>
          <w:sz w:val="22"/>
          <w:szCs w:val="22"/>
        </w:rPr>
        <w:t>56</w:t>
      </w:r>
      <w:r w:rsidRPr="00957D98">
        <w:rPr>
          <w:rFonts w:ascii="Athelas" w:hAnsi="Athelas"/>
          <w:noProof/>
          <w:color w:val="000000" w:themeColor="text1"/>
          <w:sz w:val="22"/>
          <w:szCs w:val="22"/>
        </w:rPr>
        <w:t>(2), 320–334. https://doi.org/10.1177/0021909620926529</w:t>
      </w:r>
    </w:p>
    <w:p w14:paraId="3686755F"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lastRenderedPageBreak/>
        <w:t xml:space="preserve">Priyashantha, K. G., &amp; Dilhani, V. I. (2022). Determinants of E-government Adoption: A Systematic Literature Review. </w:t>
      </w:r>
      <w:r w:rsidRPr="00957D98">
        <w:rPr>
          <w:rFonts w:ascii="Athelas" w:hAnsi="Athelas"/>
          <w:i/>
          <w:iCs/>
          <w:noProof/>
          <w:color w:val="000000" w:themeColor="text1"/>
          <w:sz w:val="22"/>
          <w:szCs w:val="22"/>
        </w:rPr>
        <w:t>Kelaniya Journal of Human Resource Management</w:t>
      </w:r>
      <w:r w:rsidRPr="00957D98">
        <w:rPr>
          <w:rFonts w:ascii="Athelas" w:hAnsi="Athelas"/>
          <w:noProof/>
          <w:color w:val="000000" w:themeColor="text1"/>
          <w:sz w:val="22"/>
          <w:szCs w:val="22"/>
        </w:rPr>
        <w:t xml:space="preserve">, </w:t>
      </w:r>
      <w:r w:rsidRPr="00957D98">
        <w:rPr>
          <w:rFonts w:ascii="Athelas" w:hAnsi="Athelas"/>
          <w:i/>
          <w:iCs/>
          <w:noProof/>
          <w:color w:val="000000" w:themeColor="text1"/>
          <w:sz w:val="22"/>
          <w:szCs w:val="22"/>
        </w:rPr>
        <w:t>17</w:t>
      </w:r>
      <w:r w:rsidRPr="00957D98">
        <w:rPr>
          <w:rFonts w:ascii="Athelas" w:hAnsi="Athelas"/>
          <w:noProof/>
          <w:color w:val="000000" w:themeColor="text1"/>
          <w:sz w:val="22"/>
          <w:szCs w:val="22"/>
        </w:rPr>
        <w:t>(1), 105. https://doi.org/10.4038/kjhrm.v17i1.107</w:t>
      </w:r>
    </w:p>
    <w:p w14:paraId="5F51957A"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Pusparisa, Y. (2020). </w:t>
      </w:r>
      <w:r w:rsidRPr="00957D98">
        <w:rPr>
          <w:rFonts w:ascii="Athelas" w:hAnsi="Athelas"/>
          <w:i/>
          <w:iCs/>
          <w:noProof/>
          <w:color w:val="000000" w:themeColor="text1"/>
          <w:sz w:val="22"/>
          <w:szCs w:val="22"/>
        </w:rPr>
        <w:t>Indeks Modal Manusia Singapura Tertinggi di Dunia</w:t>
      </w:r>
      <w:r w:rsidRPr="00957D98">
        <w:rPr>
          <w:rFonts w:ascii="Athelas" w:hAnsi="Athelas"/>
          <w:noProof/>
          <w:color w:val="000000" w:themeColor="text1"/>
          <w:sz w:val="22"/>
          <w:szCs w:val="22"/>
        </w:rPr>
        <w:t>. https://databoks.katadata.co.id/datapublish/2020/09/18/indeks-modal-manusia-singapura-tertinggi-di-dunia</w:t>
      </w:r>
    </w:p>
    <w:p w14:paraId="57E04C99"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Puspitaningrum, A. C. (2021). Literature Review: Elements and Criteria Methodology of Enterprise Architecture for E-Government. </w:t>
      </w:r>
      <w:r w:rsidRPr="00957D98">
        <w:rPr>
          <w:rFonts w:ascii="Athelas" w:hAnsi="Athelas"/>
          <w:i/>
          <w:iCs/>
          <w:noProof/>
          <w:color w:val="000000" w:themeColor="text1"/>
          <w:sz w:val="22"/>
          <w:szCs w:val="22"/>
        </w:rPr>
        <w:t>Sistemasi</w:t>
      </w:r>
      <w:r w:rsidRPr="00957D98">
        <w:rPr>
          <w:rFonts w:ascii="Athelas" w:hAnsi="Athelas"/>
          <w:noProof/>
          <w:color w:val="000000" w:themeColor="text1"/>
          <w:sz w:val="22"/>
          <w:szCs w:val="22"/>
        </w:rPr>
        <w:t xml:space="preserve">, </w:t>
      </w:r>
      <w:r w:rsidRPr="00957D98">
        <w:rPr>
          <w:rFonts w:ascii="Athelas" w:hAnsi="Athelas"/>
          <w:i/>
          <w:iCs/>
          <w:noProof/>
          <w:color w:val="000000" w:themeColor="text1"/>
          <w:sz w:val="22"/>
          <w:szCs w:val="22"/>
        </w:rPr>
        <w:t>10</w:t>
      </w:r>
      <w:r w:rsidRPr="00957D98">
        <w:rPr>
          <w:rFonts w:ascii="Athelas" w:hAnsi="Athelas"/>
          <w:noProof/>
          <w:color w:val="000000" w:themeColor="text1"/>
          <w:sz w:val="22"/>
          <w:szCs w:val="22"/>
        </w:rPr>
        <w:t>(1), 26. https://doi.org/10.32520/stmsi.v10i1.1027</w:t>
      </w:r>
    </w:p>
    <w:p w14:paraId="52E77D45"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Putri, A. F. J., Herdika, M., Fendita, X. A., &amp; Fratiwi. (2022). Desentralisasi Sebagai Upaya Penanggulangan Problematika Serta Tantangan dalam Penyelenggaraan Pemerintahan Daerah. </w:t>
      </w:r>
      <w:r w:rsidRPr="00957D98">
        <w:rPr>
          <w:rFonts w:ascii="Athelas" w:hAnsi="Athelas"/>
          <w:i/>
          <w:iCs/>
          <w:noProof/>
          <w:color w:val="000000" w:themeColor="text1"/>
          <w:sz w:val="22"/>
          <w:szCs w:val="22"/>
        </w:rPr>
        <w:t>BULLET : Jurnal Multidisiplin Ilmu</w:t>
      </w:r>
      <w:r w:rsidRPr="00957D98">
        <w:rPr>
          <w:rFonts w:ascii="Athelas" w:hAnsi="Athelas"/>
          <w:noProof/>
          <w:color w:val="000000" w:themeColor="text1"/>
          <w:sz w:val="22"/>
          <w:szCs w:val="22"/>
        </w:rPr>
        <w:t xml:space="preserve">, </w:t>
      </w:r>
      <w:r w:rsidRPr="00957D98">
        <w:rPr>
          <w:rFonts w:ascii="Athelas" w:hAnsi="Athelas"/>
          <w:i/>
          <w:iCs/>
          <w:noProof/>
          <w:color w:val="000000" w:themeColor="text1"/>
          <w:sz w:val="22"/>
          <w:szCs w:val="22"/>
        </w:rPr>
        <w:t>1</w:t>
      </w:r>
      <w:r w:rsidRPr="00957D98">
        <w:rPr>
          <w:rFonts w:ascii="Athelas" w:hAnsi="Athelas"/>
          <w:noProof/>
          <w:color w:val="000000" w:themeColor="text1"/>
          <w:sz w:val="22"/>
          <w:szCs w:val="22"/>
        </w:rPr>
        <w:t>(03), 400–408.</w:t>
      </w:r>
    </w:p>
    <w:p w14:paraId="15BDAB4B"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Putri, R. H. (2022). </w:t>
      </w:r>
      <w:r w:rsidRPr="00957D98">
        <w:rPr>
          <w:rFonts w:ascii="Athelas" w:hAnsi="Athelas"/>
          <w:i/>
          <w:iCs/>
          <w:noProof/>
          <w:color w:val="000000" w:themeColor="text1"/>
          <w:sz w:val="22"/>
          <w:szCs w:val="22"/>
        </w:rPr>
        <w:t>Pengaruh Kebijakan Subsidi, Foreign Direct Investment (FDI) dan Tata Kelola Pemerintahan Terhadap Pertumbuhan Ekonomi (Studi Kasus Negara - Negara di ASEAN)</w:t>
      </w:r>
      <w:r w:rsidRPr="00957D98">
        <w:rPr>
          <w:rFonts w:ascii="Athelas" w:hAnsi="Athelas"/>
          <w:noProof/>
          <w:color w:val="000000" w:themeColor="text1"/>
          <w:sz w:val="22"/>
          <w:szCs w:val="22"/>
        </w:rPr>
        <w:t xml:space="preserve">. </w:t>
      </w:r>
      <w:r w:rsidRPr="00957D98">
        <w:rPr>
          <w:rFonts w:ascii="Athelas" w:hAnsi="Athelas"/>
          <w:i/>
          <w:iCs/>
          <w:noProof/>
          <w:color w:val="000000" w:themeColor="text1"/>
          <w:sz w:val="22"/>
          <w:szCs w:val="22"/>
        </w:rPr>
        <w:t>3</w:t>
      </w:r>
      <w:r w:rsidRPr="00957D98">
        <w:rPr>
          <w:rFonts w:ascii="Athelas" w:hAnsi="Athelas"/>
          <w:noProof/>
          <w:color w:val="000000" w:themeColor="text1"/>
          <w:sz w:val="22"/>
          <w:szCs w:val="22"/>
        </w:rPr>
        <w:t>(1), 123–136.</w:t>
      </w:r>
    </w:p>
    <w:p w14:paraId="28610CF4"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Rahman, A. (2022). Revisiting the Relationship between E-Government and Corruption: An Empirical Investigation. </w:t>
      </w:r>
      <w:r w:rsidRPr="00957D98">
        <w:rPr>
          <w:rFonts w:ascii="Athelas" w:hAnsi="Athelas"/>
          <w:i/>
          <w:iCs/>
          <w:noProof/>
          <w:color w:val="000000" w:themeColor="text1"/>
          <w:sz w:val="22"/>
          <w:szCs w:val="22"/>
        </w:rPr>
        <w:t>Athens Journal of Social Sciences</w:t>
      </w:r>
      <w:r w:rsidRPr="00957D98">
        <w:rPr>
          <w:rFonts w:ascii="Athelas" w:hAnsi="Athelas"/>
          <w:noProof/>
          <w:color w:val="000000" w:themeColor="text1"/>
          <w:sz w:val="22"/>
          <w:szCs w:val="22"/>
        </w:rPr>
        <w:t xml:space="preserve">, </w:t>
      </w:r>
      <w:r w:rsidRPr="00957D98">
        <w:rPr>
          <w:rFonts w:ascii="Athelas" w:hAnsi="Athelas"/>
          <w:i/>
          <w:iCs/>
          <w:noProof/>
          <w:color w:val="000000" w:themeColor="text1"/>
          <w:sz w:val="22"/>
          <w:szCs w:val="22"/>
        </w:rPr>
        <w:t>X</w:t>
      </w:r>
      <w:r w:rsidRPr="00957D98">
        <w:rPr>
          <w:rFonts w:ascii="Athelas" w:hAnsi="Athelas"/>
          <w:noProof/>
          <w:color w:val="000000" w:themeColor="text1"/>
          <w:sz w:val="22"/>
          <w:szCs w:val="22"/>
        </w:rPr>
        <w:t>(9), 1–16. https://www.athensjournals.gr/social/2021-4381-AJSS-POL-Rahman-05.pdf</w:t>
      </w:r>
    </w:p>
    <w:p w14:paraId="2E3AA2AA"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Ramadhan, P. S. (2021). </w:t>
      </w:r>
      <w:r w:rsidRPr="00957D98">
        <w:rPr>
          <w:rFonts w:ascii="Athelas" w:hAnsi="Athelas"/>
          <w:i/>
          <w:iCs/>
          <w:noProof/>
          <w:color w:val="000000" w:themeColor="text1"/>
          <w:sz w:val="22"/>
          <w:szCs w:val="22"/>
        </w:rPr>
        <w:t>Pengaruh Tata Kelola Pemerintah Terhadap Pertumbuhan Ekonomi di Negara ASEAN-6</w:t>
      </w:r>
      <w:r w:rsidRPr="00957D98">
        <w:rPr>
          <w:rFonts w:ascii="Athelas" w:hAnsi="Athelas"/>
          <w:noProof/>
          <w:color w:val="000000" w:themeColor="text1"/>
          <w:sz w:val="22"/>
          <w:szCs w:val="22"/>
        </w:rPr>
        <w:t>.</w:t>
      </w:r>
    </w:p>
    <w:p w14:paraId="1A7F2C2D"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republika.co.id. (2020). </w:t>
      </w:r>
      <w:r w:rsidRPr="00957D98">
        <w:rPr>
          <w:rFonts w:ascii="Athelas" w:hAnsi="Athelas"/>
          <w:i/>
          <w:iCs/>
          <w:noProof/>
          <w:color w:val="000000" w:themeColor="text1"/>
          <w:sz w:val="22"/>
          <w:szCs w:val="22"/>
        </w:rPr>
        <w:t>Kelamnya Teror Thailand</w:t>
      </w:r>
      <w:r w:rsidRPr="00957D98">
        <w:rPr>
          <w:rFonts w:ascii="Athelas" w:hAnsi="Athelas"/>
          <w:noProof/>
          <w:color w:val="000000" w:themeColor="text1"/>
          <w:sz w:val="22"/>
          <w:szCs w:val="22"/>
        </w:rPr>
        <w:t>. Republika.Co.Id. https://www.republika.co.id/berita/q5il2e318/kelamnya-teror-thailand</w:t>
      </w:r>
    </w:p>
    <w:p w14:paraId="1BCE7AB7"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Rizkinaswara, L. (2020). </w:t>
      </w:r>
      <w:r w:rsidRPr="00957D98">
        <w:rPr>
          <w:rFonts w:ascii="Athelas" w:hAnsi="Athelas"/>
          <w:i/>
          <w:iCs/>
          <w:noProof/>
          <w:color w:val="000000" w:themeColor="text1"/>
          <w:sz w:val="22"/>
          <w:szCs w:val="22"/>
        </w:rPr>
        <w:t>Tingkatkan EGDI, Pemerintah Fokus Percepat Transformasi Digital</w:t>
      </w:r>
      <w:r w:rsidRPr="00957D98">
        <w:rPr>
          <w:rFonts w:ascii="Athelas" w:hAnsi="Athelas"/>
          <w:noProof/>
          <w:color w:val="000000" w:themeColor="text1"/>
          <w:sz w:val="22"/>
          <w:szCs w:val="22"/>
        </w:rPr>
        <w:t>. https://aptika.kominfo.go.id/2020/09/tingkatkan-egdi-pemerintah-fokus-percepat-transformasi-digital/</w:t>
      </w:r>
    </w:p>
    <w:p w14:paraId="5B467314"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Sadik-Zada, E. R., Gatto, A., &amp; Niftiyev, I. (2022). E-government and petty corruption in public sector service delivery. </w:t>
      </w:r>
      <w:r w:rsidRPr="00957D98">
        <w:rPr>
          <w:rFonts w:ascii="Athelas" w:hAnsi="Athelas"/>
          <w:i/>
          <w:iCs/>
          <w:noProof/>
          <w:color w:val="000000" w:themeColor="text1"/>
          <w:sz w:val="22"/>
          <w:szCs w:val="22"/>
        </w:rPr>
        <w:t>Technology Analysis and Strategic Management</w:t>
      </w:r>
      <w:r w:rsidRPr="00957D98">
        <w:rPr>
          <w:rFonts w:ascii="Athelas" w:hAnsi="Athelas"/>
          <w:noProof/>
          <w:color w:val="000000" w:themeColor="text1"/>
          <w:sz w:val="22"/>
          <w:szCs w:val="22"/>
        </w:rPr>
        <w:t>, 1–17. https://doi.org/10.1080/09537325.2022.2067037</w:t>
      </w:r>
    </w:p>
    <w:p w14:paraId="38B9B3BD"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Saefudin. (2022). </w:t>
      </w:r>
      <w:r w:rsidRPr="00957D98">
        <w:rPr>
          <w:rFonts w:ascii="Athelas" w:hAnsi="Athelas"/>
          <w:i/>
          <w:iCs/>
          <w:noProof/>
          <w:color w:val="000000" w:themeColor="text1"/>
          <w:sz w:val="22"/>
          <w:szCs w:val="22"/>
        </w:rPr>
        <w:t>Signifikan, Hasil Survei e-Government Indonesia Naik 11 Peringkat</w:t>
      </w:r>
      <w:r w:rsidRPr="00957D98">
        <w:rPr>
          <w:rFonts w:ascii="Athelas" w:hAnsi="Athelas"/>
          <w:noProof/>
          <w:color w:val="000000" w:themeColor="text1"/>
          <w:sz w:val="22"/>
          <w:szCs w:val="22"/>
        </w:rPr>
        <w:t>. DitjenAptika. https://aptika.kominfo.go.id/2022/10/signifikan-hasil-survei-e-government-indonesia-naik-11-peringkat/</w:t>
      </w:r>
    </w:p>
    <w:p w14:paraId="47311B99"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Saleh, S., Nakshabandi, O. A., Zeebaree, M., Ismael, G. Y., &amp; Aqel, M. (2021). Organizational barriers which are facing electronic government implementation: The electronic government implementation framework. </w:t>
      </w:r>
      <w:r w:rsidRPr="00957D98">
        <w:rPr>
          <w:rFonts w:ascii="Athelas" w:hAnsi="Athelas"/>
          <w:i/>
          <w:iCs/>
          <w:noProof/>
          <w:color w:val="000000" w:themeColor="text1"/>
          <w:sz w:val="22"/>
          <w:szCs w:val="22"/>
        </w:rPr>
        <w:t>Estudios de Economia Aplicada</w:t>
      </w:r>
      <w:r w:rsidRPr="00957D98">
        <w:rPr>
          <w:rFonts w:ascii="Athelas" w:hAnsi="Athelas"/>
          <w:noProof/>
          <w:color w:val="000000" w:themeColor="text1"/>
          <w:sz w:val="22"/>
          <w:szCs w:val="22"/>
        </w:rPr>
        <w:t xml:space="preserve">, </w:t>
      </w:r>
      <w:r w:rsidRPr="00957D98">
        <w:rPr>
          <w:rFonts w:ascii="Athelas" w:hAnsi="Athelas"/>
          <w:i/>
          <w:iCs/>
          <w:noProof/>
          <w:color w:val="000000" w:themeColor="text1"/>
          <w:sz w:val="22"/>
          <w:szCs w:val="22"/>
        </w:rPr>
        <w:t>39</w:t>
      </w:r>
      <w:r w:rsidRPr="00957D98">
        <w:rPr>
          <w:rFonts w:ascii="Athelas" w:hAnsi="Athelas"/>
          <w:noProof/>
          <w:color w:val="000000" w:themeColor="text1"/>
          <w:sz w:val="22"/>
          <w:szCs w:val="22"/>
        </w:rPr>
        <w:t>(7). https://doi.org/10.25115/eea.v39i7.5231</w:t>
      </w:r>
    </w:p>
    <w:p w14:paraId="41FC906D"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Siahaan, S. B., Simanjuntak, A., Simanjuntak, W. A., &amp; Pasaribu, D. (2022). Penerapan Good Governance Berbasis Birokrasi Pemerintahan Digital Untuk Mengatasi Pandemi Covid – 19 Di Indonesia. </w:t>
      </w:r>
      <w:r w:rsidRPr="00957D98">
        <w:rPr>
          <w:rFonts w:ascii="Athelas" w:hAnsi="Athelas"/>
          <w:i/>
          <w:iCs/>
          <w:noProof/>
          <w:color w:val="000000" w:themeColor="text1"/>
          <w:sz w:val="22"/>
          <w:szCs w:val="22"/>
        </w:rPr>
        <w:t>Jurnal Akuntansi Dan Keuangan Methodist</w:t>
      </w:r>
      <w:r w:rsidRPr="00957D98">
        <w:rPr>
          <w:rFonts w:ascii="Athelas" w:hAnsi="Athelas"/>
          <w:noProof/>
          <w:color w:val="000000" w:themeColor="text1"/>
          <w:sz w:val="22"/>
          <w:szCs w:val="22"/>
        </w:rPr>
        <w:t xml:space="preserve">, </w:t>
      </w:r>
      <w:r w:rsidRPr="00957D98">
        <w:rPr>
          <w:rFonts w:ascii="Athelas" w:hAnsi="Athelas"/>
          <w:i/>
          <w:iCs/>
          <w:noProof/>
          <w:color w:val="000000" w:themeColor="text1"/>
          <w:sz w:val="22"/>
          <w:szCs w:val="22"/>
        </w:rPr>
        <w:t>5</w:t>
      </w:r>
      <w:r w:rsidRPr="00957D98">
        <w:rPr>
          <w:rFonts w:ascii="Athelas" w:hAnsi="Athelas"/>
          <w:noProof/>
          <w:color w:val="000000" w:themeColor="text1"/>
          <w:sz w:val="22"/>
          <w:szCs w:val="22"/>
        </w:rPr>
        <w:t>(2), 154–163. https://bpptik.kominfo.go.id/2018/08/23/59</w:t>
      </w:r>
    </w:p>
    <w:p w14:paraId="113D8941"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lastRenderedPageBreak/>
        <w:t xml:space="preserve">Sorongan, T. P. (2021). </w:t>
      </w:r>
      <w:r w:rsidRPr="00957D98">
        <w:rPr>
          <w:rFonts w:ascii="Athelas" w:hAnsi="Athelas"/>
          <w:i/>
          <w:iCs/>
          <w:noProof/>
          <w:color w:val="000000" w:themeColor="text1"/>
          <w:sz w:val="22"/>
          <w:szCs w:val="22"/>
        </w:rPr>
        <w:t>Myanmar Ngenes, PBB Ramal Setengah Populasi Jatuh Miskin</w:t>
      </w:r>
      <w:r w:rsidRPr="00957D98">
        <w:rPr>
          <w:rFonts w:ascii="Athelas" w:hAnsi="Athelas"/>
          <w:noProof/>
          <w:color w:val="000000" w:themeColor="text1"/>
          <w:sz w:val="22"/>
          <w:szCs w:val="22"/>
        </w:rPr>
        <w:t>. CNBC Indonesia. https://www.cnbcindonesia.com/news/20210503124650-4-242669/myanmar-ngenes-pbb-ramal-setengah-populasi-jatuh-miskin</w:t>
      </w:r>
    </w:p>
    <w:p w14:paraId="00C74C6C"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Sukarno, M., &amp; Nurmandi, A. (2023). E-Government Development Index Impact on World Governance Indicator Index in Southeast Asian Countries. </w:t>
      </w:r>
      <w:r w:rsidRPr="00957D98">
        <w:rPr>
          <w:rFonts w:ascii="Athelas" w:hAnsi="Athelas"/>
          <w:i/>
          <w:iCs/>
          <w:noProof/>
          <w:color w:val="000000" w:themeColor="text1"/>
          <w:sz w:val="22"/>
          <w:szCs w:val="22"/>
        </w:rPr>
        <w:t>Journal of Contemporary Governance and Public Policy</w:t>
      </w:r>
      <w:r w:rsidRPr="00957D98">
        <w:rPr>
          <w:rFonts w:ascii="Athelas" w:hAnsi="Athelas"/>
          <w:noProof/>
          <w:color w:val="000000" w:themeColor="text1"/>
          <w:sz w:val="22"/>
          <w:szCs w:val="22"/>
        </w:rPr>
        <w:t xml:space="preserve">, </w:t>
      </w:r>
      <w:r w:rsidRPr="00957D98">
        <w:rPr>
          <w:rFonts w:ascii="Athelas" w:hAnsi="Athelas"/>
          <w:i/>
          <w:iCs/>
          <w:noProof/>
          <w:color w:val="000000" w:themeColor="text1"/>
          <w:sz w:val="22"/>
          <w:szCs w:val="22"/>
        </w:rPr>
        <w:t>4</w:t>
      </w:r>
      <w:r w:rsidRPr="00957D98">
        <w:rPr>
          <w:rFonts w:ascii="Athelas" w:hAnsi="Athelas"/>
          <w:noProof/>
          <w:color w:val="000000" w:themeColor="text1"/>
          <w:sz w:val="22"/>
          <w:szCs w:val="22"/>
        </w:rPr>
        <w:t>(April), 97–114.</w:t>
      </w:r>
    </w:p>
    <w:p w14:paraId="78CB7B7C"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Takiya, H., Negreiros, I., Yamamura, C. L. K., Quintanilha, J. A., Machado, C. A. S., Abiko, A., Campos, C. I. de, Pessoa, M. S. de P., &amp; Berssaneti, F. T. (2022). Application of Open Government Data to Sustainable City Indicators: A Megacity Case Study. </w:t>
      </w:r>
      <w:r w:rsidRPr="00957D98">
        <w:rPr>
          <w:rFonts w:ascii="Athelas" w:hAnsi="Athelas"/>
          <w:i/>
          <w:iCs/>
          <w:noProof/>
          <w:color w:val="000000" w:themeColor="text1"/>
          <w:sz w:val="22"/>
          <w:szCs w:val="22"/>
        </w:rPr>
        <w:t>Sustainability (Switzerland)</w:t>
      </w:r>
      <w:r w:rsidRPr="00957D98">
        <w:rPr>
          <w:rFonts w:ascii="Athelas" w:hAnsi="Athelas"/>
          <w:noProof/>
          <w:color w:val="000000" w:themeColor="text1"/>
          <w:sz w:val="22"/>
          <w:szCs w:val="22"/>
        </w:rPr>
        <w:t xml:space="preserve">, </w:t>
      </w:r>
      <w:r w:rsidRPr="00957D98">
        <w:rPr>
          <w:rFonts w:ascii="Athelas" w:hAnsi="Athelas"/>
          <w:i/>
          <w:iCs/>
          <w:noProof/>
          <w:color w:val="000000" w:themeColor="text1"/>
          <w:sz w:val="22"/>
          <w:szCs w:val="22"/>
        </w:rPr>
        <w:t>14</w:t>
      </w:r>
      <w:r w:rsidRPr="00957D98">
        <w:rPr>
          <w:rFonts w:ascii="Athelas" w:hAnsi="Athelas"/>
          <w:noProof/>
          <w:color w:val="000000" w:themeColor="text1"/>
          <w:sz w:val="22"/>
          <w:szCs w:val="22"/>
        </w:rPr>
        <w:t>, 1–30. https://doi.org/10.3390/su14148802</w:t>
      </w:r>
    </w:p>
    <w:p w14:paraId="314D435A"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Tanaya, O., Kanti Wilujeng, R. S., &amp; Putri Radjamin, I. (2022). Foreign Direct Investment dan Risiko Politik di ASEAN. </w:t>
      </w:r>
      <w:r w:rsidRPr="00957D98">
        <w:rPr>
          <w:rFonts w:ascii="Athelas" w:hAnsi="Athelas"/>
          <w:i/>
          <w:iCs/>
          <w:noProof/>
          <w:color w:val="000000" w:themeColor="text1"/>
          <w:sz w:val="22"/>
          <w:szCs w:val="22"/>
        </w:rPr>
        <w:t>Owner Riset Dan Jurnal Akuntansi</w:t>
      </w:r>
      <w:r w:rsidRPr="00957D98">
        <w:rPr>
          <w:rFonts w:ascii="Athelas" w:hAnsi="Athelas"/>
          <w:noProof/>
          <w:color w:val="000000" w:themeColor="text1"/>
          <w:sz w:val="22"/>
          <w:szCs w:val="22"/>
        </w:rPr>
        <w:t xml:space="preserve">, </w:t>
      </w:r>
      <w:r w:rsidRPr="00957D98">
        <w:rPr>
          <w:rFonts w:ascii="Athelas" w:hAnsi="Athelas"/>
          <w:i/>
          <w:iCs/>
          <w:noProof/>
          <w:color w:val="000000" w:themeColor="text1"/>
          <w:sz w:val="22"/>
          <w:szCs w:val="22"/>
        </w:rPr>
        <w:t>6</w:t>
      </w:r>
      <w:r w:rsidRPr="00957D98">
        <w:rPr>
          <w:rFonts w:ascii="Athelas" w:hAnsi="Athelas"/>
          <w:noProof/>
          <w:color w:val="000000" w:themeColor="text1"/>
          <w:sz w:val="22"/>
          <w:szCs w:val="22"/>
        </w:rPr>
        <w:t>(2), 1610–1620. https://doi.org/10.33395/owner.v6i2.805</w:t>
      </w:r>
    </w:p>
    <w:p w14:paraId="7C1DAA16"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Tasyah, A., Septiya, S., Jasriyani Putri, S., Agung Fernanda, R., &amp; Chesilia Azani, P. (2021). Best practice kebijakan e-government dalam mengimplementasikan pelayanan publik di era new normal. </w:t>
      </w:r>
      <w:r w:rsidRPr="00957D98">
        <w:rPr>
          <w:rFonts w:ascii="Athelas" w:hAnsi="Athelas"/>
          <w:i/>
          <w:iCs/>
          <w:noProof/>
          <w:color w:val="000000" w:themeColor="text1"/>
          <w:sz w:val="22"/>
          <w:szCs w:val="22"/>
        </w:rPr>
        <w:t>Jurnal Studi Ilmu Sosial Dan Politik</w:t>
      </w:r>
      <w:r w:rsidRPr="00957D98">
        <w:rPr>
          <w:rFonts w:ascii="Athelas" w:hAnsi="Athelas"/>
          <w:noProof/>
          <w:color w:val="000000" w:themeColor="text1"/>
          <w:sz w:val="22"/>
          <w:szCs w:val="22"/>
        </w:rPr>
        <w:t xml:space="preserve">, </w:t>
      </w:r>
      <w:r w:rsidRPr="00957D98">
        <w:rPr>
          <w:rFonts w:ascii="Athelas" w:hAnsi="Athelas"/>
          <w:i/>
          <w:iCs/>
          <w:noProof/>
          <w:color w:val="000000" w:themeColor="text1"/>
          <w:sz w:val="22"/>
          <w:szCs w:val="22"/>
        </w:rPr>
        <w:t>1</w:t>
      </w:r>
      <w:r w:rsidRPr="00957D98">
        <w:rPr>
          <w:rFonts w:ascii="Athelas" w:hAnsi="Athelas"/>
          <w:noProof/>
          <w:color w:val="000000" w:themeColor="text1"/>
          <w:sz w:val="22"/>
          <w:szCs w:val="22"/>
        </w:rPr>
        <w:t>(1), 21–33. https://doi.org/10.35912/jasispol.v1i1.163</w:t>
      </w:r>
    </w:p>
    <w:p w14:paraId="1912F865"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Ucanews.com. (2019). </w:t>
      </w:r>
      <w:r w:rsidRPr="00957D98">
        <w:rPr>
          <w:rFonts w:ascii="Athelas" w:hAnsi="Athelas"/>
          <w:i/>
          <w:iCs/>
          <w:noProof/>
          <w:color w:val="000000" w:themeColor="text1"/>
          <w:sz w:val="22"/>
          <w:szCs w:val="22"/>
        </w:rPr>
        <w:t>Rule by law but no rule of law in Thailand</w:t>
      </w:r>
      <w:r w:rsidRPr="00957D98">
        <w:rPr>
          <w:rFonts w:ascii="Athelas" w:hAnsi="Athelas"/>
          <w:noProof/>
          <w:color w:val="000000" w:themeColor="text1"/>
          <w:sz w:val="22"/>
          <w:szCs w:val="22"/>
        </w:rPr>
        <w:t>. https://www.ucanews.com/news/rule-by-law-but-no-rule-of-law-in-thailand/84851</w:t>
      </w:r>
    </w:p>
    <w:p w14:paraId="07CFEB79"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Urinovich Kobilov, A., Khashimova, D. P., Mannanova, S. G., &amp; Ogli Abdulakhatov, M. M. (2022). Modern Content and Concept of Digital Economy. </w:t>
      </w:r>
      <w:r w:rsidRPr="00957D98">
        <w:rPr>
          <w:rFonts w:ascii="Athelas" w:hAnsi="Athelas"/>
          <w:i/>
          <w:iCs/>
          <w:noProof/>
          <w:color w:val="000000" w:themeColor="text1"/>
          <w:sz w:val="22"/>
          <w:szCs w:val="22"/>
        </w:rPr>
        <w:t>International Journal of Multicultural and Multireligious Understanding</w:t>
      </w:r>
      <w:r w:rsidRPr="00957D98">
        <w:rPr>
          <w:rFonts w:ascii="Athelas" w:hAnsi="Athelas"/>
          <w:noProof/>
          <w:color w:val="000000" w:themeColor="text1"/>
          <w:sz w:val="22"/>
          <w:szCs w:val="22"/>
        </w:rPr>
        <w:t xml:space="preserve">, </w:t>
      </w:r>
      <w:r w:rsidRPr="00957D98">
        <w:rPr>
          <w:rFonts w:ascii="Athelas" w:hAnsi="Athelas"/>
          <w:i/>
          <w:iCs/>
          <w:noProof/>
          <w:color w:val="000000" w:themeColor="text1"/>
          <w:sz w:val="22"/>
          <w:szCs w:val="22"/>
        </w:rPr>
        <w:t>9</w:t>
      </w:r>
      <w:r w:rsidRPr="00957D98">
        <w:rPr>
          <w:rFonts w:ascii="Athelas" w:hAnsi="Athelas"/>
          <w:noProof/>
          <w:color w:val="000000" w:themeColor="text1"/>
          <w:sz w:val="22"/>
          <w:szCs w:val="22"/>
        </w:rPr>
        <w:t>(2), 375. https://doi.org/10.18415/ijmmu.v9i2.3524</w:t>
      </w:r>
    </w:p>
    <w:p w14:paraId="4E893DF3"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Viona, J., &amp; Khairiyah. (2022). TRANSFORMATION OF GOVERNMENT MANAGEMENT BASED ON E-GOVERNMENT (Case Study: Padang City Government Constraints in the Implementation of e-Government). </w:t>
      </w:r>
      <w:r w:rsidRPr="00957D98">
        <w:rPr>
          <w:rFonts w:ascii="Athelas" w:hAnsi="Athelas"/>
          <w:i/>
          <w:iCs/>
          <w:noProof/>
          <w:color w:val="000000" w:themeColor="text1"/>
          <w:sz w:val="22"/>
          <w:szCs w:val="22"/>
        </w:rPr>
        <w:t>Jurnal Suara Politik</w:t>
      </w:r>
      <w:r w:rsidRPr="00957D98">
        <w:rPr>
          <w:rFonts w:ascii="Athelas" w:hAnsi="Athelas"/>
          <w:noProof/>
          <w:color w:val="000000" w:themeColor="text1"/>
          <w:sz w:val="22"/>
          <w:szCs w:val="22"/>
        </w:rPr>
        <w:t xml:space="preserve">, </w:t>
      </w:r>
      <w:r w:rsidRPr="00957D98">
        <w:rPr>
          <w:rFonts w:ascii="Athelas" w:hAnsi="Athelas"/>
          <w:i/>
          <w:iCs/>
          <w:noProof/>
          <w:color w:val="000000" w:themeColor="text1"/>
          <w:sz w:val="22"/>
          <w:szCs w:val="22"/>
        </w:rPr>
        <w:t>1</w:t>
      </w:r>
      <w:r w:rsidRPr="00957D98">
        <w:rPr>
          <w:rFonts w:ascii="Athelas" w:hAnsi="Athelas"/>
          <w:noProof/>
          <w:color w:val="000000" w:themeColor="text1"/>
          <w:sz w:val="22"/>
          <w:szCs w:val="22"/>
        </w:rPr>
        <w:t>(1), 22–28. www.kotapadang.gov</w:t>
      </w:r>
    </w:p>
    <w:p w14:paraId="021A6793"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Widianatasari, A. (2021). </w:t>
      </w:r>
      <w:r w:rsidRPr="00957D98">
        <w:rPr>
          <w:rFonts w:ascii="Athelas" w:hAnsi="Athelas"/>
          <w:i/>
          <w:iCs/>
          <w:noProof/>
          <w:color w:val="000000" w:themeColor="text1"/>
          <w:sz w:val="22"/>
          <w:szCs w:val="22"/>
        </w:rPr>
        <w:t>Pengaruh Kualitas Institusi , Government Size , Dan Foreign Direct Investment Terhadap Pertumbuhan</w:t>
      </w:r>
      <w:r w:rsidRPr="00957D98">
        <w:rPr>
          <w:rFonts w:ascii="Athelas" w:hAnsi="Athelas"/>
          <w:noProof/>
          <w:color w:val="000000" w:themeColor="text1"/>
          <w:sz w:val="22"/>
          <w:szCs w:val="22"/>
        </w:rPr>
        <w:t>.</w:t>
      </w:r>
    </w:p>
    <w:p w14:paraId="4A043324"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Widjanarko, W. (2021). Analisis Hubungan Good Governance Dan Pertumbuhan Ekonomi Indonesia 2013-2019. </w:t>
      </w:r>
      <w:r w:rsidRPr="00957D98">
        <w:rPr>
          <w:rFonts w:ascii="Athelas" w:hAnsi="Athelas"/>
          <w:i/>
          <w:iCs/>
          <w:noProof/>
          <w:color w:val="000000" w:themeColor="text1"/>
          <w:sz w:val="22"/>
          <w:szCs w:val="22"/>
        </w:rPr>
        <w:t>Jurnal Good Governance</w:t>
      </w:r>
      <w:r w:rsidRPr="00957D98">
        <w:rPr>
          <w:rFonts w:ascii="Athelas" w:hAnsi="Athelas"/>
          <w:noProof/>
          <w:color w:val="000000" w:themeColor="text1"/>
          <w:sz w:val="22"/>
          <w:szCs w:val="22"/>
        </w:rPr>
        <w:t xml:space="preserve">, </w:t>
      </w:r>
      <w:r w:rsidRPr="00957D98">
        <w:rPr>
          <w:rFonts w:ascii="Athelas" w:hAnsi="Athelas"/>
          <w:i/>
          <w:iCs/>
          <w:noProof/>
          <w:color w:val="000000" w:themeColor="text1"/>
          <w:sz w:val="22"/>
          <w:szCs w:val="22"/>
        </w:rPr>
        <w:t>17</w:t>
      </w:r>
      <w:r w:rsidRPr="00957D98">
        <w:rPr>
          <w:rFonts w:ascii="Athelas" w:hAnsi="Athelas"/>
          <w:noProof/>
          <w:color w:val="000000" w:themeColor="text1"/>
          <w:sz w:val="22"/>
          <w:szCs w:val="22"/>
        </w:rPr>
        <w:t>(2), 155–168. https://doi.org/10.32834/gg.v17i2.340</w:t>
      </w:r>
    </w:p>
    <w:p w14:paraId="1E2AC386"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Wijaya, J. H., Yunanto, S. E., Setyowati, Y., &amp; Supardal. (2022a). E-partisipasi Masyarakat dalam Pelaksanaan E-government di Indonesia Tahun 2003-2020. </w:t>
      </w:r>
      <w:r w:rsidRPr="00957D98">
        <w:rPr>
          <w:rFonts w:ascii="Athelas" w:hAnsi="Athelas"/>
          <w:i/>
          <w:iCs/>
          <w:noProof/>
          <w:color w:val="000000" w:themeColor="text1"/>
          <w:sz w:val="22"/>
          <w:szCs w:val="22"/>
        </w:rPr>
        <w:t>Jurnal Administrasi Pemerintahan Desa</w:t>
      </w:r>
      <w:r w:rsidRPr="00957D98">
        <w:rPr>
          <w:rFonts w:ascii="Athelas" w:hAnsi="Athelas"/>
          <w:noProof/>
          <w:color w:val="000000" w:themeColor="text1"/>
          <w:sz w:val="22"/>
          <w:szCs w:val="22"/>
        </w:rPr>
        <w:t xml:space="preserve">, </w:t>
      </w:r>
      <w:r w:rsidRPr="00957D98">
        <w:rPr>
          <w:rFonts w:ascii="Athelas" w:hAnsi="Athelas"/>
          <w:i/>
          <w:iCs/>
          <w:noProof/>
          <w:color w:val="000000" w:themeColor="text1"/>
          <w:sz w:val="22"/>
          <w:szCs w:val="22"/>
        </w:rPr>
        <w:t>3</w:t>
      </w:r>
      <w:r w:rsidRPr="00957D98">
        <w:rPr>
          <w:rFonts w:ascii="Athelas" w:hAnsi="Athelas"/>
          <w:noProof/>
          <w:color w:val="000000" w:themeColor="text1"/>
          <w:sz w:val="22"/>
          <w:szCs w:val="22"/>
        </w:rPr>
        <w:t>(1), 37–53. https://doi.org/10.47134/villages.v3i1.27</w:t>
      </w:r>
    </w:p>
    <w:p w14:paraId="699BB52F"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Wijaya, J. H., Yunanto, S. E., Setyowati, Y., &amp; Supardal, S. (2022b). E-partisipasi Masyarakat dalam Pelaksanaan E-government di Indonesia Tahun 2003-2020. </w:t>
      </w:r>
      <w:r w:rsidRPr="00957D98">
        <w:rPr>
          <w:rFonts w:ascii="Athelas" w:hAnsi="Athelas"/>
          <w:i/>
          <w:iCs/>
          <w:noProof/>
          <w:color w:val="000000" w:themeColor="text1"/>
          <w:sz w:val="22"/>
          <w:szCs w:val="22"/>
        </w:rPr>
        <w:t>Jurnal Administrasi Pemerintahan Desa</w:t>
      </w:r>
      <w:r w:rsidRPr="00957D98">
        <w:rPr>
          <w:rFonts w:ascii="Athelas" w:hAnsi="Athelas"/>
          <w:noProof/>
          <w:color w:val="000000" w:themeColor="text1"/>
          <w:sz w:val="22"/>
          <w:szCs w:val="22"/>
        </w:rPr>
        <w:t xml:space="preserve">, </w:t>
      </w:r>
      <w:r w:rsidRPr="00957D98">
        <w:rPr>
          <w:rFonts w:ascii="Athelas" w:hAnsi="Athelas"/>
          <w:i/>
          <w:iCs/>
          <w:noProof/>
          <w:color w:val="000000" w:themeColor="text1"/>
          <w:sz w:val="22"/>
          <w:szCs w:val="22"/>
        </w:rPr>
        <w:t>3</w:t>
      </w:r>
      <w:r w:rsidRPr="00957D98">
        <w:rPr>
          <w:rFonts w:ascii="Athelas" w:hAnsi="Athelas"/>
          <w:noProof/>
          <w:color w:val="000000" w:themeColor="text1"/>
          <w:sz w:val="22"/>
          <w:szCs w:val="22"/>
        </w:rPr>
        <w:t>(1), 37–53. https://doi.org/10.47134/villages.v3i1.27</w:t>
      </w:r>
    </w:p>
    <w:p w14:paraId="1582AD2F"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Wirawan, A., Foong, S. G. C., Win, Y. M., &amp; ... (2009). Bridging the knowledge gap in developing societies: a field study of Indonesia, Vietnam and Myanmar. </w:t>
      </w:r>
      <w:r w:rsidRPr="00957D98">
        <w:rPr>
          <w:rFonts w:ascii="Athelas" w:hAnsi="Athelas"/>
          <w:i/>
          <w:iCs/>
          <w:noProof/>
          <w:color w:val="000000" w:themeColor="text1"/>
          <w:sz w:val="22"/>
          <w:szCs w:val="22"/>
        </w:rPr>
        <w:t>The International Journal …</w:t>
      </w:r>
      <w:r w:rsidRPr="00957D98">
        <w:rPr>
          <w:rFonts w:ascii="Athelas" w:hAnsi="Athelas"/>
          <w:noProof/>
          <w:color w:val="000000" w:themeColor="text1"/>
          <w:sz w:val="22"/>
          <w:szCs w:val="22"/>
        </w:rPr>
        <w:t>, 1–38. https://papers.ssrn.com/sol3/papers.cfm?abstract_id=1344956</w:t>
      </w:r>
    </w:p>
    <w:p w14:paraId="513AA722"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lastRenderedPageBreak/>
        <w:t xml:space="preserve">Wirawan, V. (2020). Penerapan E-Government dalam Menyongsong Era Revolusi Industri 4.0 Kontemporer di Indonesia. </w:t>
      </w:r>
      <w:r w:rsidRPr="00957D98">
        <w:rPr>
          <w:rFonts w:ascii="Athelas" w:hAnsi="Athelas"/>
          <w:i/>
          <w:iCs/>
          <w:noProof/>
          <w:color w:val="000000" w:themeColor="text1"/>
          <w:sz w:val="22"/>
          <w:szCs w:val="22"/>
        </w:rPr>
        <w:t>Jurnal Penegakan Hukum Dan Keadilan</w:t>
      </w:r>
      <w:r w:rsidRPr="00957D98">
        <w:rPr>
          <w:rFonts w:ascii="Athelas" w:hAnsi="Athelas"/>
          <w:noProof/>
          <w:color w:val="000000" w:themeColor="text1"/>
          <w:sz w:val="22"/>
          <w:szCs w:val="22"/>
        </w:rPr>
        <w:t xml:space="preserve">, </w:t>
      </w:r>
      <w:r w:rsidRPr="00957D98">
        <w:rPr>
          <w:rFonts w:ascii="Athelas" w:hAnsi="Athelas"/>
          <w:i/>
          <w:iCs/>
          <w:noProof/>
          <w:color w:val="000000" w:themeColor="text1"/>
          <w:sz w:val="22"/>
          <w:szCs w:val="22"/>
        </w:rPr>
        <w:t>1</w:t>
      </w:r>
      <w:r w:rsidRPr="00957D98">
        <w:rPr>
          <w:rFonts w:ascii="Athelas" w:hAnsi="Athelas"/>
          <w:noProof/>
          <w:color w:val="000000" w:themeColor="text1"/>
          <w:sz w:val="22"/>
          <w:szCs w:val="22"/>
        </w:rPr>
        <w:t>(1), 1–16. https://doi.org/10.18196/jphk.1101</w:t>
      </w:r>
    </w:p>
    <w:p w14:paraId="522AB2FE" w14:textId="77777777" w:rsidR="00F42563" w:rsidRPr="00957D98" w:rsidRDefault="00F42563" w:rsidP="00957D98">
      <w:pPr>
        <w:widowControl w:val="0"/>
        <w:autoSpaceDE w:val="0"/>
        <w:autoSpaceDN w:val="0"/>
        <w:adjustRightInd w:val="0"/>
        <w:spacing w:before="240" w:after="240"/>
        <w:ind w:left="480" w:hanging="480"/>
        <w:jc w:val="both"/>
        <w:rPr>
          <w:rFonts w:ascii="Athelas" w:hAnsi="Athelas"/>
          <w:noProof/>
          <w:color w:val="000000" w:themeColor="text1"/>
          <w:sz w:val="22"/>
          <w:szCs w:val="22"/>
        </w:rPr>
      </w:pPr>
      <w:r w:rsidRPr="00957D98">
        <w:rPr>
          <w:rFonts w:ascii="Athelas" w:hAnsi="Athelas"/>
          <w:noProof/>
          <w:color w:val="000000" w:themeColor="text1"/>
          <w:sz w:val="22"/>
          <w:szCs w:val="22"/>
        </w:rPr>
        <w:t xml:space="preserve">Yusril Izha Mahendra, Marselina, Heru Wahyudi, &amp; Ukhti Ciptawati. (2022). Pengaruh Populasi Penduduk, FDI dan Control of Corruption terhadap Emisi CO2 di 9 Negara ASEAN. </w:t>
      </w:r>
      <w:r w:rsidRPr="00957D98">
        <w:rPr>
          <w:rFonts w:ascii="Athelas" w:hAnsi="Athelas"/>
          <w:i/>
          <w:iCs/>
          <w:noProof/>
          <w:color w:val="000000" w:themeColor="text1"/>
          <w:sz w:val="22"/>
          <w:szCs w:val="22"/>
        </w:rPr>
        <w:t>Jurnal Multidisiplin Madani (MUDIMA)</w:t>
      </w:r>
      <w:r w:rsidRPr="00957D98">
        <w:rPr>
          <w:rFonts w:ascii="Athelas" w:hAnsi="Athelas"/>
          <w:noProof/>
          <w:color w:val="000000" w:themeColor="text1"/>
          <w:sz w:val="22"/>
          <w:szCs w:val="22"/>
        </w:rPr>
        <w:t xml:space="preserve">, </w:t>
      </w:r>
      <w:r w:rsidRPr="00957D98">
        <w:rPr>
          <w:rFonts w:ascii="Athelas" w:hAnsi="Athelas"/>
          <w:i/>
          <w:iCs/>
          <w:noProof/>
          <w:color w:val="000000" w:themeColor="text1"/>
          <w:sz w:val="22"/>
          <w:szCs w:val="22"/>
        </w:rPr>
        <w:t>2</w:t>
      </w:r>
      <w:r w:rsidRPr="00957D98">
        <w:rPr>
          <w:rFonts w:ascii="Athelas" w:hAnsi="Athelas"/>
          <w:noProof/>
          <w:color w:val="000000" w:themeColor="text1"/>
          <w:sz w:val="22"/>
          <w:szCs w:val="22"/>
        </w:rPr>
        <w:t>(10), 3741–3753. https://doi.org/10.55927/mudima.v2i10.1462</w:t>
      </w:r>
    </w:p>
    <w:p w14:paraId="5D2AA0E4" w14:textId="204A7F54" w:rsidR="00A93AC8" w:rsidRPr="00957D98" w:rsidRDefault="00F42563" w:rsidP="00957D98">
      <w:pPr>
        <w:jc w:val="both"/>
        <w:rPr>
          <w:rFonts w:ascii="Athelas" w:hAnsi="Athelas"/>
          <w:color w:val="000000" w:themeColor="text1"/>
          <w:sz w:val="22"/>
          <w:szCs w:val="22"/>
        </w:rPr>
      </w:pPr>
      <w:r w:rsidRPr="00957D98">
        <w:rPr>
          <w:rFonts w:ascii="Athelas" w:hAnsi="Athelas"/>
          <w:color w:val="000000" w:themeColor="text1"/>
          <w:sz w:val="22"/>
          <w:szCs w:val="22"/>
        </w:rPr>
        <w:fldChar w:fldCharType="end"/>
      </w:r>
    </w:p>
    <w:p w14:paraId="6A3F68CD" w14:textId="77777777" w:rsidR="00A93AC8" w:rsidRPr="007F51BE" w:rsidRDefault="00A93AC8" w:rsidP="00556AA8">
      <w:pPr>
        <w:pStyle w:val="NoSpacing"/>
        <w:spacing w:line="283" w:lineRule="auto"/>
        <w:ind w:right="-1" w:firstLine="0"/>
        <w:rPr>
          <w:rFonts w:ascii="Athelas" w:hAnsi="Athelas"/>
          <w:b/>
          <w:color w:val="0070C0"/>
          <w:sz w:val="26"/>
          <w:szCs w:val="26"/>
          <w:lang w:val="id-ID"/>
        </w:rPr>
      </w:pPr>
    </w:p>
    <w:p w14:paraId="12C0EF00" w14:textId="77777777" w:rsidR="0040708F" w:rsidRDefault="0040708F" w:rsidP="0040708F">
      <w:pPr>
        <w:pStyle w:val="NoSpacing"/>
        <w:spacing w:line="276" w:lineRule="auto"/>
        <w:ind w:firstLine="0"/>
        <w:rPr>
          <w:rFonts w:ascii="Athelas" w:hAnsi="Athelas"/>
          <w:b/>
          <w:color w:val="2F5496" w:themeColor="accent1" w:themeShade="BF"/>
          <w:sz w:val="28"/>
          <w:szCs w:val="28"/>
          <w:lang w:val="id-ID"/>
        </w:rPr>
      </w:pPr>
      <w:r>
        <w:rPr>
          <w:rFonts w:ascii="Athelas" w:hAnsi="Athelas"/>
          <w:b/>
          <w:color w:val="2F5496" w:themeColor="accent1" w:themeShade="BF"/>
          <w:sz w:val="28"/>
          <w:szCs w:val="28"/>
          <w:lang w:val="id-ID"/>
        </w:rPr>
        <w:t>About the Authors</w:t>
      </w:r>
    </w:p>
    <w:p w14:paraId="698DF400" w14:textId="7D2E17ED" w:rsidR="00A85369" w:rsidRPr="0040708F" w:rsidRDefault="00A85369" w:rsidP="00957D98">
      <w:pPr>
        <w:pStyle w:val="NoSpacing"/>
        <w:spacing w:line="276" w:lineRule="auto"/>
        <w:ind w:firstLine="0"/>
        <w:rPr>
          <w:rFonts w:ascii="Athelas" w:hAnsi="Athelas"/>
          <w:b/>
          <w:color w:val="2F5496" w:themeColor="accent1" w:themeShade="BF"/>
          <w:sz w:val="28"/>
          <w:szCs w:val="28"/>
          <w:lang w:val="id-ID"/>
        </w:rPr>
      </w:pPr>
      <w:r>
        <w:rPr>
          <w:rFonts w:ascii="Athelas" w:hAnsi="Athelas"/>
          <w:b/>
          <w:bCs/>
          <w:szCs w:val="24"/>
          <w:lang w:val="id-ID" w:eastAsia="en-GB"/>
        </w:rPr>
        <w:t xml:space="preserve">Utami Nur </w:t>
      </w:r>
      <w:r w:rsidR="0040708F">
        <w:rPr>
          <w:rFonts w:ascii="Athelas" w:hAnsi="Athelas"/>
          <w:szCs w:val="24"/>
          <w:lang w:val="id-ID" w:eastAsia="en-GB"/>
        </w:rPr>
        <w:t>is a student in</w:t>
      </w:r>
      <w:r>
        <w:rPr>
          <w:rFonts w:ascii="Athelas" w:hAnsi="Athelas"/>
          <w:szCs w:val="24"/>
          <w:lang w:val="id-ID" w:eastAsia="en-GB"/>
        </w:rPr>
        <w:t xml:space="preserve"> Master of Government Affairs and Administration Universitas Muhammadiyah Yogyakarta,</w:t>
      </w:r>
      <w:r w:rsidR="0040708F">
        <w:rPr>
          <w:rFonts w:ascii="Athelas" w:hAnsi="Athelas"/>
          <w:szCs w:val="24"/>
          <w:lang w:val="id-ID" w:eastAsia="en-GB"/>
        </w:rPr>
        <w:t xml:space="preserve"> and s</w:t>
      </w:r>
      <w:r w:rsidR="0040708F" w:rsidRPr="0040708F">
        <w:rPr>
          <w:rFonts w:ascii="Athelas" w:hAnsi="Athelas"/>
          <w:szCs w:val="24"/>
          <w:lang w:val="id-ID" w:eastAsia="en-GB"/>
        </w:rPr>
        <w:t>he is a double degree student majoring in Master of Public Administration</w:t>
      </w:r>
      <w:r w:rsidR="0040708F">
        <w:rPr>
          <w:rFonts w:ascii="Athelas" w:hAnsi="Athelas"/>
          <w:szCs w:val="24"/>
          <w:lang w:val="id-ID" w:eastAsia="en-GB"/>
        </w:rPr>
        <w:t xml:space="preserve">, </w:t>
      </w:r>
      <w:r w:rsidR="0040708F" w:rsidRPr="0040708F">
        <w:rPr>
          <w:rFonts w:ascii="Athelas" w:hAnsi="Athelas"/>
          <w:szCs w:val="24"/>
          <w:lang w:val="id-ID" w:eastAsia="en-GB"/>
        </w:rPr>
        <w:t>Mindanao State University</w:t>
      </w:r>
      <w:r w:rsidR="0040708F">
        <w:rPr>
          <w:rFonts w:ascii="Athelas" w:hAnsi="Athelas"/>
          <w:szCs w:val="24"/>
          <w:lang w:val="id-ID" w:eastAsia="en-GB"/>
        </w:rPr>
        <w:t xml:space="preserve"> - </w:t>
      </w:r>
      <w:r w:rsidR="0040708F" w:rsidRPr="0040708F">
        <w:rPr>
          <w:rFonts w:ascii="Athelas" w:hAnsi="Athelas"/>
          <w:szCs w:val="24"/>
          <w:lang w:val="id-ID" w:eastAsia="en-GB"/>
        </w:rPr>
        <w:t>Iligan Institute</w:t>
      </w:r>
      <w:r w:rsidR="00145BE7">
        <w:rPr>
          <w:rFonts w:ascii="Athelas" w:hAnsi="Athelas"/>
          <w:szCs w:val="24"/>
          <w:lang w:val="id-ID" w:eastAsia="en-GB"/>
        </w:rPr>
        <w:t xml:space="preserve"> of</w:t>
      </w:r>
      <w:r w:rsidR="0040708F" w:rsidRPr="0040708F">
        <w:rPr>
          <w:rFonts w:ascii="Athelas" w:hAnsi="Athelas"/>
          <w:szCs w:val="24"/>
          <w:lang w:val="id-ID" w:eastAsia="en-GB"/>
        </w:rPr>
        <w:t xml:space="preserve"> Technology, Philippines. Her area of ​​research includes Public Administration, E-Government, and Public Policy</w:t>
      </w:r>
      <w:r w:rsidR="0040708F">
        <w:rPr>
          <w:rFonts w:ascii="Athelas" w:hAnsi="Athelas"/>
          <w:szCs w:val="24"/>
          <w:lang w:val="id-ID" w:eastAsia="en-GB"/>
        </w:rPr>
        <w:t xml:space="preserve">. </w:t>
      </w:r>
    </w:p>
    <w:p w14:paraId="36DBB5D1" w14:textId="520D5DF2" w:rsidR="00A85369" w:rsidRDefault="00A85369" w:rsidP="00957D98">
      <w:pPr>
        <w:pStyle w:val="NoSpacing"/>
        <w:spacing w:line="276" w:lineRule="auto"/>
        <w:ind w:right="-1" w:firstLine="0"/>
        <w:rPr>
          <w:rFonts w:ascii="Athelas" w:hAnsi="Athelas"/>
          <w:szCs w:val="24"/>
          <w:lang w:val="id-ID" w:eastAsia="en-GB"/>
        </w:rPr>
      </w:pPr>
      <w:r>
        <w:rPr>
          <w:rFonts w:ascii="Athelas" w:hAnsi="Athelas"/>
          <w:b/>
          <w:bCs/>
          <w:szCs w:val="24"/>
          <w:lang w:val="id-ID" w:eastAsia="en-GB"/>
        </w:rPr>
        <w:t xml:space="preserve">Achmad Nurmandi </w:t>
      </w:r>
      <w:r w:rsidR="0040708F" w:rsidRPr="0040708F">
        <w:rPr>
          <w:rFonts w:ascii="Athelas" w:hAnsi="Athelas"/>
          <w:lang w:val="id-ID"/>
        </w:rPr>
        <w:t>is a Professor and Lecturer in</w:t>
      </w:r>
      <w:r w:rsidR="0040708F">
        <w:rPr>
          <w:rFonts w:ascii="Athelas" w:hAnsi="Athelas"/>
          <w:lang w:val="id-ID"/>
        </w:rPr>
        <w:t xml:space="preserve"> Jusuf Kalla School of Government, </w:t>
      </w:r>
      <w:r w:rsidR="0040708F" w:rsidRPr="0040708F">
        <w:rPr>
          <w:rFonts w:ascii="Athelas" w:hAnsi="Athelas"/>
          <w:lang w:val="id-ID"/>
        </w:rPr>
        <w:t xml:space="preserve"> Department of Social and Political Sciences,</w:t>
      </w:r>
      <w:r w:rsidR="0040708F">
        <w:rPr>
          <w:rFonts w:ascii="Athelas" w:hAnsi="Athelas"/>
          <w:lang w:val="id-ID"/>
        </w:rPr>
        <w:t xml:space="preserve"> </w:t>
      </w:r>
      <w:r>
        <w:rPr>
          <w:rFonts w:ascii="Athelas" w:hAnsi="Athelas"/>
          <w:szCs w:val="24"/>
          <w:lang w:val="id-ID" w:eastAsia="en-GB"/>
        </w:rPr>
        <w:t>Universitas Muhammadiyah Yogyakarta. His area of research includes Public Adminitration, Government Affairs and Politics, Public Sector, E-Government, and Urban Governance.</w:t>
      </w:r>
    </w:p>
    <w:p w14:paraId="243F5448" w14:textId="21F10D75" w:rsidR="00F42563" w:rsidRPr="00A93AC8" w:rsidRDefault="00F42563" w:rsidP="00A93AC8">
      <w:pPr>
        <w:widowControl w:val="0"/>
        <w:autoSpaceDE w:val="0"/>
        <w:autoSpaceDN w:val="0"/>
        <w:adjustRightInd w:val="0"/>
        <w:spacing w:line="283" w:lineRule="auto"/>
        <w:ind w:left="480" w:hanging="480"/>
        <w:jc w:val="both"/>
        <w:rPr>
          <w:rFonts w:ascii="Athelas" w:hAnsi="Athelas"/>
          <w:lang w:val="id-ID"/>
        </w:rPr>
      </w:pPr>
    </w:p>
    <w:sectPr w:rsidR="00F42563" w:rsidRPr="00A93AC8" w:rsidSect="007938B9">
      <w:headerReference w:type="even" r:id="rId14"/>
      <w:headerReference w:type="default" r:id="rId15"/>
      <w:footerReference w:type="even" r:id="rId16"/>
      <w:footerReference w:type="default" r:id="rId17"/>
      <w:footerReference w:type="first" r:id="rId18"/>
      <w:endnotePr>
        <w:numFmt w:val="decimal"/>
      </w:endnotePr>
      <w:pgSz w:w="11906" w:h="16838" w:code="9"/>
      <w:pgMar w:top="1701" w:right="1701" w:bottom="1701"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47B7C" w14:textId="77777777" w:rsidR="00791658" w:rsidRDefault="00791658" w:rsidP="006F41E6">
      <w:r>
        <w:separator/>
      </w:r>
    </w:p>
  </w:endnote>
  <w:endnote w:type="continuationSeparator" w:id="0">
    <w:p w14:paraId="76FC0511" w14:textId="77777777" w:rsidR="00791658" w:rsidRDefault="00791658" w:rsidP="006F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Athelas">
    <w:altName w:val="Calibri"/>
    <w:charset w:val="4D"/>
    <w:family w:val="auto"/>
    <w:pitch w:val="variable"/>
    <w:sig w:usb0="A00000AF" w:usb1="5000205B" w:usb2="00000000" w:usb3="00000000" w:csb0="0000009B" w:csb1="00000000"/>
  </w:font>
  <w:font w:name="Dubai Medium">
    <w:panose1 w:val="020B0603030403030204"/>
    <w:charset w:val="00"/>
    <w:family w:val="swiss"/>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Baskerville">
    <w:altName w:val="Baskerville Old Face"/>
    <w:charset w:val="00"/>
    <w:family w:val="roman"/>
    <w:pitch w:val="variable"/>
    <w:sig w:usb0="80000067" w:usb1="02000000"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Franklin Gothic Book" w:hAnsi="Franklin Gothic Book"/>
        <w:b/>
        <w:bCs/>
        <w:sz w:val="24"/>
        <w:szCs w:val="22"/>
      </w:rPr>
      <w:id w:val="1949419509"/>
      <w:docPartObj>
        <w:docPartGallery w:val="Page Numbers (Bottom of Page)"/>
        <w:docPartUnique/>
      </w:docPartObj>
    </w:sdtPr>
    <w:sdtContent>
      <w:p w14:paraId="62D93B77" w14:textId="391FB3C9" w:rsidR="00840B2C" w:rsidRPr="00593EAB" w:rsidRDefault="00840B2C" w:rsidP="009C2718">
        <w:pPr>
          <w:pStyle w:val="HeaderJurnalyangakanterbit"/>
          <w:framePr w:wrap="none" w:vAnchor="text" w:hAnchor="margin" w:xAlign="outside" w:y="1"/>
          <w:jc w:val="left"/>
        </w:pPr>
        <w:r w:rsidRPr="005065D5">
          <w:rPr>
            <w:rStyle w:val="PageNumber"/>
            <w:rFonts w:ascii="Franklin Gothic Book" w:hAnsi="Franklin Gothic Book"/>
            <w:b/>
            <w:bCs/>
          </w:rPr>
          <w:fldChar w:fldCharType="begin"/>
        </w:r>
        <w:r w:rsidRPr="005065D5">
          <w:rPr>
            <w:rStyle w:val="PageNumber"/>
            <w:rFonts w:ascii="Franklin Gothic Book" w:hAnsi="Franklin Gothic Book"/>
            <w:b/>
            <w:bCs/>
          </w:rPr>
          <w:instrText xml:space="preserve"> PAGE </w:instrText>
        </w:r>
        <w:r w:rsidRPr="005065D5">
          <w:rPr>
            <w:rStyle w:val="PageNumber"/>
            <w:rFonts w:ascii="Franklin Gothic Book" w:hAnsi="Franklin Gothic Book"/>
            <w:b/>
            <w:bCs/>
          </w:rPr>
          <w:fldChar w:fldCharType="separate"/>
        </w:r>
        <w:r w:rsidR="004344B4">
          <w:rPr>
            <w:rStyle w:val="PageNumber"/>
            <w:rFonts w:ascii="Franklin Gothic Book" w:hAnsi="Franklin Gothic Book"/>
            <w:b/>
            <w:bCs/>
          </w:rPr>
          <w:t>2</w:t>
        </w:r>
        <w:r w:rsidRPr="005065D5">
          <w:rPr>
            <w:rStyle w:val="PageNumber"/>
            <w:rFonts w:ascii="Franklin Gothic Book" w:hAnsi="Franklin Gothic Book"/>
            <w:b/>
            <w:bCs/>
          </w:rPr>
          <w:fldChar w:fldCharType="end"/>
        </w:r>
        <w:r>
          <w:rPr>
            <w:rStyle w:val="PageNumber"/>
            <w:rFonts w:ascii="Franklin Gothic Book" w:hAnsi="Franklin Gothic Book"/>
            <w:b/>
            <w:bCs/>
          </w:rPr>
          <w:t xml:space="preserve">  </w:t>
        </w:r>
        <w:r>
          <w:rPr>
            <w:rStyle w:val="PageNumber"/>
            <w:rFonts w:ascii="Franklin Gothic Book" w:hAnsi="Franklin Gothic Book"/>
            <w:b/>
            <w:bCs/>
          </w:rPr>
          <w:sym w:font="Symbol" w:char="F0EA"/>
        </w:r>
        <w:r>
          <w:rPr>
            <w:rStyle w:val="PageNumber"/>
            <w:rFonts w:ascii="Franklin Gothic Book" w:hAnsi="Franklin Gothic Book"/>
            <w:b/>
            <w:bCs/>
          </w:rPr>
          <w:t xml:space="preserve"> </w:t>
        </w:r>
        <w:r>
          <w:t xml:space="preserve">POLITIKA: Jurnal Ilmu Politik </w:t>
        </w:r>
        <w:r w:rsidRPr="00593EAB">
          <w:t xml:space="preserve"> </w:t>
        </w:r>
        <w:r>
          <w:t>1</w:t>
        </w:r>
        <w:r w:rsidR="00194A1D">
          <w:rPr>
            <w:color w:val="FF0000"/>
          </w:rPr>
          <w:t>X</w:t>
        </w:r>
        <w:r w:rsidR="00194A1D" w:rsidRPr="00593EAB">
          <w:t xml:space="preserve"> </w:t>
        </w:r>
        <w:r w:rsidRPr="00593EAB">
          <w:t>(</w:t>
        </w:r>
        <w:r w:rsidR="00194A1D" w:rsidRPr="00194A1D">
          <w:rPr>
            <w:color w:val="FF0000"/>
          </w:rPr>
          <w:t>X</w:t>
        </w:r>
        <w:r w:rsidRPr="00593EAB">
          <w:t>), 20</w:t>
        </w:r>
        <w:r>
          <w:t>2</w:t>
        </w:r>
        <w:r w:rsidR="00194A1D">
          <w:rPr>
            <w:color w:val="FF0000"/>
          </w:rPr>
          <w:t>X</w:t>
        </w:r>
      </w:p>
      <w:p w14:paraId="43AB0B34" w14:textId="42CB3F90" w:rsidR="00840B2C" w:rsidRPr="005065D5" w:rsidRDefault="00000000" w:rsidP="002D0F26">
        <w:pPr>
          <w:pStyle w:val="Footer"/>
          <w:framePr w:wrap="none" w:vAnchor="text" w:hAnchor="margin" w:xAlign="outside" w:y="1"/>
          <w:ind w:firstLine="0"/>
          <w:rPr>
            <w:rStyle w:val="PageNumber"/>
            <w:rFonts w:ascii="Franklin Gothic Book" w:hAnsi="Franklin Gothic Book"/>
            <w:b/>
            <w:bCs/>
          </w:rPr>
        </w:pPr>
      </w:p>
    </w:sdtContent>
  </w:sdt>
  <w:p w14:paraId="13D9987E" w14:textId="77777777" w:rsidR="00840B2C" w:rsidRPr="006422C8" w:rsidRDefault="00840B2C" w:rsidP="002D0F26">
    <w:pPr>
      <w:pStyle w:val="Footer"/>
      <w:framePr w:wrap="none" w:vAnchor="text" w:hAnchor="margin" w:xAlign="outside" w:y="1"/>
      <w:ind w:right="360" w:firstLine="360"/>
      <w:rPr>
        <w:rStyle w:val="PageNumber"/>
        <w:rFonts w:ascii="Franklin Gothic Book" w:hAnsi="Franklin Gothic Book"/>
        <w:sz w:val="20"/>
        <w:szCs w:val="20"/>
      </w:rPr>
    </w:pPr>
  </w:p>
  <w:p w14:paraId="1DBBE202" w14:textId="77777777" w:rsidR="00840B2C" w:rsidRPr="006422C8" w:rsidRDefault="00840B2C" w:rsidP="002D0F26">
    <w:pPr>
      <w:pStyle w:val="Footer"/>
      <w:ind w:right="360" w:firstLine="0"/>
      <w:rPr>
        <w:rFonts w:ascii="Candara" w:hAnsi="Candar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87D7" w14:textId="77777777" w:rsidR="00840B2C" w:rsidRPr="004B55E4" w:rsidRDefault="00840B2C" w:rsidP="002D0F26">
    <w:pPr>
      <w:pStyle w:val="Footer"/>
      <w:framePr w:wrap="none" w:vAnchor="text" w:hAnchor="margin" w:xAlign="outside" w:y="1"/>
      <w:rPr>
        <w:rStyle w:val="PageNumber"/>
        <w:rFonts w:ascii="Franklin Gothic Medium" w:hAnsi="Franklin Gothic Medium"/>
        <w:sz w:val="20"/>
        <w:szCs w:val="20"/>
      </w:rPr>
    </w:pPr>
    <w:r w:rsidRPr="004B55E4">
      <w:rPr>
        <w:rStyle w:val="PageNumber"/>
        <w:rFonts w:ascii="Franklin Gothic Medium" w:hAnsi="Franklin Gothic Medium"/>
        <w:sz w:val="20"/>
        <w:szCs w:val="20"/>
      </w:rPr>
      <w:fldChar w:fldCharType="begin"/>
    </w:r>
    <w:r w:rsidRPr="004B55E4">
      <w:rPr>
        <w:rStyle w:val="PageNumber"/>
        <w:rFonts w:ascii="Franklin Gothic Medium" w:hAnsi="Franklin Gothic Medium"/>
        <w:sz w:val="20"/>
        <w:szCs w:val="20"/>
      </w:rPr>
      <w:instrText xml:space="preserve"> PAGE </w:instrText>
    </w:r>
    <w:r w:rsidRPr="004B55E4">
      <w:rPr>
        <w:rStyle w:val="PageNumber"/>
        <w:rFonts w:ascii="Franklin Gothic Medium" w:hAnsi="Franklin Gothic Medium"/>
        <w:sz w:val="20"/>
        <w:szCs w:val="20"/>
      </w:rPr>
      <w:fldChar w:fldCharType="separate"/>
    </w:r>
    <w:r w:rsidR="004344B4">
      <w:rPr>
        <w:rStyle w:val="PageNumber"/>
        <w:rFonts w:ascii="Franklin Gothic Medium" w:hAnsi="Franklin Gothic Medium"/>
        <w:sz w:val="20"/>
        <w:szCs w:val="20"/>
      </w:rPr>
      <w:t>11</w:t>
    </w:r>
    <w:r w:rsidRPr="004B55E4">
      <w:rPr>
        <w:rStyle w:val="PageNumber"/>
        <w:rFonts w:ascii="Franklin Gothic Medium" w:hAnsi="Franklin Gothic Medium"/>
        <w:sz w:val="20"/>
        <w:szCs w:val="20"/>
      </w:rPr>
      <w:fldChar w:fldCharType="end"/>
    </w:r>
  </w:p>
  <w:p w14:paraId="60850604" w14:textId="630E339A" w:rsidR="00840B2C" w:rsidRPr="009C2718" w:rsidRDefault="00840B2C" w:rsidP="009C2718">
    <w:pPr>
      <w:pStyle w:val="Header"/>
      <w:ind w:firstLine="4680"/>
      <w:rPr>
        <w:rFonts w:ascii="Franklin Gothic Medium Cond" w:hAnsi="Franklin Gothic Medium Cond"/>
        <w:b/>
        <w:bCs/>
        <w:sz w:val="20"/>
        <w:szCs w:val="20"/>
      </w:rPr>
    </w:pPr>
    <w:r>
      <w:rPr>
        <w:rFonts w:ascii="Franklin Gothic Medium Cond" w:hAnsi="Franklin Gothic Medium Cond"/>
        <w:sz w:val="20"/>
        <w:szCs w:val="20"/>
      </w:rPr>
      <w:t xml:space="preserve">      </w:t>
    </w:r>
    <w:r w:rsidRPr="009C2718">
      <w:rPr>
        <w:rFonts w:ascii="Franklin Gothic Medium Cond" w:hAnsi="Franklin Gothic Medium Cond"/>
        <w:sz w:val="20"/>
        <w:szCs w:val="20"/>
      </w:rPr>
      <w:t xml:space="preserve">POLITIKA: Jurnal Ilmu Politik  </w:t>
    </w:r>
    <w:r w:rsidR="00194A1D" w:rsidRPr="00194A1D">
      <w:rPr>
        <w:rFonts w:ascii="Franklin Gothic Medium Cond" w:hAnsi="Franklin Gothic Medium Cond"/>
        <w:color w:val="FF0000"/>
        <w:sz w:val="20"/>
        <w:szCs w:val="20"/>
      </w:rPr>
      <w:t>XX</w:t>
    </w:r>
    <w:r w:rsidR="00194A1D">
      <w:rPr>
        <w:rFonts w:ascii="Franklin Gothic Medium Cond" w:hAnsi="Franklin Gothic Medium Cond"/>
        <w:sz w:val="20"/>
        <w:szCs w:val="20"/>
      </w:rPr>
      <w:t xml:space="preserve"> </w:t>
    </w:r>
    <w:r w:rsidRPr="009C2718">
      <w:rPr>
        <w:rFonts w:ascii="Franklin Gothic Medium Cond" w:hAnsi="Franklin Gothic Medium Cond"/>
        <w:sz w:val="20"/>
        <w:szCs w:val="20"/>
      </w:rPr>
      <w:t>(</w:t>
    </w:r>
    <w:r w:rsidR="00194A1D" w:rsidRPr="00194A1D">
      <w:rPr>
        <w:rFonts w:ascii="Franklin Gothic Medium Cond" w:hAnsi="Franklin Gothic Medium Cond"/>
        <w:color w:val="FF0000"/>
        <w:sz w:val="20"/>
        <w:szCs w:val="20"/>
      </w:rPr>
      <w:t>X</w:t>
    </w:r>
    <w:r w:rsidRPr="009C2718">
      <w:rPr>
        <w:rFonts w:ascii="Franklin Gothic Medium Cond" w:hAnsi="Franklin Gothic Medium Cond"/>
        <w:sz w:val="20"/>
        <w:szCs w:val="20"/>
      </w:rPr>
      <w:t>), 2</w:t>
    </w:r>
    <w:r w:rsidR="007938B9">
      <w:rPr>
        <w:rFonts w:ascii="Franklin Gothic Medium Cond" w:hAnsi="Franklin Gothic Medium Cond"/>
        <w:sz w:val="20"/>
        <w:szCs w:val="20"/>
      </w:rPr>
      <w:t>02</w:t>
    </w:r>
    <w:r w:rsidR="00194A1D">
      <w:rPr>
        <w:rFonts w:ascii="Franklin Gothic Medium Cond" w:hAnsi="Franklin Gothic Medium Cond"/>
        <w:color w:val="FF0000"/>
        <w:sz w:val="20"/>
        <w:szCs w:val="20"/>
      </w:rPr>
      <w:t>X</w:t>
    </w:r>
    <w:r>
      <w:rPr>
        <w:rFonts w:ascii="Franklin Gothic Medium Cond" w:hAnsi="Franklin Gothic Medium Cond"/>
        <w:sz w:val="20"/>
        <w:szCs w:val="20"/>
      </w:rPr>
      <w:t xml:space="preserve">   </w:t>
    </w:r>
    <w:r w:rsidRPr="009C2718">
      <w:rPr>
        <w:rFonts w:ascii="Franklin Gothic Medium Cond" w:hAnsi="Franklin Gothic Medium Cond"/>
        <w:b/>
        <w:bCs/>
        <w:sz w:val="20"/>
        <w:szCs w:val="20"/>
      </w:rPr>
      <w:sym w:font="Symbol" w:char="F0EA"/>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AE65" w14:textId="77777777" w:rsidR="00840B2C" w:rsidRPr="00B42418" w:rsidRDefault="00840B2C" w:rsidP="009C2718">
    <w:pPr>
      <w:pStyle w:val="NoSpacing"/>
      <w:ind w:firstLine="0"/>
      <w:rPr>
        <w:rFonts w:ascii="Candara" w:hAnsi="Candara"/>
        <w:sz w:val="22"/>
        <w:lang w:val="id-ID"/>
      </w:rPr>
    </w:pPr>
    <w:bookmarkStart w:id="3" w:name="_Hlk523872978"/>
    <w:r w:rsidRPr="00B42418">
      <w:rPr>
        <w:rFonts w:ascii="Candara" w:hAnsi="Candara"/>
        <w:sz w:val="22"/>
        <w:lang w:val="id-ID"/>
      </w:rPr>
      <w:t>____________________</w:t>
    </w:r>
  </w:p>
  <w:p w14:paraId="27093594" w14:textId="77777777" w:rsidR="00194A1D" w:rsidRDefault="00840B2C" w:rsidP="009C2718">
    <w:pPr>
      <w:pStyle w:val="NoSpacing"/>
      <w:ind w:firstLine="0"/>
      <w:jc w:val="left"/>
      <w:rPr>
        <w:rFonts w:ascii="Candara" w:hAnsi="Candara"/>
        <w:b/>
        <w:color w:val="2F5496" w:themeColor="accent1" w:themeShade="BF"/>
        <w:sz w:val="20"/>
        <w:szCs w:val="20"/>
      </w:rPr>
    </w:pPr>
    <w:r w:rsidRPr="00C47C8B">
      <w:rPr>
        <w:rFonts w:ascii="Candara" w:hAnsi="Candara"/>
        <w:b/>
        <w:color w:val="2F5496" w:themeColor="accent1" w:themeShade="BF"/>
        <w:sz w:val="20"/>
        <w:szCs w:val="20"/>
        <w:lang w:val="id-ID"/>
      </w:rPr>
      <w:t>Korespodensi:</w:t>
    </w:r>
    <w:r w:rsidR="004B4CBB">
      <w:rPr>
        <w:rFonts w:ascii="Candara" w:hAnsi="Candara"/>
        <w:b/>
        <w:color w:val="2F5496" w:themeColor="accent1" w:themeShade="BF"/>
        <w:sz w:val="20"/>
        <w:szCs w:val="20"/>
      </w:rPr>
      <w:t xml:space="preserve"> </w:t>
    </w:r>
  </w:p>
  <w:bookmarkEnd w:id="3"/>
  <w:p w14:paraId="37A5A093" w14:textId="403CB517" w:rsidR="00840B2C" w:rsidRPr="00A80571" w:rsidRDefault="00A93AC8" w:rsidP="00A80571">
    <w:pPr>
      <w:jc w:val="both"/>
      <w:rPr>
        <w:rFonts w:ascii="Candara" w:hAnsi="Candara"/>
        <w:noProof/>
        <w:sz w:val="20"/>
        <w:szCs w:val="20"/>
        <w:lang w:val="en-US"/>
      </w:rPr>
    </w:pPr>
    <w:r>
      <w:rPr>
        <w:rFonts w:ascii="Candara" w:hAnsi="Candara"/>
        <w:noProof/>
        <w:sz w:val="20"/>
        <w:szCs w:val="20"/>
        <w:lang w:val="en-US"/>
      </w:rPr>
      <w:t>Nama lembaga, kemudian diikuti dengan alamat lengkap lembaga, diakhiri dengan kode pos.</w:t>
    </w:r>
  </w:p>
  <w:p w14:paraId="1EA3A0C1" w14:textId="799C8C11" w:rsidR="00840B2C" w:rsidRPr="00340A72" w:rsidRDefault="00840B2C" w:rsidP="000B39B8">
    <w:pPr>
      <w:rPr>
        <w:rFonts w:ascii="Candara" w:hAnsi="Candara"/>
        <w:noProof/>
        <w:sz w:val="20"/>
        <w:szCs w:val="20"/>
        <w:lang w:val="en-US"/>
      </w:rPr>
    </w:pPr>
    <w:r w:rsidRPr="00340A72">
      <w:rPr>
        <w:rFonts w:ascii="Candara" w:hAnsi="Candara"/>
        <w:noProof/>
        <w:sz w:val="20"/>
        <w:szCs w:val="20"/>
        <w:lang w:val="en-US"/>
      </w:rPr>
      <w:t>Email:</w:t>
    </w:r>
    <w:r w:rsidR="004B4CBB">
      <w:rPr>
        <w:rFonts w:ascii="Candara" w:hAnsi="Candara"/>
        <w:noProof/>
        <w:sz w:val="20"/>
        <w:szCs w:val="20"/>
        <w:lang w:val="en-US"/>
      </w:rPr>
      <w:t xml:space="preserve"> </w:t>
    </w:r>
    <w:r w:rsidR="00A93AC8">
      <w:rPr>
        <w:rFonts w:ascii="Candara" w:hAnsi="Candara"/>
        <w:noProof/>
        <w:sz w:val="20"/>
        <w:szCs w:val="20"/>
        <w:lang w:val="en-US"/>
      </w:rPr>
      <w:t>(cukup satu email saja, teruta yang menjadi penulis utama)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C6524" w14:textId="77777777" w:rsidR="00791658" w:rsidRDefault="00791658" w:rsidP="006F41E6">
      <w:r>
        <w:separator/>
      </w:r>
    </w:p>
  </w:footnote>
  <w:footnote w:type="continuationSeparator" w:id="0">
    <w:p w14:paraId="17095AB3" w14:textId="77777777" w:rsidR="00791658" w:rsidRDefault="00791658" w:rsidP="006F4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6129" w14:textId="76134179" w:rsidR="00840B2C" w:rsidRPr="009A30EB" w:rsidRDefault="00194A1D" w:rsidP="002D0F26">
    <w:pPr>
      <w:pStyle w:val="Header"/>
      <w:ind w:firstLine="0"/>
      <w:rPr>
        <w:rFonts w:ascii="Franklin Gothic Medium Cond" w:hAnsi="Franklin Gothic Medium Cond"/>
        <w:sz w:val="20"/>
        <w:szCs w:val="20"/>
      </w:rPr>
    </w:pPr>
    <w:r>
      <w:rPr>
        <w:rFonts w:ascii="Franklin Gothic Medium Cond" w:hAnsi="Franklin Gothic Medium Cond"/>
        <w:sz w:val="20"/>
        <w:szCs w:val="20"/>
      </w:rPr>
      <w:t>Tulis judul lengkap disini.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4439" w14:textId="0F5691DA" w:rsidR="00840B2C" w:rsidRPr="009A30EB" w:rsidRDefault="00194A1D" w:rsidP="009C2718">
    <w:pPr>
      <w:pStyle w:val="HeaderJurnalyangakanterbit"/>
    </w:pPr>
    <w:r>
      <w:t xml:space="preserve">Tulis nama penulis atau tim penulis lengkap disini.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3885"/>
    <w:multiLevelType w:val="hybridMultilevel"/>
    <w:tmpl w:val="30A216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6B853E5"/>
    <w:multiLevelType w:val="hybridMultilevel"/>
    <w:tmpl w:val="96B89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7471D"/>
    <w:multiLevelType w:val="hybridMultilevel"/>
    <w:tmpl w:val="C248F58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24AA3888"/>
    <w:multiLevelType w:val="hybridMultilevel"/>
    <w:tmpl w:val="D9DEBEE8"/>
    <w:lvl w:ilvl="0" w:tplc="93640ED2">
      <w:start w:val="1"/>
      <w:numFmt w:val="decimal"/>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4E722DEF"/>
    <w:multiLevelType w:val="hybridMultilevel"/>
    <w:tmpl w:val="C3F87822"/>
    <w:lvl w:ilvl="0" w:tplc="08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5E5F3BFF"/>
    <w:multiLevelType w:val="hybridMultilevel"/>
    <w:tmpl w:val="D8642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3F2B90"/>
    <w:multiLevelType w:val="multilevel"/>
    <w:tmpl w:val="F156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4A49FB"/>
    <w:multiLevelType w:val="hybridMultilevel"/>
    <w:tmpl w:val="A7888806"/>
    <w:lvl w:ilvl="0" w:tplc="08090005">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15:restartNumberingAfterBreak="0">
    <w:nsid w:val="7220733E"/>
    <w:multiLevelType w:val="multilevel"/>
    <w:tmpl w:val="B926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B911F4"/>
    <w:multiLevelType w:val="hybridMultilevel"/>
    <w:tmpl w:val="E0CEE9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863639047">
    <w:abstractNumId w:val="2"/>
  </w:num>
  <w:num w:numId="2" w16cid:durableId="852038273">
    <w:abstractNumId w:val="3"/>
  </w:num>
  <w:num w:numId="3" w16cid:durableId="1952515154">
    <w:abstractNumId w:val="9"/>
  </w:num>
  <w:num w:numId="4" w16cid:durableId="337998757">
    <w:abstractNumId w:val="4"/>
  </w:num>
  <w:num w:numId="5" w16cid:durableId="856887894">
    <w:abstractNumId w:val="6"/>
  </w:num>
  <w:num w:numId="6" w16cid:durableId="1902716915">
    <w:abstractNumId w:val="8"/>
  </w:num>
  <w:num w:numId="7" w16cid:durableId="445733530">
    <w:abstractNumId w:val="7"/>
  </w:num>
  <w:num w:numId="8" w16cid:durableId="1509103259">
    <w:abstractNumId w:val="1"/>
  </w:num>
  <w:num w:numId="9" w16cid:durableId="718092190">
    <w:abstractNumId w:val="0"/>
  </w:num>
  <w:num w:numId="10" w16cid:durableId="3222472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removePersonalInformation/>
  <w:removeDateAndTime/>
  <w:proofState w:spelling="clean" w:grammar="clean"/>
  <w:defaultTabStop w:val="720"/>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1E6"/>
    <w:rsid w:val="00013E9C"/>
    <w:rsid w:val="000274AD"/>
    <w:rsid w:val="0004321E"/>
    <w:rsid w:val="00051962"/>
    <w:rsid w:val="000538C9"/>
    <w:rsid w:val="00061EC6"/>
    <w:rsid w:val="00073612"/>
    <w:rsid w:val="0007790F"/>
    <w:rsid w:val="000877DC"/>
    <w:rsid w:val="000A050A"/>
    <w:rsid w:val="000B39B8"/>
    <w:rsid w:val="000C1A6A"/>
    <w:rsid w:val="000E6CFB"/>
    <w:rsid w:val="00100B98"/>
    <w:rsid w:val="001042B3"/>
    <w:rsid w:val="00110D43"/>
    <w:rsid w:val="00116C29"/>
    <w:rsid w:val="001312C2"/>
    <w:rsid w:val="00135280"/>
    <w:rsid w:val="00141728"/>
    <w:rsid w:val="00145BE7"/>
    <w:rsid w:val="00145E90"/>
    <w:rsid w:val="00151AD2"/>
    <w:rsid w:val="00156C03"/>
    <w:rsid w:val="00157621"/>
    <w:rsid w:val="001612BD"/>
    <w:rsid w:val="00176802"/>
    <w:rsid w:val="00185B05"/>
    <w:rsid w:val="00187714"/>
    <w:rsid w:val="00194A1D"/>
    <w:rsid w:val="001A39C3"/>
    <w:rsid w:val="001A4B2C"/>
    <w:rsid w:val="001B7052"/>
    <w:rsid w:val="001C1277"/>
    <w:rsid w:val="00207464"/>
    <w:rsid w:val="00212325"/>
    <w:rsid w:val="00217F43"/>
    <w:rsid w:val="00233D6C"/>
    <w:rsid w:val="00236FBB"/>
    <w:rsid w:val="00240761"/>
    <w:rsid w:val="00241BC6"/>
    <w:rsid w:val="0024739D"/>
    <w:rsid w:val="0025658B"/>
    <w:rsid w:val="00286008"/>
    <w:rsid w:val="00290A81"/>
    <w:rsid w:val="002A5B8F"/>
    <w:rsid w:val="002C0EA0"/>
    <w:rsid w:val="002C1B8D"/>
    <w:rsid w:val="002C653C"/>
    <w:rsid w:val="002D02CB"/>
    <w:rsid w:val="002D0F26"/>
    <w:rsid w:val="002D30E9"/>
    <w:rsid w:val="002F21A0"/>
    <w:rsid w:val="002F2BC3"/>
    <w:rsid w:val="002F54CE"/>
    <w:rsid w:val="00340A72"/>
    <w:rsid w:val="003649DD"/>
    <w:rsid w:val="00376546"/>
    <w:rsid w:val="00383ABC"/>
    <w:rsid w:val="00390301"/>
    <w:rsid w:val="003B5E28"/>
    <w:rsid w:val="003C07C6"/>
    <w:rsid w:val="003C23A9"/>
    <w:rsid w:val="003E793D"/>
    <w:rsid w:val="003F5A4B"/>
    <w:rsid w:val="0040708F"/>
    <w:rsid w:val="00422E2E"/>
    <w:rsid w:val="004340B0"/>
    <w:rsid w:val="004344B4"/>
    <w:rsid w:val="00450BB8"/>
    <w:rsid w:val="0045445A"/>
    <w:rsid w:val="00466310"/>
    <w:rsid w:val="00471F53"/>
    <w:rsid w:val="00487033"/>
    <w:rsid w:val="00487377"/>
    <w:rsid w:val="004B4CBB"/>
    <w:rsid w:val="004D3B7E"/>
    <w:rsid w:val="004F3B53"/>
    <w:rsid w:val="004F57A5"/>
    <w:rsid w:val="00501157"/>
    <w:rsid w:val="005065D5"/>
    <w:rsid w:val="0051145B"/>
    <w:rsid w:val="00521698"/>
    <w:rsid w:val="00524229"/>
    <w:rsid w:val="00530719"/>
    <w:rsid w:val="005432E1"/>
    <w:rsid w:val="00552CE9"/>
    <w:rsid w:val="00556AA8"/>
    <w:rsid w:val="00576C35"/>
    <w:rsid w:val="005A0DA5"/>
    <w:rsid w:val="005B30D1"/>
    <w:rsid w:val="005D0353"/>
    <w:rsid w:val="005D397C"/>
    <w:rsid w:val="005D4BEF"/>
    <w:rsid w:val="005F0363"/>
    <w:rsid w:val="00604872"/>
    <w:rsid w:val="00606D4C"/>
    <w:rsid w:val="00620D85"/>
    <w:rsid w:val="006253F7"/>
    <w:rsid w:val="006364ED"/>
    <w:rsid w:val="00645C4D"/>
    <w:rsid w:val="00655BED"/>
    <w:rsid w:val="006649D8"/>
    <w:rsid w:val="00697092"/>
    <w:rsid w:val="006A3662"/>
    <w:rsid w:val="006D2BC9"/>
    <w:rsid w:val="006E7B33"/>
    <w:rsid w:val="006F41E6"/>
    <w:rsid w:val="006F78D1"/>
    <w:rsid w:val="00712783"/>
    <w:rsid w:val="0071305B"/>
    <w:rsid w:val="00752743"/>
    <w:rsid w:val="00786AE5"/>
    <w:rsid w:val="00791658"/>
    <w:rsid w:val="007925CC"/>
    <w:rsid w:val="00792D4F"/>
    <w:rsid w:val="007938B9"/>
    <w:rsid w:val="007A2759"/>
    <w:rsid w:val="007C2D10"/>
    <w:rsid w:val="007D651A"/>
    <w:rsid w:val="007F0B11"/>
    <w:rsid w:val="007F437A"/>
    <w:rsid w:val="007F51BE"/>
    <w:rsid w:val="008272F0"/>
    <w:rsid w:val="00840B2C"/>
    <w:rsid w:val="008674CB"/>
    <w:rsid w:val="00885347"/>
    <w:rsid w:val="008A2299"/>
    <w:rsid w:val="008A4C0E"/>
    <w:rsid w:val="008C6723"/>
    <w:rsid w:val="008F0533"/>
    <w:rsid w:val="00934AFE"/>
    <w:rsid w:val="009370A8"/>
    <w:rsid w:val="0094062D"/>
    <w:rsid w:val="009577AA"/>
    <w:rsid w:val="00957D98"/>
    <w:rsid w:val="00960C38"/>
    <w:rsid w:val="00977ABF"/>
    <w:rsid w:val="009A0D80"/>
    <w:rsid w:val="009B4013"/>
    <w:rsid w:val="009B4179"/>
    <w:rsid w:val="009B7ECF"/>
    <w:rsid w:val="009C2718"/>
    <w:rsid w:val="009E0E48"/>
    <w:rsid w:val="009F3158"/>
    <w:rsid w:val="00A100B9"/>
    <w:rsid w:val="00A1365E"/>
    <w:rsid w:val="00A166EF"/>
    <w:rsid w:val="00A20007"/>
    <w:rsid w:val="00A26CEF"/>
    <w:rsid w:val="00A30C0E"/>
    <w:rsid w:val="00A45458"/>
    <w:rsid w:val="00A60711"/>
    <w:rsid w:val="00A716A5"/>
    <w:rsid w:val="00A80571"/>
    <w:rsid w:val="00A80F85"/>
    <w:rsid w:val="00A85369"/>
    <w:rsid w:val="00A87B76"/>
    <w:rsid w:val="00A93AC8"/>
    <w:rsid w:val="00AB01B5"/>
    <w:rsid w:val="00AB3A37"/>
    <w:rsid w:val="00AC038D"/>
    <w:rsid w:val="00AD3BE1"/>
    <w:rsid w:val="00B162A9"/>
    <w:rsid w:val="00B32D5D"/>
    <w:rsid w:val="00B47DAD"/>
    <w:rsid w:val="00B70B83"/>
    <w:rsid w:val="00B70F2E"/>
    <w:rsid w:val="00B84562"/>
    <w:rsid w:val="00BA419F"/>
    <w:rsid w:val="00BB0A50"/>
    <w:rsid w:val="00BB246E"/>
    <w:rsid w:val="00BB420A"/>
    <w:rsid w:val="00BB7E97"/>
    <w:rsid w:val="00BC0110"/>
    <w:rsid w:val="00BD2902"/>
    <w:rsid w:val="00BE459C"/>
    <w:rsid w:val="00C00BB8"/>
    <w:rsid w:val="00C43E66"/>
    <w:rsid w:val="00C47C8B"/>
    <w:rsid w:val="00C62412"/>
    <w:rsid w:val="00C83645"/>
    <w:rsid w:val="00CC3C2D"/>
    <w:rsid w:val="00CC732A"/>
    <w:rsid w:val="00CD4231"/>
    <w:rsid w:val="00D03628"/>
    <w:rsid w:val="00D046AD"/>
    <w:rsid w:val="00D20778"/>
    <w:rsid w:val="00D31110"/>
    <w:rsid w:val="00D44A04"/>
    <w:rsid w:val="00D76F01"/>
    <w:rsid w:val="00DB68A6"/>
    <w:rsid w:val="00DC7BE6"/>
    <w:rsid w:val="00DE16D2"/>
    <w:rsid w:val="00E113C6"/>
    <w:rsid w:val="00E24D37"/>
    <w:rsid w:val="00E261BA"/>
    <w:rsid w:val="00E313E6"/>
    <w:rsid w:val="00E44806"/>
    <w:rsid w:val="00E674F4"/>
    <w:rsid w:val="00EC0242"/>
    <w:rsid w:val="00EC1373"/>
    <w:rsid w:val="00ED6E91"/>
    <w:rsid w:val="00ED7578"/>
    <w:rsid w:val="00EF07D7"/>
    <w:rsid w:val="00EF5AAE"/>
    <w:rsid w:val="00F0255B"/>
    <w:rsid w:val="00F2032C"/>
    <w:rsid w:val="00F20799"/>
    <w:rsid w:val="00F25157"/>
    <w:rsid w:val="00F263AB"/>
    <w:rsid w:val="00F309BD"/>
    <w:rsid w:val="00F410AA"/>
    <w:rsid w:val="00F42563"/>
    <w:rsid w:val="00F834DA"/>
    <w:rsid w:val="00F83B86"/>
    <w:rsid w:val="00F9056B"/>
    <w:rsid w:val="00FA1580"/>
    <w:rsid w:val="00FB1DDC"/>
    <w:rsid w:val="00FE2A9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11A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1E6"/>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88534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85347"/>
    <w:pPr>
      <w:spacing w:before="100" w:beforeAutospacing="1" w:after="100" w:afterAutospacing="1"/>
      <w:outlineLvl w:val="1"/>
    </w:pPr>
    <w:rPr>
      <w:b/>
      <w:bCs/>
      <w:sz w:val="36"/>
      <w:szCs w:val="36"/>
      <w:lang w:val="en-US" w:eastAsia="en-US"/>
    </w:rPr>
  </w:style>
  <w:style w:type="paragraph" w:styleId="Heading3">
    <w:name w:val="heading 3"/>
    <w:basedOn w:val="Normal"/>
    <w:next w:val="Normal"/>
    <w:link w:val="Heading3Char"/>
    <w:uiPriority w:val="9"/>
    <w:semiHidden/>
    <w:unhideWhenUsed/>
    <w:qFormat/>
    <w:rsid w:val="00DB68A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41E6"/>
    <w:pPr>
      <w:ind w:firstLine="851"/>
      <w:jc w:val="both"/>
    </w:pPr>
    <w:rPr>
      <w:rFonts w:ascii="Times New Roman" w:eastAsia="Times New Roman" w:hAnsi="Times New Roman" w:cs="Times New Roman"/>
      <w:noProof/>
      <w:szCs w:val="22"/>
      <w:lang w:val="en-US"/>
    </w:rPr>
  </w:style>
  <w:style w:type="paragraph" w:customStyle="1" w:styleId="Default">
    <w:name w:val="Default"/>
    <w:rsid w:val="006F41E6"/>
    <w:pPr>
      <w:autoSpaceDE w:val="0"/>
      <w:autoSpaceDN w:val="0"/>
      <w:adjustRightInd w:val="0"/>
    </w:pPr>
    <w:rPr>
      <w:rFonts w:ascii="Times New Roman" w:eastAsia="Times New Roman" w:hAnsi="Times New Roman" w:cs="Times New Roman"/>
      <w:color w:val="000000"/>
      <w:lang w:val="en-US"/>
    </w:rPr>
  </w:style>
  <w:style w:type="paragraph" w:styleId="Header">
    <w:name w:val="header"/>
    <w:basedOn w:val="Normal"/>
    <w:link w:val="HeaderChar"/>
    <w:uiPriority w:val="99"/>
    <w:unhideWhenUsed/>
    <w:rsid w:val="006F41E6"/>
    <w:pPr>
      <w:tabs>
        <w:tab w:val="center" w:pos="4680"/>
        <w:tab w:val="right" w:pos="9360"/>
      </w:tabs>
      <w:ind w:firstLine="851"/>
      <w:jc w:val="both"/>
    </w:pPr>
    <w:rPr>
      <w:noProof/>
      <w:szCs w:val="22"/>
      <w:lang w:val="en-US" w:eastAsia="en-US"/>
    </w:rPr>
  </w:style>
  <w:style w:type="character" w:customStyle="1" w:styleId="HeaderChar">
    <w:name w:val="Header Char"/>
    <w:basedOn w:val="DefaultParagraphFont"/>
    <w:link w:val="Header"/>
    <w:uiPriority w:val="99"/>
    <w:rsid w:val="006F41E6"/>
    <w:rPr>
      <w:rFonts w:ascii="Times New Roman" w:eastAsia="Times New Roman" w:hAnsi="Times New Roman" w:cs="Times New Roman"/>
      <w:noProof/>
      <w:szCs w:val="22"/>
      <w:lang w:val="en-US"/>
    </w:rPr>
  </w:style>
  <w:style w:type="paragraph" w:styleId="Footer">
    <w:name w:val="footer"/>
    <w:basedOn w:val="Normal"/>
    <w:link w:val="FooterChar"/>
    <w:uiPriority w:val="99"/>
    <w:unhideWhenUsed/>
    <w:rsid w:val="006F41E6"/>
    <w:pPr>
      <w:tabs>
        <w:tab w:val="center" w:pos="4680"/>
        <w:tab w:val="right" w:pos="9360"/>
      </w:tabs>
      <w:ind w:firstLine="851"/>
      <w:jc w:val="both"/>
    </w:pPr>
    <w:rPr>
      <w:noProof/>
      <w:szCs w:val="22"/>
      <w:lang w:val="en-US" w:eastAsia="en-US"/>
    </w:rPr>
  </w:style>
  <w:style w:type="character" w:customStyle="1" w:styleId="FooterChar">
    <w:name w:val="Footer Char"/>
    <w:basedOn w:val="DefaultParagraphFont"/>
    <w:link w:val="Footer"/>
    <w:uiPriority w:val="99"/>
    <w:rsid w:val="006F41E6"/>
    <w:rPr>
      <w:rFonts w:ascii="Times New Roman" w:eastAsia="Times New Roman" w:hAnsi="Times New Roman" w:cs="Times New Roman"/>
      <w:noProof/>
      <w:szCs w:val="22"/>
      <w:lang w:val="en-US"/>
    </w:rPr>
  </w:style>
  <w:style w:type="character" w:styleId="PageNumber">
    <w:name w:val="page number"/>
    <w:basedOn w:val="DefaultParagraphFont"/>
    <w:uiPriority w:val="99"/>
    <w:semiHidden/>
    <w:unhideWhenUsed/>
    <w:rsid w:val="006F41E6"/>
    <w:rPr>
      <w:rFonts w:cs="Times New Roman"/>
    </w:rPr>
  </w:style>
  <w:style w:type="paragraph" w:customStyle="1" w:styleId="FormatPendahuluan">
    <w:name w:val="Format Pendahuluan"/>
    <w:basedOn w:val="NoSpacing"/>
    <w:qFormat/>
    <w:rsid w:val="006F41E6"/>
    <w:pPr>
      <w:ind w:firstLine="0"/>
    </w:pPr>
    <w:rPr>
      <w:rFonts w:ascii="Candara" w:hAnsi="Candara"/>
      <w:b/>
      <w:color w:val="ED7D31" w:themeColor="accent2"/>
      <w:sz w:val="26"/>
      <w:szCs w:val="26"/>
      <w:lang w:val="id-ID"/>
    </w:rPr>
  </w:style>
  <w:style w:type="paragraph" w:customStyle="1" w:styleId="HeaderJurnalyangakanterbit">
    <w:name w:val="Header Jurnal yang akan terbit"/>
    <w:basedOn w:val="Footer"/>
    <w:qFormat/>
    <w:rsid w:val="006F41E6"/>
    <w:pPr>
      <w:ind w:firstLine="0"/>
      <w:jc w:val="right"/>
    </w:pPr>
    <w:rPr>
      <w:rFonts w:ascii="Franklin Gothic Medium Cond" w:hAnsi="Franklin Gothic Medium Cond"/>
      <w:sz w:val="20"/>
      <w:szCs w:val="20"/>
    </w:rPr>
  </w:style>
  <w:style w:type="paragraph" w:styleId="ListParagraph">
    <w:name w:val="List Paragraph"/>
    <w:basedOn w:val="Normal"/>
    <w:link w:val="ListParagraphChar"/>
    <w:uiPriority w:val="34"/>
    <w:qFormat/>
    <w:rsid w:val="006F41E6"/>
    <w:pPr>
      <w:spacing w:after="200" w:line="276" w:lineRule="auto"/>
      <w:ind w:left="720"/>
      <w:contextualSpacing/>
    </w:pPr>
    <w:rPr>
      <w:rFonts w:ascii="Calibri" w:eastAsia="Calibri" w:hAnsi="Calibri"/>
      <w:sz w:val="22"/>
      <w:szCs w:val="22"/>
      <w:lang w:val="id-ID" w:eastAsia="en-US"/>
    </w:rPr>
  </w:style>
  <w:style w:type="table" w:styleId="TableGrid">
    <w:name w:val="Table Grid"/>
    <w:basedOn w:val="TableNormal"/>
    <w:uiPriority w:val="39"/>
    <w:rsid w:val="006F4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qFormat/>
    <w:rsid w:val="00013E9C"/>
    <w:rPr>
      <w:color w:val="0000FF"/>
      <w:u w:val="single"/>
    </w:rPr>
  </w:style>
  <w:style w:type="character" w:customStyle="1" w:styleId="ListParagraphChar">
    <w:name w:val="List Paragraph Char"/>
    <w:basedOn w:val="DefaultParagraphFont"/>
    <w:link w:val="ListParagraph"/>
    <w:uiPriority w:val="34"/>
    <w:rsid w:val="00013E9C"/>
    <w:rPr>
      <w:rFonts w:ascii="Calibri" w:eastAsia="Calibri" w:hAnsi="Calibri" w:cs="Times New Roman"/>
      <w:sz w:val="22"/>
      <w:szCs w:val="22"/>
      <w:lang w:val="id-ID"/>
    </w:rPr>
  </w:style>
  <w:style w:type="paragraph" w:customStyle="1" w:styleId="EndNoteBibliography">
    <w:name w:val="EndNote Bibliography"/>
    <w:basedOn w:val="Normal"/>
    <w:link w:val="EndNoteBibliographyChar"/>
    <w:rsid w:val="00013E9C"/>
    <w:pPr>
      <w:spacing w:after="160"/>
    </w:pPr>
    <w:rPr>
      <w:rFonts w:eastAsia="Calibri"/>
      <w:noProof/>
      <w:sz w:val="22"/>
      <w:szCs w:val="22"/>
      <w:lang w:val="en-US" w:eastAsia="en-US"/>
    </w:rPr>
  </w:style>
  <w:style w:type="character" w:customStyle="1" w:styleId="EndNoteBibliographyChar">
    <w:name w:val="EndNote Bibliography Char"/>
    <w:basedOn w:val="ListParagraphChar"/>
    <w:link w:val="EndNoteBibliography"/>
    <w:rsid w:val="00013E9C"/>
    <w:rPr>
      <w:rFonts w:ascii="Times New Roman" w:eastAsia="Calibri" w:hAnsi="Times New Roman" w:cs="Times New Roman"/>
      <w:noProof/>
      <w:sz w:val="22"/>
      <w:szCs w:val="22"/>
      <w:lang w:val="en-US"/>
    </w:rPr>
  </w:style>
  <w:style w:type="paragraph" w:styleId="BalloonText">
    <w:name w:val="Balloon Text"/>
    <w:basedOn w:val="Normal"/>
    <w:link w:val="BalloonTextChar"/>
    <w:uiPriority w:val="99"/>
    <w:semiHidden/>
    <w:unhideWhenUsed/>
    <w:rsid w:val="00EC0242"/>
    <w:rPr>
      <w:sz w:val="18"/>
      <w:szCs w:val="18"/>
    </w:rPr>
  </w:style>
  <w:style w:type="character" w:customStyle="1" w:styleId="BalloonTextChar">
    <w:name w:val="Balloon Text Char"/>
    <w:basedOn w:val="DefaultParagraphFont"/>
    <w:link w:val="BalloonText"/>
    <w:uiPriority w:val="99"/>
    <w:semiHidden/>
    <w:rsid w:val="00EC0242"/>
    <w:rPr>
      <w:rFonts w:ascii="Times New Roman" w:eastAsia="Times New Roman" w:hAnsi="Times New Roman" w:cs="Times New Roman"/>
      <w:sz w:val="18"/>
      <w:szCs w:val="18"/>
      <w:lang w:eastAsia="en-GB"/>
    </w:rPr>
  </w:style>
  <w:style w:type="character" w:customStyle="1" w:styleId="fontstyle01">
    <w:name w:val="fontstyle01"/>
    <w:basedOn w:val="DefaultParagraphFont"/>
    <w:rsid w:val="0071305B"/>
    <w:rPr>
      <w:rFonts w:ascii="TimesNewRomanPSMT" w:hAnsi="TimesNewRomanPSMT" w:hint="default"/>
      <w:b w:val="0"/>
      <w:bCs w:val="0"/>
      <w:i w:val="0"/>
      <w:iCs w:val="0"/>
      <w:color w:val="000000"/>
      <w:sz w:val="20"/>
      <w:szCs w:val="20"/>
    </w:rPr>
  </w:style>
  <w:style w:type="paragraph" w:styleId="FootnoteText">
    <w:name w:val="footnote text"/>
    <w:basedOn w:val="Normal"/>
    <w:link w:val="FootnoteTextChar"/>
    <w:semiHidden/>
    <w:unhideWhenUsed/>
    <w:rsid w:val="00207464"/>
    <w:rPr>
      <w:sz w:val="20"/>
      <w:szCs w:val="20"/>
      <w:lang w:val="en-US" w:eastAsia="en-US"/>
    </w:rPr>
  </w:style>
  <w:style w:type="character" w:customStyle="1" w:styleId="FootnoteTextChar">
    <w:name w:val="Footnote Text Char"/>
    <w:basedOn w:val="DefaultParagraphFont"/>
    <w:link w:val="FootnoteText"/>
    <w:semiHidden/>
    <w:rsid w:val="00207464"/>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655BED"/>
    <w:rPr>
      <w:sz w:val="16"/>
      <w:szCs w:val="16"/>
    </w:rPr>
  </w:style>
  <w:style w:type="paragraph" w:styleId="CommentText">
    <w:name w:val="annotation text"/>
    <w:basedOn w:val="Normal"/>
    <w:link w:val="CommentTextChar"/>
    <w:uiPriority w:val="99"/>
    <w:semiHidden/>
    <w:unhideWhenUsed/>
    <w:rsid w:val="00655BED"/>
    <w:rPr>
      <w:sz w:val="20"/>
      <w:szCs w:val="20"/>
    </w:rPr>
  </w:style>
  <w:style w:type="character" w:customStyle="1" w:styleId="CommentTextChar">
    <w:name w:val="Comment Text Char"/>
    <w:basedOn w:val="DefaultParagraphFont"/>
    <w:link w:val="CommentText"/>
    <w:uiPriority w:val="99"/>
    <w:semiHidden/>
    <w:rsid w:val="00655BE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55BED"/>
    <w:rPr>
      <w:b/>
      <w:bCs/>
    </w:rPr>
  </w:style>
  <w:style w:type="character" w:customStyle="1" w:styleId="CommentSubjectChar">
    <w:name w:val="Comment Subject Char"/>
    <w:basedOn w:val="CommentTextChar"/>
    <w:link w:val="CommentSubject"/>
    <w:uiPriority w:val="99"/>
    <w:semiHidden/>
    <w:rsid w:val="00655BED"/>
    <w:rPr>
      <w:rFonts w:ascii="Times New Roman" w:eastAsia="Times New Roman" w:hAnsi="Times New Roman" w:cs="Times New Roman"/>
      <w:b/>
      <w:bCs/>
      <w:sz w:val="20"/>
      <w:szCs w:val="20"/>
      <w:lang w:eastAsia="en-GB"/>
    </w:rPr>
  </w:style>
  <w:style w:type="table" w:styleId="PlainTable3">
    <w:name w:val="Plain Table 3"/>
    <w:basedOn w:val="TableNormal"/>
    <w:uiPriority w:val="43"/>
    <w:rsid w:val="002F54C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semiHidden/>
    <w:unhideWhenUsed/>
    <w:rsid w:val="000B39B8"/>
    <w:rPr>
      <w:color w:val="605E5C"/>
      <w:shd w:val="clear" w:color="auto" w:fill="E1DFDD"/>
    </w:rPr>
  </w:style>
  <w:style w:type="character" w:styleId="PlaceholderText">
    <w:name w:val="Placeholder Text"/>
    <w:basedOn w:val="DefaultParagraphFont"/>
    <w:uiPriority w:val="99"/>
    <w:semiHidden/>
    <w:rsid w:val="00840B2C"/>
    <w:rPr>
      <w:color w:val="808080"/>
    </w:rPr>
  </w:style>
  <w:style w:type="character" w:customStyle="1" w:styleId="issue-heading">
    <w:name w:val="issue-heading"/>
    <w:basedOn w:val="DefaultParagraphFont"/>
    <w:rsid w:val="00885347"/>
  </w:style>
  <w:style w:type="character" w:customStyle="1" w:styleId="apple-converted-space">
    <w:name w:val="apple-converted-space"/>
    <w:basedOn w:val="DefaultParagraphFont"/>
    <w:rsid w:val="00885347"/>
  </w:style>
  <w:style w:type="character" w:customStyle="1" w:styleId="hlfld-contribauthor">
    <w:name w:val="hlfld-contribauthor"/>
    <w:basedOn w:val="DefaultParagraphFont"/>
    <w:rsid w:val="00885347"/>
  </w:style>
  <w:style w:type="character" w:customStyle="1" w:styleId="nlmgiven-names">
    <w:name w:val="nlm_given-names"/>
    <w:basedOn w:val="DefaultParagraphFont"/>
    <w:rsid w:val="00885347"/>
  </w:style>
  <w:style w:type="character" w:customStyle="1" w:styleId="nlmyear">
    <w:name w:val="nlm_year"/>
    <w:basedOn w:val="DefaultParagraphFont"/>
    <w:rsid w:val="00885347"/>
  </w:style>
  <w:style w:type="character" w:customStyle="1" w:styleId="nlmpublisher-name">
    <w:name w:val="nlm_publisher-name"/>
    <w:basedOn w:val="DefaultParagraphFont"/>
    <w:rsid w:val="00885347"/>
  </w:style>
  <w:style w:type="character" w:customStyle="1" w:styleId="Heading2Char">
    <w:name w:val="Heading 2 Char"/>
    <w:basedOn w:val="DefaultParagraphFont"/>
    <w:link w:val="Heading2"/>
    <w:uiPriority w:val="9"/>
    <w:rsid w:val="00885347"/>
    <w:rPr>
      <w:rFonts w:ascii="Times New Roman" w:eastAsia="Times New Roman" w:hAnsi="Times New Roman" w:cs="Times New Roman"/>
      <w:b/>
      <w:bCs/>
      <w:sz w:val="36"/>
      <w:szCs w:val="36"/>
      <w:lang w:val="en-US"/>
    </w:rPr>
  </w:style>
  <w:style w:type="character" w:customStyle="1" w:styleId="separator">
    <w:name w:val="separator"/>
    <w:basedOn w:val="DefaultParagraphFont"/>
    <w:rsid w:val="00885347"/>
  </w:style>
  <w:style w:type="character" w:customStyle="1" w:styleId="nlmsource">
    <w:name w:val="nlm_source"/>
    <w:basedOn w:val="DefaultParagraphFont"/>
    <w:rsid w:val="00885347"/>
  </w:style>
  <w:style w:type="character" w:customStyle="1" w:styleId="off-screen">
    <w:name w:val="off-screen"/>
    <w:basedOn w:val="DefaultParagraphFont"/>
    <w:rsid w:val="00885347"/>
  </w:style>
  <w:style w:type="paragraph" w:customStyle="1" w:styleId="active">
    <w:name w:val="active"/>
    <w:basedOn w:val="Normal"/>
    <w:rsid w:val="00885347"/>
    <w:pPr>
      <w:spacing w:before="100" w:beforeAutospacing="1" w:after="100" w:afterAutospacing="1"/>
    </w:pPr>
    <w:rPr>
      <w:lang w:val="en-US" w:eastAsia="en-US"/>
    </w:rPr>
  </w:style>
  <w:style w:type="character" w:customStyle="1" w:styleId="hlfld-title">
    <w:name w:val="hlfld-title"/>
    <w:basedOn w:val="DefaultParagraphFont"/>
    <w:rsid w:val="00885347"/>
  </w:style>
  <w:style w:type="character" w:customStyle="1" w:styleId="maintextleft">
    <w:name w:val="maintextleft"/>
    <w:basedOn w:val="DefaultParagraphFont"/>
    <w:rsid w:val="00885347"/>
  </w:style>
  <w:style w:type="character" w:styleId="Strong">
    <w:name w:val="Strong"/>
    <w:basedOn w:val="DefaultParagraphFont"/>
    <w:uiPriority w:val="22"/>
    <w:qFormat/>
    <w:rsid w:val="00885347"/>
    <w:rPr>
      <w:b/>
      <w:bCs/>
    </w:rPr>
  </w:style>
  <w:style w:type="character" w:customStyle="1" w:styleId="Heading1Char">
    <w:name w:val="Heading 1 Char"/>
    <w:basedOn w:val="DefaultParagraphFont"/>
    <w:link w:val="Heading1"/>
    <w:uiPriority w:val="9"/>
    <w:rsid w:val="00885347"/>
    <w:rPr>
      <w:rFonts w:asciiTheme="majorHAnsi" w:eastAsiaTheme="majorEastAsia" w:hAnsiTheme="majorHAnsi" w:cstheme="majorBidi"/>
      <w:color w:val="2F5496" w:themeColor="accent1" w:themeShade="BF"/>
      <w:sz w:val="32"/>
      <w:szCs w:val="32"/>
      <w:lang w:eastAsia="en-GB"/>
    </w:rPr>
  </w:style>
  <w:style w:type="character" w:customStyle="1" w:styleId="title-text">
    <w:name w:val="title-text"/>
    <w:basedOn w:val="DefaultParagraphFont"/>
    <w:rsid w:val="00885347"/>
  </w:style>
  <w:style w:type="character" w:customStyle="1" w:styleId="sr-only">
    <w:name w:val="sr-only"/>
    <w:basedOn w:val="DefaultParagraphFont"/>
    <w:rsid w:val="00885347"/>
  </w:style>
  <w:style w:type="character" w:customStyle="1" w:styleId="text">
    <w:name w:val="text"/>
    <w:basedOn w:val="DefaultParagraphFont"/>
    <w:rsid w:val="00885347"/>
  </w:style>
  <w:style w:type="character" w:customStyle="1" w:styleId="Heading3Char">
    <w:name w:val="Heading 3 Char"/>
    <w:basedOn w:val="DefaultParagraphFont"/>
    <w:link w:val="Heading3"/>
    <w:uiPriority w:val="9"/>
    <w:semiHidden/>
    <w:rsid w:val="00DB68A6"/>
    <w:rPr>
      <w:rFonts w:asciiTheme="majorHAnsi" w:eastAsiaTheme="majorEastAsia" w:hAnsiTheme="majorHAnsi" w:cstheme="majorBidi"/>
      <w:color w:val="1F3763" w:themeColor="accent1" w:themeShade="7F"/>
      <w:lang w:eastAsia="en-GB"/>
    </w:rPr>
  </w:style>
  <w:style w:type="character" w:customStyle="1" w:styleId="NoSpacingChar">
    <w:name w:val="No Spacing Char"/>
    <w:basedOn w:val="DefaultParagraphFont"/>
    <w:link w:val="NoSpacing"/>
    <w:uiPriority w:val="1"/>
    <w:rsid w:val="00194A1D"/>
    <w:rPr>
      <w:rFonts w:ascii="Times New Roman" w:eastAsia="Times New Roman" w:hAnsi="Times New Roman" w:cs="Times New Roman"/>
      <w:noProof/>
      <w:szCs w:val="22"/>
      <w:lang w:val="en-US"/>
    </w:rPr>
  </w:style>
  <w:style w:type="paragraph" w:styleId="NormalWeb">
    <w:name w:val="Normal (Web)"/>
    <w:basedOn w:val="Normal"/>
    <w:uiPriority w:val="99"/>
    <w:unhideWhenUsed/>
    <w:rsid w:val="001612BD"/>
    <w:pPr>
      <w:spacing w:before="100" w:beforeAutospacing="1" w:after="100" w:afterAutospacing="1"/>
    </w:pPr>
    <w:rPr>
      <w:lang w:val="en-US" w:eastAsia="en-US"/>
    </w:rPr>
  </w:style>
  <w:style w:type="character" w:customStyle="1" w:styleId="y2iqfc">
    <w:name w:val="y2iqfc"/>
    <w:basedOn w:val="DefaultParagraphFont"/>
    <w:rsid w:val="00161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6900">
      <w:bodyDiv w:val="1"/>
      <w:marLeft w:val="0"/>
      <w:marRight w:val="0"/>
      <w:marTop w:val="0"/>
      <w:marBottom w:val="0"/>
      <w:divBdr>
        <w:top w:val="none" w:sz="0" w:space="0" w:color="auto"/>
        <w:left w:val="none" w:sz="0" w:space="0" w:color="auto"/>
        <w:bottom w:val="none" w:sz="0" w:space="0" w:color="auto"/>
        <w:right w:val="none" w:sz="0" w:space="0" w:color="auto"/>
      </w:divBdr>
      <w:divsChild>
        <w:div w:id="341980703">
          <w:marLeft w:val="90"/>
          <w:marRight w:val="90"/>
          <w:marTop w:val="0"/>
          <w:marBottom w:val="0"/>
          <w:divBdr>
            <w:top w:val="none" w:sz="0" w:space="0" w:color="auto"/>
            <w:left w:val="none" w:sz="0" w:space="0" w:color="auto"/>
            <w:bottom w:val="none" w:sz="0" w:space="0" w:color="auto"/>
            <w:right w:val="none" w:sz="0" w:space="0" w:color="auto"/>
          </w:divBdr>
          <w:divsChild>
            <w:div w:id="380831278">
              <w:marLeft w:val="0"/>
              <w:marRight w:val="0"/>
              <w:marTop w:val="0"/>
              <w:marBottom w:val="0"/>
              <w:divBdr>
                <w:top w:val="none" w:sz="0" w:space="0" w:color="auto"/>
                <w:left w:val="none" w:sz="0" w:space="0" w:color="auto"/>
                <w:bottom w:val="none" w:sz="0" w:space="0" w:color="auto"/>
                <w:right w:val="none" w:sz="0" w:space="0" w:color="auto"/>
              </w:divBdr>
              <w:divsChild>
                <w:div w:id="1761558553">
                  <w:marLeft w:val="0"/>
                  <w:marRight w:val="0"/>
                  <w:marTop w:val="0"/>
                  <w:marBottom w:val="0"/>
                  <w:divBdr>
                    <w:top w:val="none" w:sz="0" w:space="0" w:color="auto"/>
                    <w:left w:val="none" w:sz="0" w:space="0" w:color="auto"/>
                    <w:bottom w:val="none" w:sz="0" w:space="0" w:color="auto"/>
                    <w:right w:val="none" w:sz="0" w:space="0" w:color="auto"/>
                  </w:divBdr>
                  <w:divsChild>
                    <w:div w:id="1377461998">
                      <w:marLeft w:val="0"/>
                      <w:marRight w:val="0"/>
                      <w:marTop w:val="0"/>
                      <w:marBottom w:val="0"/>
                      <w:divBdr>
                        <w:top w:val="none" w:sz="0" w:space="0" w:color="auto"/>
                        <w:left w:val="none" w:sz="0" w:space="0" w:color="auto"/>
                        <w:bottom w:val="none" w:sz="0" w:space="0" w:color="auto"/>
                        <w:right w:val="none" w:sz="0" w:space="0" w:color="auto"/>
                      </w:divBdr>
                      <w:divsChild>
                        <w:div w:id="1421758338">
                          <w:marLeft w:val="0"/>
                          <w:marRight w:val="0"/>
                          <w:marTop w:val="0"/>
                          <w:marBottom w:val="0"/>
                          <w:divBdr>
                            <w:top w:val="none" w:sz="0" w:space="0" w:color="auto"/>
                            <w:left w:val="none" w:sz="0" w:space="0" w:color="auto"/>
                            <w:bottom w:val="none" w:sz="0" w:space="0" w:color="auto"/>
                            <w:right w:val="none" w:sz="0" w:space="0" w:color="auto"/>
                          </w:divBdr>
                          <w:divsChild>
                            <w:div w:id="427892580">
                              <w:marLeft w:val="0"/>
                              <w:marRight w:val="0"/>
                              <w:marTop w:val="0"/>
                              <w:marBottom w:val="0"/>
                              <w:divBdr>
                                <w:top w:val="none" w:sz="0" w:space="0" w:color="auto"/>
                                <w:left w:val="none" w:sz="0" w:space="0" w:color="auto"/>
                                <w:bottom w:val="none" w:sz="0" w:space="0" w:color="auto"/>
                                <w:right w:val="none" w:sz="0" w:space="0" w:color="auto"/>
                              </w:divBdr>
                              <w:divsChild>
                                <w:div w:id="1298994528">
                                  <w:marLeft w:val="0"/>
                                  <w:marRight w:val="0"/>
                                  <w:marTop w:val="0"/>
                                  <w:marBottom w:val="0"/>
                                  <w:divBdr>
                                    <w:top w:val="none" w:sz="0" w:space="0" w:color="auto"/>
                                    <w:left w:val="none" w:sz="0" w:space="0" w:color="auto"/>
                                    <w:bottom w:val="none" w:sz="0" w:space="0" w:color="auto"/>
                                    <w:right w:val="none" w:sz="0" w:space="0" w:color="auto"/>
                                  </w:divBdr>
                                  <w:divsChild>
                                    <w:div w:id="2073575851">
                                      <w:marLeft w:val="0"/>
                                      <w:marRight w:val="0"/>
                                      <w:marTop w:val="0"/>
                                      <w:marBottom w:val="0"/>
                                      <w:divBdr>
                                        <w:top w:val="none" w:sz="0" w:space="0" w:color="auto"/>
                                        <w:left w:val="none" w:sz="0" w:space="0" w:color="auto"/>
                                        <w:bottom w:val="none" w:sz="0" w:space="0" w:color="auto"/>
                                        <w:right w:val="none" w:sz="0" w:space="0" w:color="auto"/>
                                      </w:divBdr>
                                      <w:divsChild>
                                        <w:div w:id="457839564">
                                          <w:marLeft w:val="0"/>
                                          <w:marRight w:val="0"/>
                                          <w:marTop w:val="0"/>
                                          <w:marBottom w:val="0"/>
                                          <w:divBdr>
                                            <w:top w:val="none" w:sz="0" w:space="0" w:color="auto"/>
                                            <w:left w:val="none" w:sz="0" w:space="0" w:color="auto"/>
                                            <w:bottom w:val="none" w:sz="0" w:space="0" w:color="auto"/>
                                            <w:right w:val="none" w:sz="0" w:space="0" w:color="auto"/>
                                          </w:divBdr>
                                          <w:divsChild>
                                            <w:div w:id="19235680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3885">
          <w:marLeft w:val="90"/>
          <w:marRight w:val="90"/>
          <w:marTop w:val="0"/>
          <w:marBottom w:val="0"/>
          <w:divBdr>
            <w:top w:val="none" w:sz="0" w:space="0" w:color="auto"/>
            <w:left w:val="none" w:sz="0" w:space="0" w:color="auto"/>
            <w:bottom w:val="none" w:sz="0" w:space="0" w:color="auto"/>
            <w:right w:val="none" w:sz="0" w:space="0" w:color="auto"/>
          </w:divBdr>
          <w:divsChild>
            <w:div w:id="1132670213">
              <w:marLeft w:val="0"/>
              <w:marRight w:val="0"/>
              <w:marTop w:val="0"/>
              <w:marBottom w:val="0"/>
              <w:divBdr>
                <w:top w:val="none" w:sz="0" w:space="0" w:color="auto"/>
                <w:left w:val="none" w:sz="0" w:space="0" w:color="auto"/>
                <w:bottom w:val="none" w:sz="0" w:space="0" w:color="auto"/>
                <w:right w:val="none" w:sz="0" w:space="0" w:color="auto"/>
              </w:divBdr>
              <w:divsChild>
                <w:div w:id="505287090">
                  <w:marLeft w:val="0"/>
                  <w:marRight w:val="0"/>
                  <w:marTop w:val="0"/>
                  <w:marBottom w:val="0"/>
                  <w:divBdr>
                    <w:top w:val="none" w:sz="0" w:space="0" w:color="auto"/>
                    <w:left w:val="none" w:sz="0" w:space="0" w:color="auto"/>
                    <w:bottom w:val="none" w:sz="0" w:space="0" w:color="auto"/>
                    <w:right w:val="none" w:sz="0" w:space="0" w:color="auto"/>
                  </w:divBdr>
                  <w:divsChild>
                    <w:div w:id="118647236">
                      <w:marLeft w:val="0"/>
                      <w:marRight w:val="0"/>
                      <w:marTop w:val="0"/>
                      <w:marBottom w:val="0"/>
                      <w:divBdr>
                        <w:top w:val="none" w:sz="0" w:space="0" w:color="auto"/>
                        <w:left w:val="none" w:sz="0" w:space="0" w:color="auto"/>
                        <w:bottom w:val="none" w:sz="0" w:space="0" w:color="auto"/>
                        <w:right w:val="none" w:sz="0" w:space="0" w:color="auto"/>
                      </w:divBdr>
                      <w:divsChild>
                        <w:div w:id="464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6064">
                  <w:marLeft w:val="105"/>
                  <w:marRight w:val="105"/>
                  <w:marTop w:val="105"/>
                  <w:marBottom w:val="105"/>
                  <w:divBdr>
                    <w:top w:val="none" w:sz="0" w:space="0" w:color="auto"/>
                    <w:left w:val="none" w:sz="0" w:space="0" w:color="auto"/>
                    <w:bottom w:val="none" w:sz="0" w:space="0" w:color="auto"/>
                    <w:right w:val="none" w:sz="0" w:space="0" w:color="auto"/>
                  </w:divBdr>
                  <w:divsChild>
                    <w:div w:id="1767655884">
                      <w:marLeft w:val="0"/>
                      <w:marRight w:val="0"/>
                      <w:marTop w:val="0"/>
                      <w:marBottom w:val="0"/>
                      <w:divBdr>
                        <w:top w:val="none" w:sz="0" w:space="0" w:color="auto"/>
                        <w:left w:val="none" w:sz="0" w:space="0" w:color="auto"/>
                        <w:bottom w:val="none" w:sz="0" w:space="0" w:color="auto"/>
                        <w:right w:val="none" w:sz="0" w:space="0" w:color="auto"/>
                      </w:divBdr>
                    </w:div>
                  </w:divsChild>
                </w:div>
                <w:div w:id="1870946075">
                  <w:marLeft w:val="105"/>
                  <w:marRight w:val="105"/>
                  <w:marTop w:val="0"/>
                  <w:marBottom w:val="0"/>
                  <w:divBdr>
                    <w:top w:val="none" w:sz="0" w:space="0" w:color="auto"/>
                    <w:left w:val="none" w:sz="0" w:space="0" w:color="auto"/>
                    <w:bottom w:val="none" w:sz="0" w:space="0" w:color="auto"/>
                    <w:right w:val="none" w:sz="0" w:space="0" w:color="auto"/>
                  </w:divBdr>
                  <w:divsChild>
                    <w:div w:id="974216632">
                      <w:marLeft w:val="0"/>
                      <w:marRight w:val="0"/>
                      <w:marTop w:val="0"/>
                      <w:marBottom w:val="0"/>
                      <w:divBdr>
                        <w:top w:val="none" w:sz="0" w:space="0" w:color="auto"/>
                        <w:left w:val="none" w:sz="0" w:space="0" w:color="auto"/>
                        <w:bottom w:val="none" w:sz="0" w:space="0" w:color="auto"/>
                        <w:right w:val="none" w:sz="0" w:space="0" w:color="auto"/>
                      </w:divBdr>
                      <w:divsChild>
                        <w:div w:id="430050843">
                          <w:marLeft w:val="0"/>
                          <w:marRight w:val="0"/>
                          <w:marTop w:val="0"/>
                          <w:marBottom w:val="0"/>
                          <w:divBdr>
                            <w:top w:val="none" w:sz="0" w:space="0" w:color="auto"/>
                            <w:left w:val="none" w:sz="0" w:space="0" w:color="auto"/>
                            <w:bottom w:val="none" w:sz="0" w:space="0" w:color="auto"/>
                            <w:right w:val="none" w:sz="0" w:space="0" w:color="auto"/>
                          </w:divBdr>
                          <w:divsChild>
                            <w:div w:id="2094155383">
                              <w:marLeft w:val="0"/>
                              <w:marRight w:val="0"/>
                              <w:marTop w:val="0"/>
                              <w:marBottom w:val="0"/>
                              <w:divBdr>
                                <w:top w:val="none" w:sz="0" w:space="0" w:color="auto"/>
                                <w:left w:val="none" w:sz="0" w:space="0" w:color="auto"/>
                                <w:bottom w:val="none" w:sz="0" w:space="0" w:color="auto"/>
                                <w:right w:val="none" w:sz="0" w:space="0" w:color="auto"/>
                              </w:divBdr>
                              <w:divsChild>
                                <w:div w:id="131410396">
                                  <w:marLeft w:val="0"/>
                                  <w:marRight w:val="0"/>
                                  <w:marTop w:val="0"/>
                                  <w:marBottom w:val="0"/>
                                  <w:divBdr>
                                    <w:top w:val="none" w:sz="0" w:space="0" w:color="auto"/>
                                    <w:left w:val="none" w:sz="0" w:space="0" w:color="auto"/>
                                    <w:bottom w:val="none" w:sz="0" w:space="0" w:color="auto"/>
                                    <w:right w:val="none" w:sz="0" w:space="0" w:color="auto"/>
                                  </w:divBdr>
                                </w:div>
                              </w:divsChild>
                            </w:div>
                            <w:div w:id="76754554">
                              <w:marLeft w:val="0"/>
                              <w:marRight w:val="0"/>
                              <w:marTop w:val="0"/>
                              <w:marBottom w:val="0"/>
                              <w:divBdr>
                                <w:top w:val="none" w:sz="0" w:space="0" w:color="auto"/>
                                <w:left w:val="none" w:sz="0" w:space="0" w:color="auto"/>
                                <w:bottom w:val="none" w:sz="0" w:space="0" w:color="auto"/>
                                <w:right w:val="none" w:sz="0" w:space="0" w:color="auto"/>
                              </w:divBdr>
                              <w:divsChild>
                                <w:div w:id="1547986504">
                                  <w:marLeft w:val="0"/>
                                  <w:marRight w:val="0"/>
                                  <w:marTop w:val="0"/>
                                  <w:marBottom w:val="0"/>
                                  <w:divBdr>
                                    <w:top w:val="none" w:sz="0" w:space="0" w:color="auto"/>
                                    <w:left w:val="none" w:sz="0" w:space="0" w:color="auto"/>
                                    <w:bottom w:val="none" w:sz="0" w:space="0" w:color="auto"/>
                                    <w:right w:val="none" w:sz="0" w:space="0" w:color="auto"/>
                                  </w:divBdr>
                                  <w:divsChild>
                                    <w:div w:id="678385169">
                                      <w:marLeft w:val="0"/>
                                      <w:marRight w:val="0"/>
                                      <w:marTop w:val="0"/>
                                      <w:marBottom w:val="0"/>
                                      <w:divBdr>
                                        <w:top w:val="none" w:sz="0" w:space="0" w:color="auto"/>
                                        <w:left w:val="none" w:sz="0" w:space="0" w:color="auto"/>
                                        <w:bottom w:val="none" w:sz="0" w:space="0" w:color="auto"/>
                                        <w:right w:val="none" w:sz="0" w:space="0" w:color="auto"/>
                                      </w:divBdr>
                                      <w:divsChild>
                                        <w:div w:id="1642268046">
                                          <w:marLeft w:val="0"/>
                                          <w:marRight w:val="0"/>
                                          <w:marTop w:val="0"/>
                                          <w:marBottom w:val="0"/>
                                          <w:divBdr>
                                            <w:top w:val="none" w:sz="0" w:space="0" w:color="auto"/>
                                            <w:left w:val="none" w:sz="0" w:space="0" w:color="auto"/>
                                            <w:bottom w:val="none" w:sz="0" w:space="0" w:color="auto"/>
                                            <w:right w:val="none" w:sz="0" w:space="0" w:color="auto"/>
                                          </w:divBdr>
                                          <w:divsChild>
                                            <w:div w:id="911158237">
                                              <w:marLeft w:val="0"/>
                                              <w:marRight w:val="0"/>
                                              <w:marTop w:val="0"/>
                                              <w:marBottom w:val="0"/>
                                              <w:divBdr>
                                                <w:top w:val="none" w:sz="0" w:space="0" w:color="auto"/>
                                                <w:left w:val="none" w:sz="0" w:space="0" w:color="auto"/>
                                                <w:bottom w:val="none" w:sz="0" w:space="0" w:color="auto"/>
                                                <w:right w:val="none" w:sz="0" w:space="0" w:color="auto"/>
                                              </w:divBdr>
                                              <w:divsChild>
                                                <w:div w:id="472606098">
                                                  <w:marLeft w:val="0"/>
                                                  <w:marRight w:val="0"/>
                                                  <w:marTop w:val="0"/>
                                                  <w:marBottom w:val="0"/>
                                                  <w:divBdr>
                                                    <w:top w:val="none" w:sz="0" w:space="0" w:color="auto"/>
                                                    <w:left w:val="none" w:sz="0" w:space="0" w:color="auto"/>
                                                    <w:bottom w:val="none" w:sz="0" w:space="0" w:color="auto"/>
                                                    <w:right w:val="none" w:sz="0" w:space="0" w:color="auto"/>
                                                  </w:divBdr>
                                                  <w:divsChild>
                                                    <w:div w:id="1978610248">
                                                      <w:marLeft w:val="0"/>
                                                      <w:marRight w:val="0"/>
                                                      <w:marTop w:val="0"/>
                                                      <w:marBottom w:val="0"/>
                                                      <w:divBdr>
                                                        <w:top w:val="none" w:sz="0" w:space="0" w:color="auto"/>
                                                        <w:left w:val="none" w:sz="0" w:space="0" w:color="auto"/>
                                                        <w:bottom w:val="none" w:sz="0" w:space="0" w:color="auto"/>
                                                        <w:right w:val="none" w:sz="0" w:space="0" w:color="auto"/>
                                                      </w:divBdr>
                                                      <w:divsChild>
                                                        <w:div w:id="1075274832">
                                                          <w:marLeft w:val="0"/>
                                                          <w:marRight w:val="0"/>
                                                          <w:marTop w:val="0"/>
                                                          <w:marBottom w:val="0"/>
                                                          <w:divBdr>
                                                            <w:top w:val="none" w:sz="0" w:space="0" w:color="auto"/>
                                                            <w:left w:val="none" w:sz="0" w:space="0" w:color="auto"/>
                                                            <w:bottom w:val="none" w:sz="0" w:space="0" w:color="auto"/>
                                                            <w:right w:val="none" w:sz="0" w:space="0" w:color="auto"/>
                                                          </w:divBdr>
                                                          <w:divsChild>
                                                            <w:div w:id="1649478271">
                                                              <w:marLeft w:val="0"/>
                                                              <w:marRight w:val="0"/>
                                                              <w:marTop w:val="0"/>
                                                              <w:marBottom w:val="0"/>
                                                              <w:divBdr>
                                                                <w:top w:val="none" w:sz="0" w:space="0" w:color="auto"/>
                                                                <w:left w:val="none" w:sz="0" w:space="0" w:color="auto"/>
                                                                <w:bottom w:val="none" w:sz="0" w:space="0" w:color="auto"/>
                                                                <w:right w:val="none" w:sz="0" w:space="0" w:color="auto"/>
                                                              </w:divBdr>
                                                              <w:divsChild>
                                                                <w:div w:id="1845435059">
                                                                  <w:marLeft w:val="0"/>
                                                                  <w:marRight w:val="0"/>
                                                                  <w:marTop w:val="0"/>
                                                                  <w:marBottom w:val="0"/>
                                                                  <w:divBdr>
                                                                    <w:top w:val="none" w:sz="0" w:space="0" w:color="auto"/>
                                                                    <w:left w:val="none" w:sz="0" w:space="0" w:color="auto"/>
                                                                    <w:bottom w:val="none" w:sz="0" w:space="0" w:color="auto"/>
                                                                    <w:right w:val="none" w:sz="0" w:space="0" w:color="auto"/>
                                                                  </w:divBdr>
                                                                  <w:divsChild>
                                                                    <w:div w:id="1624339704">
                                                                      <w:marLeft w:val="0"/>
                                                                      <w:marRight w:val="0"/>
                                                                      <w:marTop w:val="0"/>
                                                                      <w:marBottom w:val="75"/>
                                                                      <w:divBdr>
                                                                        <w:top w:val="single" w:sz="36" w:space="6" w:color="10147E"/>
                                                                        <w:left w:val="none" w:sz="0" w:space="0" w:color="auto"/>
                                                                        <w:bottom w:val="none" w:sz="0" w:space="0" w:color="auto"/>
                                                                        <w:right w:val="none" w:sz="0" w:space="0" w:color="auto"/>
                                                                      </w:divBdr>
                                                                      <w:divsChild>
                                                                        <w:div w:id="125397429">
                                                                          <w:marLeft w:val="0"/>
                                                                          <w:marRight w:val="0"/>
                                                                          <w:marTop w:val="0"/>
                                                                          <w:marBottom w:val="75"/>
                                                                          <w:divBdr>
                                                                            <w:top w:val="none" w:sz="0" w:space="0" w:color="auto"/>
                                                                            <w:left w:val="none" w:sz="0" w:space="0" w:color="auto"/>
                                                                            <w:bottom w:val="single" w:sz="6" w:space="8" w:color="auto"/>
                                                                            <w:right w:val="none" w:sz="0" w:space="0" w:color="auto"/>
                                                                          </w:divBdr>
                                                                          <w:divsChild>
                                                                            <w:div w:id="1512379527">
                                                                              <w:marLeft w:val="0"/>
                                                                              <w:marRight w:val="0"/>
                                                                              <w:marTop w:val="0"/>
                                                                              <w:marBottom w:val="0"/>
                                                                              <w:divBdr>
                                                                                <w:top w:val="none" w:sz="0" w:space="0" w:color="auto"/>
                                                                                <w:left w:val="none" w:sz="0" w:space="0" w:color="auto"/>
                                                                                <w:bottom w:val="none" w:sz="0" w:space="0" w:color="auto"/>
                                                                                <w:right w:val="none" w:sz="0" w:space="0" w:color="auto"/>
                                                                              </w:divBdr>
                                                                            </w:div>
                                                                          </w:divsChild>
                                                                        </w:div>
                                                                        <w:div w:id="38363245">
                                                                          <w:marLeft w:val="0"/>
                                                                          <w:marRight w:val="0"/>
                                                                          <w:marTop w:val="0"/>
                                                                          <w:marBottom w:val="100"/>
                                                                          <w:divBdr>
                                                                            <w:top w:val="none" w:sz="0" w:space="0" w:color="auto"/>
                                                                            <w:left w:val="none" w:sz="0" w:space="0" w:color="auto"/>
                                                                            <w:bottom w:val="none" w:sz="0" w:space="0" w:color="auto"/>
                                                                            <w:right w:val="none" w:sz="0" w:space="0" w:color="auto"/>
                                                                          </w:divBdr>
                                                                          <w:divsChild>
                                                                            <w:div w:id="2116553019">
                                                                              <w:marLeft w:val="0"/>
                                                                              <w:marRight w:val="0"/>
                                                                              <w:marTop w:val="60"/>
                                                                              <w:marBottom w:val="0"/>
                                                                              <w:divBdr>
                                                                                <w:top w:val="none" w:sz="0" w:space="0" w:color="auto"/>
                                                                                <w:left w:val="none" w:sz="0" w:space="0" w:color="auto"/>
                                                                                <w:bottom w:val="none" w:sz="0" w:space="0" w:color="auto"/>
                                                                                <w:right w:val="none" w:sz="0" w:space="0" w:color="auto"/>
                                                                              </w:divBdr>
                                                                            </w:div>
                                                                            <w:div w:id="1425691317">
                                                                              <w:marLeft w:val="0"/>
                                                                              <w:marRight w:val="0"/>
                                                                              <w:marTop w:val="60"/>
                                                                              <w:marBottom w:val="0"/>
                                                                              <w:divBdr>
                                                                                <w:top w:val="none" w:sz="0" w:space="0" w:color="auto"/>
                                                                                <w:left w:val="none" w:sz="0" w:space="0" w:color="auto"/>
                                                                                <w:bottom w:val="none" w:sz="0" w:space="0" w:color="auto"/>
                                                                                <w:right w:val="none" w:sz="0" w:space="0" w:color="auto"/>
                                                                              </w:divBdr>
                                                                              <w:divsChild>
                                                                                <w:div w:id="5321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75460">
                                                                      <w:marLeft w:val="0"/>
                                                                      <w:marRight w:val="0"/>
                                                                      <w:marTop w:val="0"/>
                                                                      <w:marBottom w:val="75"/>
                                                                      <w:divBdr>
                                                                        <w:top w:val="single" w:sz="36" w:space="6" w:color="10147E"/>
                                                                        <w:left w:val="none" w:sz="0" w:space="0" w:color="auto"/>
                                                                        <w:bottom w:val="none" w:sz="0" w:space="0" w:color="auto"/>
                                                                        <w:right w:val="none" w:sz="0" w:space="0" w:color="auto"/>
                                                                      </w:divBdr>
                                                                      <w:divsChild>
                                                                        <w:div w:id="21907437">
                                                                          <w:marLeft w:val="0"/>
                                                                          <w:marRight w:val="0"/>
                                                                          <w:marTop w:val="0"/>
                                                                          <w:marBottom w:val="75"/>
                                                                          <w:divBdr>
                                                                            <w:top w:val="none" w:sz="0" w:space="0" w:color="auto"/>
                                                                            <w:left w:val="none" w:sz="0" w:space="0" w:color="auto"/>
                                                                            <w:bottom w:val="single" w:sz="6" w:space="8" w:color="auto"/>
                                                                            <w:right w:val="none" w:sz="0" w:space="0" w:color="auto"/>
                                                                          </w:divBdr>
                                                                          <w:divsChild>
                                                                            <w:div w:id="2091390724">
                                                                              <w:marLeft w:val="0"/>
                                                                              <w:marRight w:val="0"/>
                                                                              <w:marTop w:val="0"/>
                                                                              <w:marBottom w:val="0"/>
                                                                              <w:divBdr>
                                                                                <w:top w:val="none" w:sz="0" w:space="0" w:color="auto"/>
                                                                                <w:left w:val="none" w:sz="0" w:space="0" w:color="auto"/>
                                                                                <w:bottom w:val="none" w:sz="0" w:space="0" w:color="auto"/>
                                                                                <w:right w:val="none" w:sz="0" w:space="0" w:color="auto"/>
                                                                              </w:divBdr>
                                                                            </w:div>
                                                                          </w:divsChild>
                                                                        </w:div>
                                                                        <w:div w:id="1841121940">
                                                                          <w:marLeft w:val="0"/>
                                                                          <w:marRight w:val="0"/>
                                                                          <w:marTop w:val="0"/>
                                                                          <w:marBottom w:val="100"/>
                                                                          <w:divBdr>
                                                                            <w:top w:val="none" w:sz="0" w:space="0" w:color="auto"/>
                                                                            <w:left w:val="none" w:sz="0" w:space="0" w:color="auto"/>
                                                                            <w:bottom w:val="none" w:sz="0" w:space="0" w:color="auto"/>
                                                                            <w:right w:val="none" w:sz="0" w:space="0" w:color="auto"/>
                                                                          </w:divBdr>
                                                                          <w:divsChild>
                                                                            <w:div w:id="1901089861">
                                                                              <w:marLeft w:val="0"/>
                                                                              <w:marRight w:val="0"/>
                                                                              <w:marTop w:val="60"/>
                                                                              <w:marBottom w:val="0"/>
                                                                              <w:divBdr>
                                                                                <w:top w:val="none" w:sz="0" w:space="0" w:color="auto"/>
                                                                                <w:left w:val="none" w:sz="0" w:space="0" w:color="auto"/>
                                                                                <w:bottom w:val="none" w:sz="0" w:space="0" w:color="auto"/>
                                                                                <w:right w:val="none" w:sz="0" w:space="0" w:color="auto"/>
                                                                              </w:divBdr>
                                                                            </w:div>
                                                                            <w:div w:id="2043045981">
                                                                              <w:marLeft w:val="0"/>
                                                                              <w:marRight w:val="0"/>
                                                                              <w:marTop w:val="60"/>
                                                                              <w:marBottom w:val="0"/>
                                                                              <w:divBdr>
                                                                                <w:top w:val="none" w:sz="0" w:space="0" w:color="auto"/>
                                                                                <w:left w:val="none" w:sz="0" w:space="0" w:color="auto"/>
                                                                                <w:bottom w:val="none" w:sz="0" w:space="0" w:color="auto"/>
                                                                                <w:right w:val="none" w:sz="0" w:space="0" w:color="auto"/>
                                                                              </w:divBdr>
                                                                              <w:divsChild>
                                                                                <w:div w:id="18598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64391">
                                                                      <w:marLeft w:val="0"/>
                                                                      <w:marRight w:val="0"/>
                                                                      <w:marTop w:val="0"/>
                                                                      <w:marBottom w:val="75"/>
                                                                      <w:divBdr>
                                                                        <w:top w:val="single" w:sz="36" w:space="6" w:color="10147E"/>
                                                                        <w:left w:val="none" w:sz="0" w:space="0" w:color="auto"/>
                                                                        <w:bottom w:val="none" w:sz="0" w:space="0" w:color="auto"/>
                                                                        <w:right w:val="none" w:sz="0" w:space="0" w:color="auto"/>
                                                                      </w:divBdr>
                                                                      <w:divsChild>
                                                                        <w:div w:id="794787114">
                                                                          <w:marLeft w:val="0"/>
                                                                          <w:marRight w:val="0"/>
                                                                          <w:marTop w:val="0"/>
                                                                          <w:marBottom w:val="75"/>
                                                                          <w:divBdr>
                                                                            <w:top w:val="none" w:sz="0" w:space="0" w:color="auto"/>
                                                                            <w:left w:val="none" w:sz="0" w:space="0" w:color="auto"/>
                                                                            <w:bottom w:val="single" w:sz="6" w:space="8" w:color="auto"/>
                                                                            <w:right w:val="none" w:sz="0" w:space="0" w:color="auto"/>
                                                                          </w:divBdr>
                                                                          <w:divsChild>
                                                                            <w:div w:id="593513432">
                                                                              <w:marLeft w:val="0"/>
                                                                              <w:marRight w:val="0"/>
                                                                              <w:marTop w:val="0"/>
                                                                              <w:marBottom w:val="0"/>
                                                                              <w:divBdr>
                                                                                <w:top w:val="none" w:sz="0" w:space="0" w:color="auto"/>
                                                                                <w:left w:val="none" w:sz="0" w:space="0" w:color="auto"/>
                                                                                <w:bottom w:val="none" w:sz="0" w:space="0" w:color="auto"/>
                                                                                <w:right w:val="none" w:sz="0" w:space="0" w:color="auto"/>
                                                                              </w:divBdr>
                                                                            </w:div>
                                                                          </w:divsChild>
                                                                        </w:div>
                                                                        <w:div w:id="69350531">
                                                                          <w:marLeft w:val="0"/>
                                                                          <w:marRight w:val="0"/>
                                                                          <w:marTop w:val="0"/>
                                                                          <w:marBottom w:val="100"/>
                                                                          <w:divBdr>
                                                                            <w:top w:val="none" w:sz="0" w:space="0" w:color="auto"/>
                                                                            <w:left w:val="none" w:sz="0" w:space="0" w:color="auto"/>
                                                                            <w:bottom w:val="none" w:sz="0" w:space="0" w:color="auto"/>
                                                                            <w:right w:val="none" w:sz="0" w:space="0" w:color="auto"/>
                                                                          </w:divBdr>
                                                                          <w:divsChild>
                                                                            <w:div w:id="1367215683">
                                                                              <w:marLeft w:val="0"/>
                                                                              <w:marRight w:val="0"/>
                                                                              <w:marTop w:val="60"/>
                                                                              <w:marBottom w:val="0"/>
                                                                              <w:divBdr>
                                                                                <w:top w:val="none" w:sz="0" w:space="0" w:color="auto"/>
                                                                                <w:left w:val="none" w:sz="0" w:space="0" w:color="auto"/>
                                                                                <w:bottom w:val="none" w:sz="0" w:space="0" w:color="auto"/>
                                                                                <w:right w:val="none" w:sz="0" w:space="0" w:color="auto"/>
                                                                              </w:divBdr>
                                                                            </w:div>
                                                                            <w:div w:id="1023242315">
                                                                              <w:marLeft w:val="0"/>
                                                                              <w:marRight w:val="0"/>
                                                                              <w:marTop w:val="60"/>
                                                                              <w:marBottom w:val="0"/>
                                                                              <w:divBdr>
                                                                                <w:top w:val="none" w:sz="0" w:space="0" w:color="auto"/>
                                                                                <w:left w:val="none" w:sz="0" w:space="0" w:color="auto"/>
                                                                                <w:bottom w:val="none" w:sz="0" w:space="0" w:color="auto"/>
                                                                                <w:right w:val="none" w:sz="0" w:space="0" w:color="auto"/>
                                                                              </w:divBdr>
                                                                              <w:divsChild>
                                                                                <w:div w:id="92715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40043">
      <w:bodyDiv w:val="1"/>
      <w:marLeft w:val="0"/>
      <w:marRight w:val="0"/>
      <w:marTop w:val="0"/>
      <w:marBottom w:val="0"/>
      <w:divBdr>
        <w:top w:val="none" w:sz="0" w:space="0" w:color="auto"/>
        <w:left w:val="none" w:sz="0" w:space="0" w:color="auto"/>
        <w:bottom w:val="none" w:sz="0" w:space="0" w:color="auto"/>
        <w:right w:val="none" w:sz="0" w:space="0" w:color="auto"/>
      </w:divBdr>
    </w:div>
    <w:div w:id="126512479">
      <w:bodyDiv w:val="1"/>
      <w:marLeft w:val="0"/>
      <w:marRight w:val="0"/>
      <w:marTop w:val="0"/>
      <w:marBottom w:val="0"/>
      <w:divBdr>
        <w:top w:val="none" w:sz="0" w:space="0" w:color="auto"/>
        <w:left w:val="none" w:sz="0" w:space="0" w:color="auto"/>
        <w:bottom w:val="none" w:sz="0" w:space="0" w:color="auto"/>
        <w:right w:val="none" w:sz="0" w:space="0" w:color="auto"/>
      </w:divBdr>
    </w:div>
    <w:div w:id="157042563">
      <w:bodyDiv w:val="1"/>
      <w:marLeft w:val="0"/>
      <w:marRight w:val="0"/>
      <w:marTop w:val="0"/>
      <w:marBottom w:val="0"/>
      <w:divBdr>
        <w:top w:val="none" w:sz="0" w:space="0" w:color="auto"/>
        <w:left w:val="none" w:sz="0" w:space="0" w:color="auto"/>
        <w:bottom w:val="none" w:sz="0" w:space="0" w:color="auto"/>
        <w:right w:val="none" w:sz="0" w:space="0" w:color="auto"/>
      </w:divBdr>
      <w:divsChild>
        <w:div w:id="1287854929">
          <w:marLeft w:val="0"/>
          <w:marRight w:val="0"/>
          <w:marTop w:val="0"/>
          <w:marBottom w:val="120"/>
          <w:divBdr>
            <w:top w:val="none" w:sz="0" w:space="0" w:color="auto"/>
            <w:left w:val="none" w:sz="0" w:space="0" w:color="auto"/>
            <w:bottom w:val="none" w:sz="0" w:space="0" w:color="auto"/>
            <w:right w:val="none" w:sz="0" w:space="0" w:color="auto"/>
          </w:divBdr>
          <w:divsChild>
            <w:div w:id="1920286009">
              <w:marLeft w:val="0"/>
              <w:marRight w:val="0"/>
              <w:marTop w:val="0"/>
              <w:marBottom w:val="0"/>
              <w:divBdr>
                <w:top w:val="none" w:sz="0" w:space="0" w:color="auto"/>
                <w:left w:val="none" w:sz="0" w:space="0" w:color="auto"/>
                <w:bottom w:val="none" w:sz="0" w:space="0" w:color="auto"/>
                <w:right w:val="none" w:sz="0" w:space="0" w:color="auto"/>
              </w:divBdr>
              <w:divsChild>
                <w:div w:id="1560900212">
                  <w:marLeft w:val="0"/>
                  <w:marRight w:val="0"/>
                  <w:marTop w:val="0"/>
                  <w:marBottom w:val="0"/>
                  <w:divBdr>
                    <w:top w:val="none" w:sz="0" w:space="0" w:color="auto"/>
                    <w:left w:val="none" w:sz="0" w:space="0" w:color="auto"/>
                    <w:bottom w:val="none" w:sz="0" w:space="0" w:color="auto"/>
                    <w:right w:val="none" w:sz="0" w:space="0" w:color="auto"/>
                  </w:divBdr>
                  <w:divsChild>
                    <w:div w:id="19204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439384">
      <w:bodyDiv w:val="1"/>
      <w:marLeft w:val="0"/>
      <w:marRight w:val="0"/>
      <w:marTop w:val="0"/>
      <w:marBottom w:val="0"/>
      <w:divBdr>
        <w:top w:val="none" w:sz="0" w:space="0" w:color="auto"/>
        <w:left w:val="none" w:sz="0" w:space="0" w:color="auto"/>
        <w:bottom w:val="none" w:sz="0" w:space="0" w:color="auto"/>
        <w:right w:val="none" w:sz="0" w:space="0" w:color="auto"/>
      </w:divBdr>
    </w:div>
    <w:div w:id="673263103">
      <w:bodyDiv w:val="1"/>
      <w:marLeft w:val="0"/>
      <w:marRight w:val="0"/>
      <w:marTop w:val="0"/>
      <w:marBottom w:val="0"/>
      <w:divBdr>
        <w:top w:val="none" w:sz="0" w:space="0" w:color="auto"/>
        <w:left w:val="none" w:sz="0" w:space="0" w:color="auto"/>
        <w:bottom w:val="none" w:sz="0" w:space="0" w:color="auto"/>
        <w:right w:val="none" w:sz="0" w:space="0" w:color="auto"/>
      </w:divBdr>
    </w:div>
    <w:div w:id="730857479">
      <w:bodyDiv w:val="1"/>
      <w:marLeft w:val="0"/>
      <w:marRight w:val="0"/>
      <w:marTop w:val="0"/>
      <w:marBottom w:val="0"/>
      <w:divBdr>
        <w:top w:val="none" w:sz="0" w:space="0" w:color="auto"/>
        <w:left w:val="none" w:sz="0" w:space="0" w:color="auto"/>
        <w:bottom w:val="none" w:sz="0" w:space="0" w:color="auto"/>
        <w:right w:val="none" w:sz="0" w:space="0" w:color="auto"/>
      </w:divBdr>
    </w:div>
    <w:div w:id="805776577">
      <w:bodyDiv w:val="1"/>
      <w:marLeft w:val="0"/>
      <w:marRight w:val="0"/>
      <w:marTop w:val="0"/>
      <w:marBottom w:val="0"/>
      <w:divBdr>
        <w:top w:val="none" w:sz="0" w:space="0" w:color="auto"/>
        <w:left w:val="none" w:sz="0" w:space="0" w:color="auto"/>
        <w:bottom w:val="none" w:sz="0" w:space="0" w:color="auto"/>
        <w:right w:val="none" w:sz="0" w:space="0" w:color="auto"/>
      </w:divBdr>
    </w:div>
    <w:div w:id="916942567">
      <w:bodyDiv w:val="1"/>
      <w:marLeft w:val="0"/>
      <w:marRight w:val="0"/>
      <w:marTop w:val="0"/>
      <w:marBottom w:val="0"/>
      <w:divBdr>
        <w:top w:val="none" w:sz="0" w:space="0" w:color="auto"/>
        <w:left w:val="none" w:sz="0" w:space="0" w:color="auto"/>
        <w:bottom w:val="none" w:sz="0" w:space="0" w:color="auto"/>
        <w:right w:val="none" w:sz="0" w:space="0" w:color="auto"/>
      </w:divBdr>
      <w:divsChild>
        <w:div w:id="584723327">
          <w:marLeft w:val="0"/>
          <w:marRight w:val="0"/>
          <w:marTop w:val="0"/>
          <w:marBottom w:val="0"/>
          <w:divBdr>
            <w:top w:val="none" w:sz="0" w:space="0" w:color="auto"/>
            <w:left w:val="none" w:sz="0" w:space="0" w:color="auto"/>
            <w:bottom w:val="none" w:sz="0" w:space="0" w:color="auto"/>
            <w:right w:val="none" w:sz="0" w:space="0" w:color="auto"/>
          </w:divBdr>
        </w:div>
        <w:div w:id="712273102">
          <w:marLeft w:val="0"/>
          <w:marRight w:val="0"/>
          <w:marTop w:val="0"/>
          <w:marBottom w:val="0"/>
          <w:divBdr>
            <w:top w:val="none" w:sz="0" w:space="0" w:color="auto"/>
            <w:left w:val="none" w:sz="0" w:space="0" w:color="auto"/>
            <w:bottom w:val="none" w:sz="0" w:space="0" w:color="auto"/>
            <w:right w:val="none" w:sz="0" w:space="0" w:color="auto"/>
          </w:divBdr>
        </w:div>
        <w:div w:id="1038045897">
          <w:marLeft w:val="0"/>
          <w:marRight w:val="0"/>
          <w:marTop w:val="0"/>
          <w:marBottom w:val="0"/>
          <w:divBdr>
            <w:top w:val="none" w:sz="0" w:space="0" w:color="auto"/>
            <w:left w:val="none" w:sz="0" w:space="0" w:color="auto"/>
            <w:bottom w:val="none" w:sz="0" w:space="0" w:color="auto"/>
            <w:right w:val="none" w:sz="0" w:space="0" w:color="auto"/>
          </w:divBdr>
        </w:div>
        <w:div w:id="275214528">
          <w:marLeft w:val="0"/>
          <w:marRight w:val="0"/>
          <w:marTop w:val="0"/>
          <w:marBottom w:val="0"/>
          <w:divBdr>
            <w:top w:val="none" w:sz="0" w:space="0" w:color="auto"/>
            <w:left w:val="none" w:sz="0" w:space="0" w:color="auto"/>
            <w:bottom w:val="none" w:sz="0" w:space="0" w:color="auto"/>
            <w:right w:val="none" w:sz="0" w:space="0" w:color="auto"/>
          </w:divBdr>
        </w:div>
        <w:div w:id="293566133">
          <w:marLeft w:val="0"/>
          <w:marRight w:val="0"/>
          <w:marTop w:val="0"/>
          <w:marBottom w:val="0"/>
          <w:divBdr>
            <w:top w:val="none" w:sz="0" w:space="0" w:color="auto"/>
            <w:left w:val="none" w:sz="0" w:space="0" w:color="auto"/>
            <w:bottom w:val="none" w:sz="0" w:space="0" w:color="auto"/>
            <w:right w:val="none" w:sz="0" w:space="0" w:color="auto"/>
          </w:divBdr>
        </w:div>
      </w:divsChild>
    </w:div>
    <w:div w:id="926887284">
      <w:bodyDiv w:val="1"/>
      <w:marLeft w:val="0"/>
      <w:marRight w:val="0"/>
      <w:marTop w:val="0"/>
      <w:marBottom w:val="0"/>
      <w:divBdr>
        <w:top w:val="none" w:sz="0" w:space="0" w:color="auto"/>
        <w:left w:val="none" w:sz="0" w:space="0" w:color="auto"/>
        <w:bottom w:val="none" w:sz="0" w:space="0" w:color="auto"/>
        <w:right w:val="none" w:sz="0" w:space="0" w:color="auto"/>
      </w:divBdr>
    </w:div>
    <w:div w:id="1137989938">
      <w:bodyDiv w:val="1"/>
      <w:marLeft w:val="0"/>
      <w:marRight w:val="0"/>
      <w:marTop w:val="0"/>
      <w:marBottom w:val="0"/>
      <w:divBdr>
        <w:top w:val="none" w:sz="0" w:space="0" w:color="auto"/>
        <w:left w:val="none" w:sz="0" w:space="0" w:color="auto"/>
        <w:bottom w:val="none" w:sz="0" w:space="0" w:color="auto"/>
        <w:right w:val="none" w:sz="0" w:space="0" w:color="auto"/>
      </w:divBdr>
    </w:div>
    <w:div w:id="1292596928">
      <w:bodyDiv w:val="1"/>
      <w:marLeft w:val="0"/>
      <w:marRight w:val="0"/>
      <w:marTop w:val="0"/>
      <w:marBottom w:val="0"/>
      <w:divBdr>
        <w:top w:val="none" w:sz="0" w:space="0" w:color="auto"/>
        <w:left w:val="none" w:sz="0" w:space="0" w:color="auto"/>
        <w:bottom w:val="none" w:sz="0" w:space="0" w:color="auto"/>
        <w:right w:val="none" w:sz="0" w:space="0" w:color="auto"/>
      </w:divBdr>
    </w:div>
    <w:div w:id="1359504973">
      <w:bodyDiv w:val="1"/>
      <w:marLeft w:val="0"/>
      <w:marRight w:val="0"/>
      <w:marTop w:val="0"/>
      <w:marBottom w:val="0"/>
      <w:divBdr>
        <w:top w:val="none" w:sz="0" w:space="0" w:color="auto"/>
        <w:left w:val="none" w:sz="0" w:space="0" w:color="auto"/>
        <w:bottom w:val="none" w:sz="0" w:space="0" w:color="auto"/>
        <w:right w:val="none" w:sz="0" w:space="0" w:color="auto"/>
      </w:divBdr>
    </w:div>
    <w:div w:id="1398360167">
      <w:bodyDiv w:val="1"/>
      <w:marLeft w:val="0"/>
      <w:marRight w:val="0"/>
      <w:marTop w:val="0"/>
      <w:marBottom w:val="0"/>
      <w:divBdr>
        <w:top w:val="none" w:sz="0" w:space="0" w:color="auto"/>
        <w:left w:val="none" w:sz="0" w:space="0" w:color="auto"/>
        <w:bottom w:val="none" w:sz="0" w:space="0" w:color="auto"/>
        <w:right w:val="none" w:sz="0" w:space="0" w:color="auto"/>
      </w:divBdr>
    </w:div>
    <w:div w:id="1403672650">
      <w:bodyDiv w:val="1"/>
      <w:marLeft w:val="0"/>
      <w:marRight w:val="0"/>
      <w:marTop w:val="0"/>
      <w:marBottom w:val="0"/>
      <w:divBdr>
        <w:top w:val="none" w:sz="0" w:space="0" w:color="auto"/>
        <w:left w:val="none" w:sz="0" w:space="0" w:color="auto"/>
        <w:bottom w:val="none" w:sz="0" w:space="0" w:color="auto"/>
        <w:right w:val="none" w:sz="0" w:space="0" w:color="auto"/>
      </w:divBdr>
      <w:divsChild>
        <w:div w:id="1353149133">
          <w:marLeft w:val="0"/>
          <w:marRight w:val="0"/>
          <w:marTop w:val="100"/>
          <w:marBottom w:val="100"/>
          <w:divBdr>
            <w:top w:val="none" w:sz="0" w:space="0" w:color="auto"/>
            <w:left w:val="none" w:sz="0" w:space="0" w:color="auto"/>
            <w:bottom w:val="none" w:sz="0" w:space="0" w:color="auto"/>
            <w:right w:val="none" w:sz="0" w:space="0" w:color="auto"/>
          </w:divBdr>
          <w:divsChild>
            <w:div w:id="443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2319">
      <w:bodyDiv w:val="1"/>
      <w:marLeft w:val="0"/>
      <w:marRight w:val="0"/>
      <w:marTop w:val="0"/>
      <w:marBottom w:val="0"/>
      <w:divBdr>
        <w:top w:val="none" w:sz="0" w:space="0" w:color="auto"/>
        <w:left w:val="none" w:sz="0" w:space="0" w:color="auto"/>
        <w:bottom w:val="none" w:sz="0" w:space="0" w:color="auto"/>
        <w:right w:val="none" w:sz="0" w:space="0" w:color="auto"/>
      </w:divBdr>
    </w:div>
    <w:div w:id="1527789365">
      <w:bodyDiv w:val="1"/>
      <w:marLeft w:val="0"/>
      <w:marRight w:val="0"/>
      <w:marTop w:val="0"/>
      <w:marBottom w:val="0"/>
      <w:divBdr>
        <w:top w:val="none" w:sz="0" w:space="0" w:color="auto"/>
        <w:left w:val="none" w:sz="0" w:space="0" w:color="auto"/>
        <w:bottom w:val="none" w:sz="0" w:space="0" w:color="auto"/>
        <w:right w:val="none" w:sz="0" w:space="0" w:color="auto"/>
      </w:divBdr>
    </w:div>
    <w:div w:id="1604876853">
      <w:bodyDiv w:val="1"/>
      <w:marLeft w:val="0"/>
      <w:marRight w:val="0"/>
      <w:marTop w:val="0"/>
      <w:marBottom w:val="0"/>
      <w:divBdr>
        <w:top w:val="none" w:sz="0" w:space="0" w:color="auto"/>
        <w:left w:val="none" w:sz="0" w:space="0" w:color="auto"/>
        <w:bottom w:val="none" w:sz="0" w:space="0" w:color="auto"/>
        <w:right w:val="none" w:sz="0" w:space="0" w:color="auto"/>
      </w:divBdr>
    </w:div>
    <w:div w:id="1742946228">
      <w:bodyDiv w:val="1"/>
      <w:marLeft w:val="0"/>
      <w:marRight w:val="0"/>
      <w:marTop w:val="0"/>
      <w:marBottom w:val="0"/>
      <w:divBdr>
        <w:top w:val="none" w:sz="0" w:space="0" w:color="auto"/>
        <w:left w:val="none" w:sz="0" w:space="0" w:color="auto"/>
        <w:bottom w:val="none" w:sz="0" w:space="0" w:color="auto"/>
        <w:right w:val="none" w:sz="0" w:space="0" w:color="auto"/>
      </w:divBdr>
    </w:div>
    <w:div w:id="1781531505">
      <w:bodyDiv w:val="1"/>
      <w:marLeft w:val="0"/>
      <w:marRight w:val="0"/>
      <w:marTop w:val="0"/>
      <w:marBottom w:val="0"/>
      <w:divBdr>
        <w:top w:val="none" w:sz="0" w:space="0" w:color="auto"/>
        <w:left w:val="none" w:sz="0" w:space="0" w:color="auto"/>
        <w:bottom w:val="none" w:sz="0" w:space="0" w:color="auto"/>
        <w:right w:val="none" w:sz="0" w:space="0" w:color="auto"/>
      </w:divBdr>
    </w:div>
    <w:div w:id="1929118034">
      <w:bodyDiv w:val="1"/>
      <w:marLeft w:val="0"/>
      <w:marRight w:val="0"/>
      <w:marTop w:val="0"/>
      <w:marBottom w:val="0"/>
      <w:divBdr>
        <w:top w:val="none" w:sz="0" w:space="0" w:color="auto"/>
        <w:left w:val="none" w:sz="0" w:space="0" w:color="auto"/>
        <w:bottom w:val="none" w:sz="0" w:space="0" w:color="auto"/>
        <w:right w:val="none" w:sz="0" w:space="0" w:color="auto"/>
      </w:divBdr>
    </w:div>
    <w:div w:id="2099982278">
      <w:bodyDiv w:val="1"/>
      <w:marLeft w:val="0"/>
      <w:marRight w:val="0"/>
      <w:marTop w:val="0"/>
      <w:marBottom w:val="0"/>
      <w:divBdr>
        <w:top w:val="none" w:sz="0" w:space="0" w:color="auto"/>
        <w:left w:val="none" w:sz="0" w:space="0" w:color="auto"/>
        <w:bottom w:val="none" w:sz="0" w:space="0" w:color="auto"/>
        <w:right w:val="none" w:sz="0" w:space="0" w:color="auto"/>
      </w:divBdr>
    </w:div>
    <w:div w:id="2112625979">
      <w:bodyDiv w:val="1"/>
      <w:marLeft w:val="0"/>
      <w:marRight w:val="0"/>
      <w:marTop w:val="0"/>
      <w:marBottom w:val="0"/>
      <w:divBdr>
        <w:top w:val="none" w:sz="0" w:space="0" w:color="auto"/>
        <w:left w:val="none" w:sz="0" w:space="0" w:color="auto"/>
        <w:bottom w:val="none" w:sz="0" w:space="0" w:color="auto"/>
        <w:right w:val="none" w:sz="0" w:space="0" w:color="auto"/>
      </w:divBdr>
    </w:div>
    <w:div w:id="2124112261">
      <w:bodyDiv w:val="1"/>
      <w:marLeft w:val="0"/>
      <w:marRight w:val="0"/>
      <w:marTop w:val="0"/>
      <w:marBottom w:val="0"/>
      <w:divBdr>
        <w:top w:val="none" w:sz="0" w:space="0" w:color="auto"/>
        <w:left w:val="none" w:sz="0" w:space="0" w:color="auto"/>
        <w:bottom w:val="none" w:sz="0" w:space="0" w:color="auto"/>
        <w:right w:val="none" w:sz="0" w:space="0" w:color="auto"/>
      </w:divBdr>
    </w:div>
    <w:div w:id="213139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atastudio.google.com/reporting/f4e74364-ded6-4fff-81a1-92bfed3a8552/page/p_t9xuzgbkzc"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studio.google.com/reporting/f4e74364-ded6-4fff-81a1-92bfed3a8552/page/p_b1vix3bkz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tastudio.google.com/reporting/f4e74364-ded6-4fff-81a1-92bfed3a8552/page/p_8805s8bkz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A69BE-FBC8-474D-8F38-02F71C1B8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24049</Words>
  <Characters>137081</Characters>
  <Application>Microsoft Office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2020-04-28T04:55:00Z</cp:lastPrinted>
  <dcterms:created xsi:type="dcterms:W3CDTF">2021-04-29T06:56:00Z</dcterms:created>
  <dcterms:modified xsi:type="dcterms:W3CDTF">2023-08-13T07:16:00Z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2f64c8ae-adc0-30dd-a03e-007909e803c9</vt:lpwstr>
  </property>
  <property fmtid="{D5CDD505-2E9C-101B-9397-08002B2CF9AE}" pid="25" name="GrammarlyDocumentId">
    <vt:lpwstr>64a7ed24807cd6f108d1a4b88d267d71152000838c5dc7953504d767a0cc9720</vt:lpwstr>
  </property>
</Properties>
</file>