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7501" w14:textId="635BF15C" w:rsidR="005D4FA1" w:rsidRDefault="004234C6">
      <w:pPr>
        <w:spacing w:after="0"/>
        <w:jc w:val="both"/>
        <w:rPr>
          <w:rFonts w:ascii="Constantia" w:eastAsia="Constantia" w:hAnsi="Constantia" w:cs="Constantia"/>
          <w:sz w:val="20"/>
          <w:szCs w:val="20"/>
        </w:rPr>
      </w:pPr>
      <w:r>
        <w:rPr>
          <w:rFonts w:ascii="Constantia" w:eastAsia="Constantia" w:hAnsi="Constantia" w:cs="Constantia"/>
          <w:i/>
          <w:sz w:val="20"/>
          <w:szCs w:val="20"/>
        </w:rPr>
        <w:t xml:space="preserve">Original Research Article </w:t>
      </w:r>
    </w:p>
    <w:p w14:paraId="2B247502" w14:textId="3855C181" w:rsidR="005D4FA1" w:rsidRDefault="007A477D" w:rsidP="0006057B">
      <w:pPr>
        <w:spacing w:after="0"/>
        <w:jc w:val="both"/>
        <w:rPr>
          <w:rFonts w:ascii="Constantia" w:eastAsia="Constantia" w:hAnsi="Constantia" w:cs="Constantia"/>
          <w:b/>
          <w:sz w:val="32"/>
          <w:szCs w:val="32"/>
        </w:rPr>
      </w:pPr>
      <w:r w:rsidRPr="00263D1A">
        <w:rPr>
          <w:rFonts w:ascii="Constantia" w:eastAsia="Constantia" w:hAnsi="Constantia" w:cs="Constantia"/>
          <w:b/>
          <w:sz w:val="32"/>
          <w:szCs w:val="32"/>
        </w:rPr>
        <w:t>Performance Evaluation of Glassfibre Reinforced Concrete (GRC) with the Addition of Ferric Oxide Waste as a Filler</w:t>
      </w:r>
    </w:p>
    <w:p w14:paraId="2B247503" w14:textId="77777777" w:rsidR="005D4FA1" w:rsidRDefault="005D4FA1">
      <w:pPr>
        <w:spacing w:after="0"/>
        <w:rPr>
          <w:rFonts w:ascii="Constantia" w:eastAsia="Constantia" w:hAnsi="Constantia" w:cs="Constantia"/>
          <w:sz w:val="24"/>
          <w:szCs w:val="24"/>
        </w:rPr>
      </w:pPr>
    </w:p>
    <w:p w14:paraId="2B247504" w14:textId="279F5698" w:rsidR="005D4FA1" w:rsidRDefault="005016D3">
      <w:pPr>
        <w:spacing w:after="0"/>
        <w:rPr>
          <w:rFonts w:ascii="Constantia" w:eastAsia="Constantia" w:hAnsi="Constantia" w:cs="Constantia"/>
          <w:b/>
          <w:sz w:val="24"/>
          <w:szCs w:val="24"/>
        </w:rPr>
      </w:pPr>
      <w:r>
        <w:rPr>
          <w:rFonts w:ascii="Constantia" w:eastAsia="Constantia" w:hAnsi="Constantia" w:cs="Constantia"/>
          <w:b/>
          <w:sz w:val="24"/>
          <w:szCs w:val="24"/>
        </w:rPr>
        <w:t>Vivin Setiani</w:t>
      </w:r>
      <w:r w:rsidR="004234C6">
        <w:rPr>
          <w:rFonts w:ascii="Constantia" w:eastAsia="Constantia" w:hAnsi="Constantia" w:cs="Constantia"/>
          <w:b/>
          <w:sz w:val="24"/>
          <w:szCs w:val="24"/>
          <w:vertAlign w:val="superscript"/>
        </w:rPr>
        <w:t>1</w:t>
      </w:r>
      <w:r w:rsidR="004234C6">
        <w:rPr>
          <w:rFonts w:ascii="Constantia" w:eastAsia="Constantia" w:hAnsi="Constantia" w:cs="Constantia"/>
          <w:b/>
          <w:sz w:val="24"/>
          <w:szCs w:val="24"/>
        </w:rPr>
        <w:t xml:space="preserve">, </w:t>
      </w:r>
      <w:r>
        <w:rPr>
          <w:rFonts w:ascii="Constantia" w:eastAsia="Constantia" w:hAnsi="Constantia" w:cs="Constantia"/>
          <w:b/>
          <w:sz w:val="24"/>
          <w:szCs w:val="24"/>
        </w:rPr>
        <w:t>Wiwik Dwi Pratiwi</w:t>
      </w:r>
      <w:r w:rsidR="00120144">
        <w:rPr>
          <w:rFonts w:ascii="Constantia" w:eastAsia="Constantia" w:hAnsi="Constantia" w:cs="Constantia"/>
          <w:b/>
          <w:sz w:val="24"/>
          <w:szCs w:val="24"/>
          <w:vertAlign w:val="superscript"/>
        </w:rPr>
        <w:t>1</w:t>
      </w:r>
      <w:r w:rsidR="004234C6">
        <w:rPr>
          <w:rFonts w:ascii="Constantia" w:eastAsia="Constantia" w:hAnsi="Constantia" w:cs="Constantia"/>
          <w:b/>
          <w:sz w:val="24"/>
          <w:szCs w:val="24"/>
        </w:rPr>
        <w:t xml:space="preserve">*, </w:t>
      </w:r>
      <w:r>
        <w:rPr>
          <w:rFonts w:ascii="Constantia" w:eastAsia="Constantia" w:hAnsi="Constantia" w:cs="Constantia"/>
          <w:b/>
          <w:sz w:val="24"/>
          <w:szCs w:val="24"/>
        </w:rPr>
        <w:t>Denny Dermawan</w:t>
      </w:r>
      <w:r w:rsidR="00120144">
        <w:rPr>
          <w:rFonts w:ascii="Constantia" w:eastAsia="Constantia" w:hAnsi="Constantia" w:cs="Constantia"/>
          <w:b/>
          <w:sz w:val="24"/>
          <w:szCs w:val="24"/>
          <w:vertAlign w:val="superscript"/>
        </w:rPr>
        <w:t>1</w:t>
      </w:r>
      <w:r>
        <w:rPr>
          <w:rFonts w:ascii="Constantia" w:eastAsia="Constantia" w:hAnsi="Constantia" w:cs="Constantia"/>
          <w:b/>
          <w:sz w:val="24"/>
          <w:szCs w:val="24"/>
        </w:rPr>
        <w:t xml:space="preserve">, </w:t>
      </w:r>
      <w:r w:rsidR="00296EE0">
        <w:rPr>
          <w:rFonts w:ascii="Constantia" w:eastAsia="Constantia" w:hAnsi="Constantia" w:cs="Constantia"/>
          <w:b/>
          <w:sz w:val="24"/>
          <w:szCs w:val="24"/>
        </w:rPr>
        <w:t>Luqman Cahyono</w:t>
      </w:r>
      <w:r w:rsidR="00E47640">
        <w:rPr>
          <w:rFonts w:ascii="Constantia" w:eastAsia="Constantia" w:hAnsi="Constantia" w:cs="Constantia"/>
          <w:b/>
          <w:sz w:val="24"/>
          <w:szCs w:val="24"/>
          <w:vertAlign w:val="superscript"/>
        </w:rPr>
        <w:t>2</w:t>
      </w:r>
      <w:r w:rsidR="00296EE0">
        <w:rPr>
          <w:rFonts w:ascii="Constantia" w:eastAsia="Constantia" w:hAnsi="Constantia" w:cs="Constantia"/>
          <w:b/>
          <w:sz w:val="24"/>
          <w:szCs w:val="24"/>
        </w:rPr>
        <w:t>,</w:t>
      </w:r>
      <w:r w:rsidR="00296EE0" w:rsidRPr="00296EE0">
        <w:rPr>
          <w:rFonts w:ascii="Constantia" w:eastAsia="Constantia" w:hAnsi="Constantia" w:cs="Constantia"/>
          <w:b/>
          <w:sz w:val="24"/>
          <w:szCs w:val="24"/>
        </w:rPr>
        <w:t xml:space="preserve"> </w:t>
      </w:r>
      <w:r w:rsidR="00505608">
        <w:rPr>
          <w:rFonts w:ascii="Constantia" w:eastAsia="Constantia" w:hAnsi="Constantia" w:cs="Constantia"/>
          <w:b/>
          <w:sz w:val="24"/>
          <w:szCs w:val="24"/>
        </w:rPr>
        <w:t>Mohamad Hakam</w:t>
      </w:r>
      <w:r w:rsidR="00E47640">
        <w:rPr>
          <w:rFonts w:ascii="Constantia" w:eastAsia="Constantia" w:hAnsi="Constantia" w:cs="Constantia"/>
          <w:b/>
          <w:sz w:val="24"/>
          <w:szCs w:val="24"/>
          <w:vertAlign w:val="superscript"/>
        </w:rPr>
        <w:t>3</w:t>
      </w:r>
      <w:r w:rsidR="00F1426C">
        <w:rPr>
          <w:rFonts w:ascii="Constantia" w:eastAsia="Constantia" w:hAnsi="Constantia" w:cs="Constantia"/>
          <w:b/>
          <w:sz w:val="24"/>
          <w:szCs w:val="24"/>
        </w:rPr>
        <w:t xml:space="preserve">, </w:t>
      </w:r>
      <w:r w:rsidR="00505608">
        <w:rPr>
          <w:rFonts w:ascii="Constantia" w:eastAsia="Constantia" w:hAnsi="Constantia" w:cs="Constantia"/>
          <w:b/>
          <w:sz w:val="24"/>
          <w:szCs w:val="24"/>
        </w:rPr>
        <w:t xml:space="preserve"> </w:t>
      </w:r>
      <w:r w:rsidR="00D92CA7">
        <w:rPr>
          <w:rFonts w:ascii="Constantia" w:eastAsia="Constantia" w:hAnsi="Constantia" w:cs="Constantia"/>
          <w:b/>
          <w:sz w:val="24"/>
          <w:szCs w:val="24"/>
        </w:rPr>
        <w:t>Ryan Yudha Adhitya</w:t>
      </w:r>
      <w:r w:rsidR="00E47640">
        <w:rPr>
          <w:rFonts w:ascii="Constantia" w:eastAsia="Constantia" w:hAnsi="Constantia" w:cs="Constantia"/>
          <w:b/>
          <w:sz w:val="24"/>
          <w:szCs w:val="24"/>
          <w:vertAlign w:val="superscript"/>
        </w:rPr>
        <w:t>4</w:t>
      </w:r>
      <w:r w:rsidR="00D92CA7">
        <w:rPr>
          <w:rFonts w:ascii="Constantia" w:eastAsia="Constantia" w:hAnsi="Constantia" w:cs="Constantia"/>
          <w:b/>
          <w:sz w:val="24"/>
          <w:szCs w:val="24"/>
        </w:rPr>
        <w:t xml:space="preserve">, </w:t>
      </w:r>
      <w:r w:rsidR="00D92CA7" w:rsidRPr="00D92CA7">
        <w:rPr>
          <w:rFonts w:ascii="Constantia" w:eastAsia="Constantia" w:hAnsi="Constantia" w:cs="Constantia"/>
          <w:b/>
          <w:bCs/>
          <w:sz w:val="24"/>
          <w:szCs w:val="24"/>
        </w:rPr>
        <w:t>Mochammad Karim Al Amin</w:t>
      </w:r>
      <w:r w:rsidR="00E47640">
        <w:rPr>
          <w:rFonts w:ascii="Constantia" w:eastAsia="Constantia" w:hAnsi="Constantia" w:cs="Constantia"/>
          <w:b/>
          <w:bCs/>
          <w:sz w:val="24"/>
          <w:szCs w:val="24"/>
          <w:vertAlign w:val="superscript"/>
        </w:rPr>
        <w:t>5</w:t>
      </w:r>
      <w:r w:rsidR="00D92CA7">
        <w:rPr>
          <w:rFonts w:ascii="Constantia" w:eastAsia="Constantia" w:hAnsi="Constantia" w:cs="Constantia"/>
          <w:b/>
          <w:bCs/>
          <w:sz w:val="24"/>
          <w:szCs w:val="24"/>
        </w:rPr>
        <w:t xml:space="preserve">, </w:t>
      </w:r>
      <w:r w:rsidR="008402AA">
        <w:rPr>
          <w:rFonts w:ascii="Constantia" w:eastAsia="Constantia" w:hAnsi="Constantia" w:cs="Constantia"/>
          <w:b/>
          <w:bCs/>
          <w:sz w:val="24"/>
          <w:szCs w:val="24"/>
        </w:rPr>
        <w:t xml:space="preserve">Nur Fajar </w:t>
      </w:r>
      <w:r w:rsidR="008402AA" w:rsidRPr="008402AA">
        <w:rPr>
          <w:rFonts w:ascii="Constantia" w:eastAsia="Constantia" w:hAnsi="Constantia" w:cs="Constantia"/>
          <w:b/>
          <w:bCs/>
          <w:sz w:val="24"/>
          <w:szCs w:val="24"/>
        </w:rPr>
        <w:t>Aprilia Sari</w:t>
      </w:r>
      <w:r w:rsidR="00F9678B" w:rsidRPr="00F9678B">
        <w:rPr>
          <w:rFonts w:ascii="Constantia" w:eastAsia="Constantia" w:hAnsi="Constantia" w:cs="Constantia"/>
          <w:b/>
          <w:bCs/>
          <w:sz w:val="24"/>
          <w:szCs w:val="24"/>
          <w:vertAlign w:val="superscript"/>
        </w:rPr>
        <w:t>1</w:t>
      </w:r>
      <w:r w:rsidR="008402AA">
        <w:rPr>
          <w:rFonts w:ascii="Constantia" w:eastAsia="Constantia" w:hAnsi="Constantia" w:cs="Constantia"/>
          <w:b/>
          <w:bCs/>
          <w:sz w:val="24"/>
          <w:szCs w:val="24"/>
        </w:rPr>
        <w:t xml:space="preserve">, </w:t>
      </w:r>
      <w:r w:rsidR="00296EE0">
        <w:rPr>
          <w:rFonts w:ascii="Constantia" w:eastAsia="Constantia" w:hAnsi="Constantia" w:cs="Constantia"/>
          <w:b/>
          <w:sz w:val="24"/>
          <w:szCs w:val="24"/>
        </w:rPr>
        <w:t>Wanda Cahyaning Ati</w:t>
      </w:r>
      <w:r w:rsidR="00120144">
        <w:rPr>
          <w:rFonts w:ascii="Constantia" w:eastAsia="Constantia" w:hAnsi="Constantia" w:cs="Constantia"/>
          <w:b/>
          <w:sz w:val="24"/>
          <w:szCs w:val="24"/>
          <w:vertAlign w:val="superscript"/>
        </w:rPr>
        <w:t>1</w:t>
      </w:r>
      <w:r w:rsidR="004234C6">
        <w:rPr>
          <w:rFonts w:ascii="Constantia" w:eastAsia="Constantia" w:hAnsi="Constantia" w:cs="Constantia"/>
          <w:b/>
          <w:sz w:val="24"/>
          <w:szCs w:val="24"/>
          <w:vertAlign w:val="superscript"/>
        </w:rPr>
        <w:t xml:space="preserve"> </w:t>
      </w:r>
      <w:r w:rsidR="004234C6">
        <w:rPr>
          <w:rFonts w:ascii="Constantia" w:eastAsia="Constantia" w:hAnsi="Constantia" w:cs="Constantia"/>
          <w:b/>
          <w:sz w:val="24"/>
          <w:szCs w:val="24"/>
        </w:rPr>
        <w:t xml:space="preserve"> </w:t>
      </w:r>
      <w:r w:rsidR="00E87C7C">
        <w:rPr>
          <w:rFonts w:ascii="Constantia" w:eastAsia="Constantia" w:hAnsi="Constantia" w:cs="Constantia"/>
          <w:b/>
          <w:sz w:val="24"/>
          <w:szCs w:val="24"/>
        </w:rPr>
        <w:t>Lina Indawati</w:t>
      </w:r>
      <w:r w:rsidR="00E47640">
        <w:rPr>
          <w:rFonts w:ascii="Constantia" w:eastAsia="Constantia" w:hAnsi="Constantia" w:cs="Constantia"/>
          <w:b/>
          <w:sz w:val="24"/>
          <w:szCs w:val="24"/>
          <w:vertAlign w:val="superscript"/>
        </w:rPr>
        <w:t>6</w:t>
      </w:r>
    </w:p>
    <w:p w14:paraId="01602E39" w14:textId="08424436" w:rsidR="00126CFE" w:rsidRDefault="00126CFE" w:rsidP="00126CFE">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 xml:space="preserve">1 </w:t>
      </w:r>
      <w:r w:rsidR="00D92CA7">
        <w:rPr>
          <w:rFonts w:ascii="Constantia" w:eastAsia="Constantia" w:hAnsi="Constantia" w:cs="Constantia"/>
          <w:sz w:val="20"/>
          <w:szCs w:val="20"/>
        </w:rPr>
        <w:t>Study Program</w:t>
      </w:r>
      <w:r>
        <w:rPr>
          <w:rFonts w:ascii="Constantia" w:eastAsia="Constantia" w:hAnsi="Constantia" w:cs="Constantia"/>
          <w:sz w:val="20"/>
          <w:szCs w:val="20"/>
        </w:rPr>
        <w:t xml:space="preserve"> of Waste Treatment Engineering, </w:t>
      </w:r>
      <w:r w:rsidR="00D92CA7">
        <w:rPr>
          <w:rFonts w:ascii="Constantia" w:eastAsia="Constantia" w:hAnsi="Constantia" w:cs="Constantia"/>
          <w:sz w:val="20"/>
          <w:szCs w:val="20"/>
        </w:rPr>
        <w:t>Politeknik Perkapalan Negeri Surabaya, Street on Teknik Kimia, Kampus ITS Sukolilo, Surabaya</w:t>
      </w:r>
    </w:p>
    <w:p w14:paraId="7AF2DA15" w14:textId="24B4340E" w:rsidR="00E47640" w:rsidRDefault="00E47640" w:rsidP="00126CFE">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 xml:space="preserve">2 </w:t>
      </w:r>
      <w:r>
        <w:rPr>
          <w:rFonts w:ascii="Constantia" w:eastAsia="Constantia" w:hAnsi="Constantia" w:cs="Constantia"/>
          <w:sz w:val="20"/>
          <w:szCs w:val="20"/>
        </w:rPr>
        <w:t xml:space="preserve">Study Program of </w:t>
      </w:r>
      <w:r w:rsidR="00D34E82">
        <w:rPr>
          <w:rFonts w:ascii="Constantia" w:eastAsia="Constantia" w:hAnsi="Constantia" w:cs="Constantia"/>
          <w:sz w:val="20"/>
          <w:szCs w:val="20"/>
        </w:rPr>
        <w:t xml:space="preserve">Design and </w:t>
      </w:r>
      <w:r w:rsidR="00AB567A">
        <w:rPr>
          <w:rFonts w:ascii="Constantia" w:eastAsia="Constantia" w:hAnsi="Constantia" w:cs="Constantia"/>
          <w:sz w:val="20"/>
          <w:szCs w:val="20"/>
        </w:rPr>
        <w:t>Construction</w:t>
      </w:r>
      <w:r w:rsidR="00D34E82">
        <w:rPr>
          <w:rFonts w:ascii="Constantia" w:eastAsia="Constantia" w:hAnsi="Constantia" w:cs="Constantia"/>
          <w:sz w:val="20"/>
          <w:szCs w:val="20"/>
        </w:rPr>
        <w:t xml:space="preserve"> Ship</w:t>
      </w:r>
      <w:r w:rsidRPr="00E47640">
        <w:rPr>
          <w:rFonts w:ascii="Constantia" w:eastAsia="Constantia" w:hAnsi="Constantia" w:cs="Constantia"/>
          <w:sz w:val="20"/>
          <w:szCs w:val="20"/>
        </w:rPr>
        <w:t xml:space="preserve"> Engineering</w:t>
      </w:r>
      <w:r>
        <w:rPr>
          <w:rFonts w:ascii="Constantia" w:eastAsia="Constantia" w:hAnsi="Constantia" w:cs="Constantia"/>
          <w:sz w:val="20"/>
          <w:szCs w:val="20"/>
        </w:rPr>
        <w:t>, Politeknik Perkapalan Negeri Surabaya, Street on Teknik Kimia, Kampus ITS Sukolilo, Surabaya</w:t>
      </w:r>
    </w:p>
    <w:p w14:paraId="6573C841" w14:textId="7E711E9A" w:rsidR="00E47640" w:rsidRDefault="00E47640" w:rsidP="00126CFE">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 xml:space="preserve">3 </w:t>
      </w:r>
      <w:r>
        <w:rPr>
          <w:rFonts w:ascii="Constantia" w:eastAsia="Constantia" w:hAnsi="Constantia" w:cs="Constantia"/>
          <w:sz w:val="20"/>
          <w:szCs w:val="20"/>
        </w:rPr>
        <w:t xml:space="preserve">Study Program of </w:t>
      </w:r>
      <w:r w:rsidRPr="00E47640">
        <w:rPr>
          <w:rFonts w:ascii="Constantia" w:eastAsia="Constantia" w:hAnsi="Constantia" w:cs="Constantia"/>
          <w:sz w:val="20"/>
          <w:szCs w:val="20"/>
        </w:rPr>
        <w:t>Sustainable Engineering Energy Technology</w:t>
      </w:r>
      <w:r>
        <w:rPr>
          <w:rFonts w:ascii="Constantia" w:eastAsia="Constantia" w:hAnsi="Constantia" w:cs="Constantia"/>
          <w:sz w:val="20"/>
          <w:szCs w:val="20"/>
        </w:rPr>
        <w:t>, Politeknik Perkapalan Negeri Surabaya, Street on Teknik Kimia, Kampus ITS Sukolilo, Surabaya</w:t>
      </w:r>
    </w:p>
    <w:p w14:paraId="165DD07B" w14:textId="7DC8F960" w:rsidR="00D92CA7" w:rsidRDefault="00E47640" w:rsidP="00D92CA7">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4</w:t>
      </w:r>
      <w:r w:rsidR="00D92CA7">
        <w:rPr>
          <w:rFonts w:ascii="Constantia" w:eastAsia="Constantia" w:hAnsi="Constantia" w:cs="Constantia"/>
          <w:sz w:val="20"/>
          <w:szCs w:val="20"/>
          <w:vertAlign w:val="superscript"/>
        </w:rPr>
        <w:t xml:space="preserve"> </w:t>
      </w:r>
      <w:r w:rsidR="00D92CA7">
        <w:rPr>
          <w:rFonts w:ascii="Constantia" w:eastAsia="Constantia" w:hAnsi="Constantia" w:cs="Constantia"/>
          <w:sz w:val="20"/>
          <w:szCs w:val="20"/>
        </w:rPr>
        <w:t xml:space="preserve">Study Program of </w:t>
      </w:r>
      <w:r w:rsidR="00CF167D">
        <w:rPr>
          <w:rFonts w:ascii="Constantia" w:eastAsia="Constantia" w:hAnsi="Constantia" w:cs="Constantia"/>
          <w:sz w:val="20"/>
          <w:szCs w:val="20"/>
        </w:rPr>
        <w:t>Au</w:t>
      </w:r>
      <w:r w:rsidR="00D92CA7">
        <w:rPr>
          <w:rFonts w:ascii="Constantia" w:eastAsia="Constantia" w:hAnsi="Constantia" w:cs="Constantia"/>
          <w:sz w:val="20"/>
          <w:szCs w:val="20"/>
        </w:rPr>
        <w:t>tomation Engineering, Politeknik Perkapalan Negeri Surabaya, Street on Teknik Kimia, Kampus ITS Sukolilo, Surabaya</w:t>
      </w:r>
    </w:p>
    <w:p w14:paraId="20A795BC" w14:textId="6B448C64" w:rsidR="00D92CA7" w:rsidRDefault="00E47640" w:rsidP="00126CFE">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5</w:t>
      </w:r>
      <w:r w:rsidR="00D92CA7">
        <w:rPr>
          <w:rFonts w:ascii="Constantia" w:eastAsia="Constantia" w:hAnsi="Constantia" w:cs="Constantia"/>
          <w:sz w:val="20"/>
          <w:szCs w:val="20"/>
          <w:vertAlign w:val="superscript"/>
        </w:rPr>
        <w:t xml:space="preserve"> </w:t>
      </w:r>
      <w:r w:rsidR="00D92CA7">
        <w:rPr>
          <w:rFonts w:ascii="Constantia" w:eastAsia="Constantia" w:hAnsi="Constantia" w:cs="Constantia"/>
          <w:sz w:val="20"/>
          <w:szCs w:val="20"/>
        </w:rPr>
        <w:t>Study Program of Welding Engineering, Politeknik Perkapalan Negeri Surabaya, Street on Teknik Kimia, Kampus ITS Sukolilo, Surabaya</w:t>
      </w:r>
    </w:p>
    <w:p w14:paraId="09EAC2E1" w14:textId="62076091" w:rsidR="00E1488C" w:rsidRDefault="00E47640" w:rsidP="00126CFE">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6</w:t>
      </w:r>
      <w:r w:rsidR="00E1488C">
        <w:rPr>
          <w:rFonts w:ascii="Constantia" w:eastAsia="Constantia" w:hAnsi="Constantia" w:cs="Constantia"/>
          <w:sz w:val="20"/>
          <w:szCs w:val="20"/>
          <w:vertAlign w:val="superscript"/>
        </w:rPr>
        <w:t xml:space="preserve"> </w:t>
      </w:r>
      <w:r w:rsidR="00E1488C" w:rsidRPr="00E1488C">
        <w:rPr>
          <w:rFonts w:ascii="Constantia" w:eastAsia="Constantia" w:hAnsi="Constantia" w:cs="Constantia"/>
          <w:sz w:val="20"/>
          <w:szCs w:val="20"/>
        </w:rPr>
        <w:t>Department of Civil Engineering, National Central University, Chung-Li, 32001, Taiwan</w:t>
      </w:r>
    </w:p>
    <w:p w14:paraId="2B247509" w14:textId="2BE44A56" w:rsidR="005D4FA1" w:rsidRDefault="004234C6">
      <w:pPr>
        <w:spacing w:after="0"/>
        <w:rPr>
          <w:rFonts w:ascii="Constantia" w:eastAsia="Constantia" w:hAnsi="Constantia" w:cs="Constantia"/>
          <w:sz w:val="20"/>
          <w:szCs w:val="20"/>
        </w:rPr>
      </w:pPr>
      <w:r>
        <w:rPr>
          <w:rFonts w:ascii="Constantia" w:eastAsia="Constantia" w:hAnsi="Constantia" w:cs="Constantia"/>
          <w:sz w:val="20"/>
          <w:szCs w:val="20"/>
        </w:rPr>
        <w:t xml:space="preserve">* Corresponding Author, email: </w:t>
      </w:r>
      <w:hyperlink r:id="rId9" w:history="1">
        <w:r w:rsidR="00D01BBA" w:rsidRPr="004903C3">
          <w:rPr>
            <w:rStyle w:val="Hyperlink"/>
            <w:rFonts w:ascii="Constantia" w:eastAsia="Constantia" w:hAnsi="Constantia" w:cs="Constantia"/>
            <w:sz w:val="20"/>
            <w:szCs w:val="20"/>
          </w:rPr>
          <w:t>wiwik.pratiwi@ppns.ac.id</w:t>
        </w:r>
      </w:hyperlink>
    </w:p>
    <w:p w14:paraId="2B24750A" w14:textId="77777777" w:rsidR="005D4FA1" w:rsidRDefault="004234C6">
      <w:pPr>
        <w:spacing w:after="0"/>
        <w:rPr>
          <w:rFonts w:ascii="Constantia" w:eastAsia="Constantia" w:hAnsi="Constantia" w:cs="Constantia"/>
          <w:color w:val="000000"/>
          <w:sz w:val="20"/>
          <w:szCs w:val="20"/>
        </w:rPr>
      </w:pPr>
      <w:r>
        <w:rPr>
          <w:noProof/>
        </w:rPr>
        <w:drawing>
          <wp:anchor distT="0" distB="0" distL="0" distR="0" simplePos="0" relativeHeight="251658240" behindDoc="1" locked="0" layoutInCell="1" hidden="0" allowOverlap="1" wp14:anchorId="2B247647" wp14:editId="2B247648">
            <wp:simplePos x="0" y="0"/>
            <wp:positionH relativeFrom="column">
              <wp:posOffset>-5078</wp:posOffset>
            </wp:positionH>
            <wp:positionV relativeFrom="paragraph">
              <wp:posOffset>26669</wp:posOffset>
            </wp:positionV>
            <wp:extent cx="704850" cy="248920"/>
            <wp:effectExtent l="0" t="0" r="0" b="0"/>
            <wp:wrapNone/>
            <wp:docPr id="18" name="image4.jpg" descr="D:\S2\Jurnal Presipitasi\59584.jpg"/>
            <wp:cNvGraphicFramePr/>
            <a:graphic xmlns:a="http://schemas.openxmlformats.org/drawingml/2006/main">
              <a:graphicData uri="http://schemas.openxmlformats.org/drawingml/2006/picture">
                <pic:pic xmlns:pic="http://schemas.openxmlformats.org/drawingml/2006/picture">
                  <pic:nvPicPr>
                    <pic:cNvPr id="0" name="image4.jpg" descr="D:\S2\Jurnal Presipitasi\59584.jpg"/>
                    <pic:cNvPicPr preferRelativeResize="0"/>
                  </pic:nvPicPr>
                  <pic:blipFill>
                    <a:blip r:embed="rId10"/>
                    <a:srcRect/>
                    <a:stretch>
                      <a:fillRect/>
                    </a:stretch>
                  </pic:blipFill>
                  <pic:spPr>
                    <a:xfrm>
                      <a:off x="0" y="0"/>
                      <a:ext cx="704850" cy="248920"/>
                    </a:xfrm>
                    <a:prstGeom prst="rect">
                      <a:avLst/>
                    </a:prstGeom>
                    <a:ln/>
                  </pic:spPr>
                </pic:pic>
              </a:graphicData>
            </a:graphic>
          </wp:anchor>
        </w:drawing>
      </w:r>
    </w:p>
    <w:p w14:paraId="2B24750B" w14:textId="77777777" w:rsidR="005D4FA1" w:rsidRDefault="005D4FA1">
      <w:pPr>
        <w:spacing w:after="0"/>
        <w:jc w:val="both"/>
        <w:rPr>
          <w:rFonts w:ascii="Constantia" w:eastAsia="Constantia" w:hAnsi="Constantia" w:cs="Constantia"/>
          <w:color w:val="000000"/>
          <w:sz w:val="14"/>
          <w:szCs w:val="14"/>
        </w:rPr>
      </w:pPr>
      <w:bookmarkStart w:id="0" w:name="_heading=h.gjdgxs" w:colFirst="0" w:colLast="0"/>
      <w:bookmarkEnd w:id="0"/>
    </w:p>
    <w:p w14:paraId="2B24750C" w14:textId="63D2B9F3" w:rsidR="005D4FA1" w:rsidRDefault="004234C6">
      <w:pPr>
        <w:pBdr>
          <w:top w:val="single" w:sz="4" w:space="1" w:color="000000"/>
          <w:bottom w:val="single" w:sz="4" w:space="1" w:color="000000"/>
        </w:pBdr>
        <w:spacing w:after="0"/>
        <w:jc w:val="both"/>
        <w:rPr>
          <w:rFonts w:ascii="Constantia" w:eastAsia="Constantia" w:hAnsi="Constantia" w:cs="Constantia"/>
          <w:b/>
          <w:color w:val="000000"/>
          <w:sz w:val="24"/>
          <w:szCs w:val="24"/>
        </w:rPr>
      </w:pPr>
      <w:r>
        <w:rPr>
          <w:rFonts w:ascii="Constantia" w:eastAsia="Constantia" w:hAnsi="Constantia" w:cs="Constantia"/>
          <w:b/>
          <w:sz w:val="24"/>
          <w:szCs w:val="24"/>
        </w:rPr>
        <w:t xml:space="preserve">Abstract </w:t>
      </w:r>
    </w:p>
    <w:p w14:paraId="17426B92" w14:textId="47E67773" w:rsidR="00A5449A" w:rsidRPr="00703062" w:rsidRDefault="00A5449A" w:rsidP="00A5449A">
      <w:pPr>
        <w:pBdr>
          <w:top w:val="single" w:sz="4" w:space="1" w:color="000000"/>
          <w:bottom w:val="single" w:sz="4" w:space="1" w:color="000000"/>
        </w:pBdr>
        <w:spacing w:after="0"/>
        <w:jc w:val="both"/>
        <w:rPr>
          <w:rFonts w:ascii="Constantia" w:eastAsia="Constantia" w:hAnsi="Constantia" w:cs="Constantia"/>
          <w:sz w:val="20"/>
          <w:szCs w:val="20"/>
        </w:rPr>
      </w:pPr>
      <w:r w:rsidRPr="00CA1FF2">
        <w:rPr>
          <w:rFonts w:ascii="Constantia" w:eastAsia="Constantia" w:hAnsi="Constantia" w:cs="Constantia"/>
          <w:sz w:val="20"/>
          <w:szCs w:val="20"/>
        </w:rPr>
        <w:t>The production of Portland cement is one of the major contributors to carbon emissions in the construction sector due to the high-temperature calcination process, which generates CO₂ emissions nearly equivalent to the mass of cement produced. This study aims to reduce the carbon footprint while managing steel industry waste by utilizing ferric oxide as a filler in the production of Glassfibre Reinforced Concrete</w:t>
      </w:r>
      <w:r>
        <w:rPr>
          <w:rFonts w:ascii="Constantia" w:eastAsia="Constantia" w:hAnsi="Constantia" w:cs="Constantia"/>
          <w:sz w:val="20"/>
          <w:szCs w:val="20"/>
        </w:rPr>
        <w:t xml:space="preserve">. </w:t>
      </w:r>
      <w:r w:rsidRPr="00CA1FF2">
        <w:rPr>
          <w:rFonts w:ascii="Constantia" w:eastAsia="Constantia" w:hAnsi="Constantia" w:cs="Constantia"/>
          <w:sz w:val="20"/>
          <w:szCs w:val="20"/>
        </w:rPr>
        <w:t>Ferric oxide waste, which is rich in Fe₂O₃, does not require a calcination process, thereby offering the potential to lower carbon emissions and support the implementation of circular economy principles. The ferric oxide waste used in this study was obtained from steel coating and thinning industries, specifically from the rolling process of steel sheets. Lumajang sand was employed as fine aggregate, with glass fibers added as reinforcement.</w:t>
      </w:r>
      <w:r>
        <w:rPr>
          <w:rFonts w:ascii="Constantia" w:eastAsia="Constantia" w:hAnsi="Constantia" w:cs="Constantia"/>
          <w:sz w:val="20"/>
          <w:szCs w:val="20"/>
        </w:rPr>
        <w:t xml:space="preserve"> </w:t>
      </w:r>
      <w:r w:rsidRPr="00CA1FF2">
        <w:rPr>
          <w:rFonts w:ascii="Constantia" w:eastAsia="Constantia" w:hAnsi="Constantia" w:cs="Constantia"/>
          <w:sz w:val="20"/>
          <w:szCs w:val="20"/>
        </w:rPr>
        <w:t>This research applied a quantitative experimental approach. Preliminary material characterization included X-Ray Fluorescence (XRF), X-Ray Diffraction (XRD), Particle Size Distribution, sand gradation, and silt content analyses. The mix proportion used was a binder-to-aggregate ratio of 1:1 with a constant glass fiber content of 3%, while ferric oxide was substituted for cement at varying levels from 0% to 40%.</w:t>
      </w:r>
      <w:r>
        <w:rPr>
          <w:rFonts w:ascii="Constantia" w:eastAsia="Constantia" w:hAnsi="Constantia" w:cs="Constantia"/>
          <w:sz w:val="20"/>
          <w:szCs w:val="20"/>
        </w:rPr>
        <w:t xml:space="preserve"> </w:t>
      </w:r>
      <w:r w:rsidRPr="00CA1FF2">
        <w:rPr>
          <w:rFonts w:ascii="Constantia" w:eastAsia="Constantia" w:hAnsi="Constantia" w:cs="Constantia"/>
          <w:sz w:val="20"/>
          <w:szCs w:val="20"/>
        </w:rPr>
        <w:t>Compressive strength, flexural strength, water absorption, dry density, and wet density tests were conducted. The results showed that the use of ferric oxide at an optimum substitution level produced Glassfibre Reinforced Concrete with superior mechanical performance compared to the control mix without ferric oxide. Water absorption and density values complied with the standards of the Glassfibre Reinforced Concrete Association International and the material exhibited a natural red hue that enhanced its aesthetic value.</w:t>
      </w:r>
      <w:r>
        <w:rPr>
          <w:rFonts w:ascii="Constantia" w:eastAsia="Constantia" w:hAnsi="Constantia" w:cs="Constantia"/>
          <w:sz w:val="20"/>
          <w:szCs w:val="20"/>
        </w:rPr>
        <w:t xml:space="preserve"> </w:t>
      </w:r>
      <w:r w:rsidRPr="00CA1FF2">
        <w:rPr>
          <w:rFonts w:ascii="Constantia" w:eastAsia="Constantia" w:hAnsi="Constantia" w:cs="Constantia"/>
          <w:sz w:val="20"/>
          <w:szCs w:val="20"/>
        </w:rPr>
        <w:t>These findings confirm that ferric oxide has significant potential as an environmentally friendly cement substitute and can be widely implemented in sustainable construction industries.</w:t>
      </w:r>
    </w:p>
    <w:p w14:paraId="2B24750E" w14:textId="77777777" w:rsidR="005D4FA1" w:rsidRDefault="005D4FA1">
      <w:pPr>
        <w:pBdr>
          <w:top w:val="single" w:sz="4" w:space="1" w:color="000000"/>
          <w:bottom w:val="single" w:sz="4" w:space="1" w:color="000000"/>
        </w:pBdr>
        <w:spacing w:after="0"/>
        <w:jc w:val="both"/>
        <w:rPr>
          <w:rFonts w:ascii="Constantia" w:eastAsia="Constantia" w:hAnsi="Constantia" w:cs="Constantia"/>
          <w:sz w:val="20"/>
          <w:szCs w:val="20"/>
        </w:rPr>
      </w:pPr>
    </w:p>
    <w:p w14:paraId="59A0F8B7" w14:textId="3169E212" w:rsidR="00111A46" w:rsidRPr="00745C6F" w:rsidRDefault="004234C6" w:rsidP="00111A46">
      <w:pPr>
        <w:pBdr>
          <w:top w:val="single" w:sz="4" w:space="1" w:color="000000"/>
          <w:bottom w:val="single" w:sz="4" w:space="1" w:color="000000"/>
        </w:pBdr>
        <w:spacing w:after="0"/>
        <w:jc w:val="both"/>
        <w:rPr>
          <w:rFonts w:ascii="Constantia" w:eastAsia="Constantia" w:hAnsi="Constantia" w:cs="Constantia"/>
          <w:b/>
          <w:sz w:val="20"/>
          <w:szCs w:val="20"/>
        </w:rPr>
      </w:pPr>
      <w:r>
        <w:rPr>
          <w:rFonts w:ascii="Constantia" w:eastAsia="Constantia" w:hAnsi="Constantia" w:cs="Constantia"/>
          <w:b/>
          <w:sz w:val="20"/>
          <w:szCs w:val="20"/>
        </w:rPr>
        <w:t>Keywords</w:t>
      </w:r>
      <w:r>
        <w:rPr>
          <w:rFonts w:ascii="Constantia" w:eastAsia="Constantia" w:hAnsi="Constantia" w:cs="Constantia"/>
          <w:sz w:val="20"/>
          <w:szCs w:val="20"/>
        </w:rPr>
        <w:t xml:space="preserve">: </w:t>
      </w:r>
      <w:r w:rsidR="00745C6F">
        <w:rPr>
          <w:rFonts w:ascii="Constantia" w:eastAsia="Constantia" w:hAnsi="Constantia" w:cs="Constantia"/>
          <w:b/>
          <w:sz w:val="20"/>
          <w:szCs w:val="20"/>
        </w:rPr>
        <w:t xml:space="preserve"> </w:t>
      </w:r>
      <w:r w:rsidR="00111A46" w:rsidRPr="00745C6F">
        <w:rPr>
          <w:rFonts w:ascii="Constantia" w:hAnsi="Constantia" w:cs="Times New Roman"/>
          <w:b/>
          <w:bCs/>
          <w:sz w:val="20"/>
          <w:szCs w:val="20"/>
          <w:lang w:eastAsia="zh-CN"/>
        </w:rPr>
        <w:t>Ferric Oxide Waste</w:t>
      </w:r>
      <w:r w:rsidR="00745C6F" w:rsidRPr="00745C6F">
        <w:rPr>
          <w:rFonts w:ascii="Constantia" w:hAnsi="Constantia" w:cs="Times New Roman"/>
          <w:b/>
          <w:bCs/>
          <w:sz w:val="20"/>
          <w:szCs w:val="20"/>
          <w:lang w:eastAsia="zh-CN"/>
        </w:rPr>
        <w:t xml:space="preserve">; </w:t>
      </w:r>
      <w:r w:rsidR="00111A46" w:rsidRPr="00745C6F">
        <w:rPr>
          <w:rFonts w:ascii="Constantia" w:hAnsi="Constantia" w:cs="Times New Roman"/>
          <w:b/>
          <w:bCs/>
          <w:sz w:val="20"/>
          <w:szCs w:val="20"/>
          <w:lang w:eastAsia="zh-CN"/>
        </w:rPr>
        <w:t>Glassfibre Reinforced Concrete (GRC)</w:t>
      </w:r>
      <w:r w:rsidR="00745C6F" w:rsidRPr="00745C6F">
        <w:rPr>
          <w:rFonts w:ascii="Constantia" w:hAnsi="Constantia" w:cs="Times New Roman"/>
          <w:b/>
          <w:bCs/>
          <w:sz w:val="20"/>
          <w:szCs w:val="20"/>
          <w:lang w:eastAsia="zh-CN"/>
        </w:rPr>
        <w:t>;</w:t>
      </w:r>
      <w:r w:rsidR="00111A46" w:rsidRPr="00745C6F">
        <w:rPr>
          <w:rFonts w:ascii="Constantia" w:hAnsi="Constantia" w:cs="Times New Roman"/>
          <w:b/>
          <w:bCs/>
          <w:sz w:val="20"/>
          <w:szCs w:val="20"/>
          <w:lang w:eastAsia="zh-CN"/>
        </w:rPr>
        <w:t xml:space="preserve"> Flexural Strength, Glass Fiber</w:t>
      </w:r>
    </w:p>
    <w:p w14:paraId="2B24751C" w14:textId="77777777" w:rsidR="005D4FA1" w:rsidRDefault="005D4FA1" w:rsidP="00241C8A">
      <w:pPr>
        <w:pBdr>
          <w:top w:val="nil"/>
          <w:left w:val="nil"/>
          <w:bottom w:val="nil"/>
          <w:right w:val="nil"/>
          <w:between w:val="nil"/>
        </w:pBdr>
        <w:spacing w:after="0"/>
        <w:jc w:val="both"/>
        <w:rPr>
          <w:rFonts w:ascii="Constantia" w:eastAsia="Constantia" w:hAnsi="Constantia" w:cs="Constantia"/>
          <w:i/>
          <w:color w:val="000000"/>
          <w:sz w:val="20"/>
          <w:szCs w:val="20"/>
        </w:rPr>
      </w:pPr>
    </w:p>
    <w:p w14:paraId="2B24751E" w14:textId="77777777" w:rsidR="005D4FA1" w:rsidRDefault="004234C6">
      <w:pPr>
        <w:numPr>
          <w:ilvl w:val="0"/>
          <w:numId w:val="2"/>
        </w:numPr>
        <w:pBdr>
          <w:top w:val="nil"/>
          <w:left w:val="nil"/>
          <w:bottom w:val="nil"/>
          <w:right w:val="nil"/>
          <w:between w:val="nil"/>
        </w:pBdr>
        <w:spacing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Introduction</w:t>
      </w:r>
    </w:p>
    <w:p w14:paraId="010CDAF2" w14:textId="77777777" w:rsidR="00912D3E" w:rsidRDefault="0005052A" w:rsidP="00912D3E">
      <w:pPr>
        <w:spacing w:after="0"/>
        <w:ind w:firstLine="720"/>
        <w:jc w:val="both"/>
        <w:rPr>
          <w:rFonts w:ascii="Constantia" w:eastAsia="Constantia" w:hAnsi="Constantia" w:cs="Constantia"/>
          <w:sz w:val="20"/>
          <w:szCs w:val="20"/>
        </w:rPr>
      </w:pPr>
      <w:r w:rsidRPr="00D03E05">
        <w:rPr>
          <w:rFonts w:ascii="Constantia" w:eastAsia="Constantia" w:hAnsi="Constantia" w:cs="Constantia"/>
          <w:sz w:val="20"/>
          <w:szCs w:val="20"/>
        </w:rPr>
        <w:lastRenderedPageBreak/>
        <w:t xml:space="preserve">Ferric oxide (FO) waste originates from steel coating and rolling industries, particularly from the hot rolling process of steel sheets. This waste is formed as a result of surface oxidation during the hot rolling stage, which converts semi-finished steel into final products. The rolling process operates at temperatures ranging from 800°C to 1200°C. The scale formed during this process must be thoroughly removed to prevent surface defects, corrosion on the final product, and wear on the rolling equipment. The removal of this scale is typically carried out through a process known as </w:t>
      </w:r>
      <w:r w:rsidRPr="00D03E05">
        <w:rPr>
          <w:rFonts w:ascii="Constantia" w:eastAsia="Constantia" w:hAnsi="Constantia" w:cs="Constantia"/>
          <w:i/>
          <w:iCs/>
          <w:sz w:val="20"/>
          <w:szCs w:val="20"/>
        </w:rPr>
        <w:t>pickling</w:t>
      </w:r>
      <w:r w:rsidRPr="00D03E05">
        <w:rPr>
          <w:rFonts w:ascii="Constantia" w:eastAsia="Constantia" w:hAnsi="Constantia" w:cs="Constantia"/>
          <w:sz w:val="20"/>
          <w:szCs w:val="20"/>
        </w:rPr>
        <w:t>, which involves immersing steel in aqueous acid solutions. Several inorganic acids such as hydrochloric acid, sulfuric acid, and hydrofluoric acid, or their mixtures, are commonly used for pickling, with hydrochloric acid being the preferred choice in the steel industry</w:t>
      </w:r>
      <w:r>
        <w:rPr>
          <w:rFonts w:ascii="Constantia" w:eastAsia="Constantia" w:hAnsi="Constantia" w:cs="Constantia"/>
          <w:sz w:val="20"/>
          <w:szCs w:val="20"/>
        </w:rPr>
        <w:t xml:space="preserve"> </w:t>
      </w:r>
      <w:r w:rsidR="00B81079">
        <w:rPr>
          <w:rFonts w:ascii="Constantia" w:eastAsia="Constantia" w:hAnsi="Constantia" w:cs="Constantia"/>
          <w:sz w:val="20"/>
          <w:szCs w:val="20"/>
        </w:rPr>
        <w:fldChar w:fldCharType="begin" w:fldLock="1"/>
      </w:r>
      <w:r w:rsidR="00B81079">
        <w:rPr>
          <w:rFonts w:ascii="Constantia" w:eastAsia="Constantia" w:hAnsi="Constantia" w:cs="Constantia"/>
          <w:sz w:val="20"/>
          <w:szCs w:val="20"/>
        </w:rPr>
        <w:instrText>ADDIN CSL_CITATION {"citationItems":[{"id":"ITEM-1","itemData":{"DOI":"10.3390/su152416810","ISSN":"20711050","abstract":"Primary and secondary mill scales (MSs) are waste products produced by the surface oxidation of steel during the hot (800 to 1200 °C) rolling process in downstream steelmaking. While the primary MS is comprised of FeO, Fe3O4, and Fe2O3 in a range of proportions, the secondary MS primarily contain red ferric oxide (Fe2O3) (red MS). We report a novel route for extracting iron from red MS and transforming it into ferro-aluminium alloys using carbothermic reduction in the presence of alumina. The red MS powder was blended with high-purity alumina (Al2O3) and synthetic graphite (C) in a range of proportions. The carbothermic reduction of red MS-Al2O3-C blends was carried out at 1450 °C and 1550 °C under an argon atmosphere for 30 min and then furnace-cooled. The red MS was completely reduced to iron at these temperatures with reduced iron distributed around the matrix as small droplets. However, the addition of alumina unexpectedly resulted in a significant increase in the number and sizes of iron droplets generated, much higher reactivity, and the formation of ferrous alloys. A small amount of alumina reduction into metallic aluminium was also observed at 1450 °C. There is an urgent need to identify the true potential of industrial waste and the materials within it. This study showed that red MS is a valuable material source that could be transformed into ferro-aluminium alloys. These alloys find application in a range of industrial sectors such as construction, automotive, infrastructure, etc.","author":[{"dropping-particle":"","family":"Khanna","given":"Rita","non-dropping-particle":"","parse-names":false,"suffix":""},{"dropping-particle":"","family":"Konyukhov","given":"Yuri","non-dropping-particle":"","parse-names":false,"suffix":""},{"dropping-particle":"","family":"Li","given":"Kejiang","non-dropping-particle":"","parse-names":false,"suffix":""},{"dropping-particle":"","family":"Jayasankar","given":"Kalidoss","non-dropping-particle":"","parse-names":false,"suffix":""},{"dropping-particle":"","family":"Maslennikov","given":"Nikita","non-dropping-particle":"","parse-names":false,"suffix":""},{"dropping-particle":"","family":"Zinoveev","given":"Dmitry","non-dropping-particle":"","parse-names":false,"suffix":""},{"dropping-particle":"","family":"Kargin","given":"Jumat","non-dropping-particle":"","parse-names":false,"suffix":""},{"dropping-particle":"","family":"Burmistrov","given":"Igor","non-dropping-particle":"","parse-names":false,"suffix":""},{"dropping-particle":"","family":"Leybo","given":"Denis","non-dropping-particle":"","parse-names":false,"suffix":""},{"dropping-particle":"","family":"Kravchenko","given":"Maksim","non-dropping-particle":"","parse-names":false,"suffix":""},{"dropping-particle":"","family":"Mukherjee","given":"Partha Sarathy","non-dropping-particle":"","parse-names":false,"suffix":""}],"container-title":"Sustainability (Switzerland)","id":"ITEM-1","issue":"24","issued":{"date-parts":[["2023"]]},"title":"Innovative Transformation and Valorisation of Red Mill Scale Waste into Ferroalloys: Carbothermic Reduction in the Presence of Alumina","type":"article-journal","volume":"15"},"uris":["http://www.mendeley.com/documents/?uuid=66e48f64-20d8-4584-8eb1-60e53ebfb42d"]}],"mendeley":{"formattedCitation":"(Khanna et al., 2023)","plainTextFormattedCitation":"(Khanna et al., 2023)","previouslyFormattedCitation":"(Khanna et al., 2023)"},"properties":{"noteIndex":0},"schema":"https://github.com/citation-style-language/schema/raw/master/csl-citation.json"}</w:instrText>
      </w:r>
      <w:r w:rsidR="00B81079">
        <w:rPr>
          <w:rFonts w:ascii="Constantia" w:eastAsia="Constantia" w:hAnsi="Constantia" w:cs="Constantia"/>
          <w:sz w:val="20"/>
          <w:szCs w:val="20"/>
        </w:rPr>
        <w:fldChar w:fldCharType="separate"/>
      </w:r>
      <w:r w:rsidR="00B81079" w:rsidRPr="00B81079">
        <w:rPr>
          <w:rFonts w:ascii="Constantia" w:eastAsia="Constantia" w:hAnsi="Constantia" w:cs="Constantia"/>
          <w:noProof/>
          <w:sz w:val="20"/>
          <w:szCs w:val="20"/>
        </w:rPr>
        <w:t>(Khanna et al., 2023)</w:t>
      </w:r>
      <w:r w:rsidR="00B81079">
        <w:rPr>
          <w:rFonts w:ascii="Constantia" w:eastAsia="Constantia" w:hAnsi="Constantia" w:cs="Constantia"/>
          <w:sz w:val="20"/>
          <w:szCs w:val="20"/>
        </w:rPr>
        <w:fldChar w:fldCharType="end"/>
      </w:r>
      <w:r w:rsidR="00B81079">
        <w:rPr>
          <w:rFonts w:ascii="Constantia" w:eastAsia="Constantia" w:hAnsi="Constantia" w:cs="Constantia"/>
          <w:sz w:val="20"/>
          <w:szCs w:val="20"/>
        </w:rPr>
        <w:t xml:space="preserve">. </w:t>
      </w:r>
      <w:r w:rsidR="000811EB" w:rsidRPr="0047730B">
        <w:rPr>
          <w:rFonts w:ascii="Constantia" w:eastAsia="Constantia" w:hAnsi="Constantia" w:cs="Constantia"/>
          <w:sz w:val="20"/>
          <w:szCs w:val="20"/>
        </w:rPr>
        <w:t>In Indonesia, steel production capacity reached approximately 13.67 million tons in 2020, potentially generating between 341,750 and 390,571 tons of mill scale waste</w:t>
      </w:r>
      <w:r w:rsidR="000811EB">
        <w:rPr>
          <w:rFonts w:ascii="Constantia" w:eastAsia="Constantia" w:hAnsi="Constantia" w:cs="Constantia"/>
          <w:sz w:val="20"/>
          <w:szCs w:val="20"/>
        </w:rPr>
        <w:t xml:space="preserve"> </w:t>
      </w:r>
      <w:r w:rsidR="00B81079">
        <w:rPr>
          <w:rFonts w:ascii="Constantia" w:eastAsia="Constantia" w:hAnsi="Constantia" w:cs="Constantia"/>
          <w:sz w:val="20"/>
          <w:szCs w:val="20"/>
        </w:rPr>
        <w:fldChar w:fldCharType="begin" w:fldLock="1"/>
      </w:r>
      <w:r w:rsidR="00562182">
        <w:rPr>
          <w:rFonts w:ascii="Constantia" w:eastAsia="Constantia" w:hAnsi="Constantia" w:cs="Constantia"/>
          <w:sz w:val="20"/>
          <w:szCs w:val="20"/>
        </w:rPr>
        <w:instrText>ADDIN CSL_CITATION {"citationItems":[{"id":"ITEM-1","itemData":{"author":[{"dropping-particle":"","family":"Nurjaman","given":"Fajar","non-dropping-particle":"","parse-names":false,"suffix":""},{"dropping-particle":"","family":"Prilitasari","given":"Nurbaity Marsas","non-dropping-particle":"","parse-names":false,"suffix":""},{"dropping-particle":"","family":"Prasetyo","given":"Arif Eko","non-dropping-particle":"","parse-names":false,"suffix":""},{"dropping-particle":"","family":"Nugroho","given":"Eko","non-dropping-particle":"","parse-names":false,"suffix":""}],"id":"ITEM-1","issued":{"date-parts":[["2019"]]},"page":"37-48","title":"PEMANFAATAN LIMBAH INDUSTRI BAJA SEBAGAI BAHAN BAKU PEMBUATAN LOGAM PIG IRON: PELEBURAN MILL SCALE MENGGUNAKAN SUBMERGED ARC FURNACE","type":"article-journal"},"uris":["http://www.mendeley.com/documents/?uuid=e23a23ec-0d96-4466-8038-481a0082d014"]}],"mendeley":{"formattedCitation":"(Nurjaman et al., 2019)","manualFormatting":"(Nurjamana Fajar, 2019)","plainTextFormattedCitation":"(Nurjaman et al., 2019)","previouslyFormattedCitation":"(Nurjaman et al., 2019)"},"properties":{"noteIndex":0},"schema":"https://github.com/citation-style-language/schema/raw/master/csl-citation.json"}</w:instrText>
      </w:r>
      <w:r w:rsidR="00B81079">
        <w:rPr>
          <w:rFonts w:ascii="Constantia" w:eastAsia="Constantia" w:hAnsi="Constantia" w:cs="Constantia"/>
          <w:sz w:val="20"/>
          <w:szCs w:val="20"/>
        </w:rPr>
        <w:fldChar w:fldCharType="separate"/>
      </w:r>
      <w:r w:rsidR="00B81079" w:rsidRPr="00B81079">
        <w:rPr>
          <w:rFonts w:ascii="Constantia" w:eastAsia="Constantia" w:hAnsi="Constantia" w:cs="Constantia"/>
          <w:noProof/>
          <w:sz w:val="20"/>
          <w:szCs w:val="20"/>
        </w:rPr>
        <w:t>(Nurjamana</w:t>
      </w:r>
      <w:r w:rsidR="0003666B">
        <w:rPr>
          <w:rFonts w:ascii="Constantia" w:eastAsia="Constantia" w:hAnsi="Constantia" w:cs="Constantia"/>
          <w:noProof/>
          <w:sz w:val="20"/>
          <w:szCs w:val="20"/>
        </w:rPr>
        <w:t xml:space="preserve"> Fajar</w:t>
      </w:r>
      <w:r w:rsidR="00B81079" w:rsidRPr="00B81079">
        <w:rPr>
          <w:rFonts w:ascii="Constantia" w:eastAsia="Constantia" w:hAnsi="Constantia" w:cs="Constantia"/>
          <w:noProof/>
          <w:sz w:val="20"/>
          <w:szCs w:val="20"/>
        </w:rPr>
        <w:t>, 2019)</w:t>
      </w:r>
      <w:r w:rsidR="00B81079">
        <w:rPr>
          <w:rFonts w:ascii="Constantia" w:eastAsia="Constantia" w:hAnsi="Constantia" w:cs="Constantia"/>
          <w:sz w:val="20"/>
          <w:szCs w:val="20"/>
        </w:rPr>
        <w:fldChar w:fldCharType="end"/>
      </w:r>
      <w:r w:rsidR="00B81079">
        <w:rPr>
          <w:rFonts w:ascii="Constantia" w:eastAsia="Constantia" w:hAnsi="Constantia" w:cs="Constantia"/>
          <w:sz w:val="20"/>
          <w:szCs w:val="20"/>
        </w:rPr>
        <w:t xml:space="preserve">. </w:t>
      </w:r>
      <w:r w:rsidR="00912D3E" w:rsidRPr="0047730B">
        <w:rPr>
          <w:rFonts w:ascii="Constantia" w:eastAsia="Constantia" w:hAnsi="Constantia" w:cs="Constantia"/>
          <w:sz w:val="20"/>
          <w:szCs w:val="20"/>
        </w:rPr>
        <w:t>According to Government Regulation No. 22 of 2021, Annex IX, mill scale originating from the smelting of iron or steel is classified as hazardous and toxic waste (B3) from specific sources, coded as B406 and categorized as hazard class 2. Mill scale primarily consists of iron oxides, including ferric oxide (Fe₂O₃). However, ferric oxide waste generated from the thinning process has not been specifically categorized under this classification.</w:t>
      </w:r>
    </w:p>
    <w:p w14:paraId="3B74880B" w14:textId="63FBB7FB" w:rsidR="00BB23A3" w:rsidRDefault="000A05C3" w:rsidP="003700FF">
      <w:pPr>
        <w:spacing w:after="0"/>
        <w:ind w:firstLine="720"/>
        <w:jc w:val="both"/>
        <w:rPr>
          <w:rFonts w:ascii="Constantia" w:eastAsia="Constantia" w:hAnsi="Constantia" w:cs="Constantia"/>
          <w:sz w:val="20"/>
          <w:szCs w:val="20"/>
        </w:rPr>
      </w:pPr>
      <w:r w:rsidRPr="008A479F">
        <w:rPr>
          <w:rFonts w:ascii="Constantia" w:eastAsia="Constantia" w:hAnsi="Constantia" w:cs="Constantia"/>
          <w:sz w:val="20"/>
          <w:szCs w:val="20"/>
        </w:rPr>
        <w:t>Ferric oxide waste predominantly consists of Fe₂O₃, which contains the heavy metal element iron (Fe). According to</w:t>
      </w:r>
      <w:r w:rsidR="003912E8">
        <w:rPr>
          <w:rFonts w:ascii="Constantia" w:eastAsia="Constantia" w:hAnsi="Constantia" w:cs="Constantia"/>
          <w:sz w:val="20"/>
          <w:szCs w:val="20"/>
        </w:rPr>
        <w:t xml:space="preserve"> </w:t>
      </w:r>
      <w:r w:rsidR="00B81079">
        <w:rPr>
          <w:rFonts w:ascii="Constantia" w:eastAsia="Constantia" w:hAnsi="Constantia" w:cs="Constantia"/>
          <w:sz w:val="20"/>
          <w:szCs w:val="20"/>
        </w:rPr>
        <w:fldChar w:fldCharType="begin" w:fldLock="1"/>
      </w:r>
      <w:r w:rsidR="00E7086C">
        <w:rPr>
          <w:rFonts w:ascii="Constantia" w:eastAsia="Constantia" w:hAnsi="Constantia" w:cs="Constantia"/>
          <w:sz w:val="20"/>
          <w:szCs w:val="20"/>
        </w:rPr>
        <w:instrText>ADDIN CSL_CITATION {"citationItems":[{"id":"ITEM-1","itemData":{"author":[{"dropping-particle":"","family":"Cahyono","given":"Luqman","non-dropping-particle":"","parse-names":false,"suffix":""},{"dropping-particle":"","family":"Carina","given":"Annisa'","non-dropping-particle":"","parse-names":false,"suffix":""},{"dropping-particle":"","family":"Pratiwi","given":"Wiwik Dwi","non-dropping-particle":"","parse-names":false,"suffix":""},{"dropping-particle":"","family":"Fardina","given":"Firda","non-dropping-particle":"","parse-names":false,"suffix":""},{"dropping-particle":"","family":"Widiana","given":"Dika Rahayu","non-dropping-particle":"","parse-names":false,"suffix":""},{"dropping-particle":"","family":"Utomo","given":"Agung Prasetyo","non-dropping-particle":"","parse-names":false,"suffix":""},{"dropping-particle":"","family":"Fahmi","given":"M. Rizal","non-dropping-particle":"","parse-names":false,"suffix":""}],"id":"ITEM-1","issue":"02","issued":{"date-parts":[["2024"]]},"page":"108-118","title":"SUSTAINABLE MATERIALS MELALUI SOLIDIFIKASI-STABILISASI LIMBAH SANDBLASTING MENJADI BETON FEROSEMEN","type":"article-journal","volume":"04"},"uris":["http://www.mendeley.com/documents/?uuid=feb48ffa-396d-4fab-8a4b-4b50b6a90ad6"]}],"mendeley":{"formattedCitation":"(Cahyono et al., 2024)","manualFormatting":"Cahyono et al (2024)","plainTextFormattedCitation":"(Cahyono et al., 2024)","previouslyFormattedCitation":"(Cahyono et al., 2024)"},"properties":{"noteIndex":0},"schema":"https://github.com/citation-style-language/schema/raw/master/csl-citation.json"}</w:instrText>
      </w:r>
      <w:r w:rsidR="00B81079">
        <w:rPr>
          <w:rFonts w:ascii="Constantia" w:eastAsia="Constantia" w:hAnsi="Constantia" w:cs="Constantia"/>
          <w:sz w:val="20"/>
          <w:szCs w:val="20"/>
        </w:rPr>
        <w:fldChar w:fldCharType="separate"/>
      </w:r>
      <w:r w:rsidR="00B81079" w:rsidRPr="00B81079">
        <w:rPr>
          <w:rFonts w:ascii="Constantia" w:eastAsia="Constantia" w:hAnsi="Constantia" w:cs="Constantia"/>
          <w:noProof/>
          <w:sz w:val="20"/>
          <w:szCs w:val="20"/>
        </w:rPr>
        <w:t xml:space="preserve">Cahyono et al </w:t>
      </w:r>
      <w:r w:rsidR="003912E8">
        <w:rPr>
          <w:rFonts w:ascii="Constantia" w:eastAsia="Constantia" w:hAnsi="Constantia" w:cs="Constantia"/>
          <w:noProof/>
          <w:sz w:val="20"/>
          <w:szCs w:val="20"/>
        </w:rPr>
        <w:t>(</w:t>
      </w:r>
      <w:r w:rsidR="00B81079" w:rsidRPr="00B81079">
        <w:rPr>
          <w:rFonts w:ascii="Constantia" w:eastAsia="Constantia" w:hAnsi="Constantia" w:cs="Constantia"/>
          <w:noProof/>
          <w:sz w:val="20"/>
          <w:szCs w:val="20"/>
        </w:rPr>
        <w:t>2024)</w:t>
      </w:r>
      <w:r w:rsidR="00B81079">
        <w:rPr>
          <w:rFonts w:ascii="Constantia" w:eastAsia="Constantia" w:hAnsi="Constantia" w:cs="Constantia"/>
          <w:sz w:val="20"/>
          <w:szCs w:val="20"/>
        </w:rPr>
        <w:fldChar w:fldCharType="end"/>
      </w:r>
      <w:r w:rsidR="00563F87" w:rsidRPr="00563F87">
        <w:rPr>
          <w:rFonts w:ascii="Constantia" w:eastAsia="Constantia" w:hAnsi="Constantia" w:cs="Constantia"/>
          <w:sz w:val="20"/>
          <w:szCs w:val="20"/>
        </w:rPr>
        <w:t xml:space="preserve">, </w:t>
      </w:r>
      <w:r w:rsidR="00334B72" w:rsidRPr="008A479F">
        <w:rPr>
          <w:rFonts w:ascii="Constantia" w:eastAsia="Constantia" w:hAnsi="Constantia" w:cs="Constantia"/>
          <w:sz w:val="20"/>
          <w:szCs w:val="20"/>
        </w:rPr>
        <w:t>the solidification–stabilization method can be applied to reduce the leaching potential of heavy metals into the environment. This method treats liquid or semi-solid waste by converting it into a more stable solid form through the addition of binding materials such as cement, which react with contaminants in the waste to form a stable matrix that encapsulates hazardous components.</w:t>
      </w:r>
      <w:r w:rsidR="003700FF">
        <w:rPr>
          <w:rFonts w:ascii="Constantia" w:eastAsia="Constantia" w:hAnsi="Constantia" w:cs="Constantia"/>
          <w:sz w:val="20"/>
          <w:szCs w:val="20"/>
        </w:rPr>
        <w:t xml:space="preserve"> </w:t>
      </w:r>
      <w:r w:rsidR="00AC4897" w:rsidRPr="00C4323E">
        <w:rPr>
          <w:rFonts w:ascii="Constantia" w:eastAsia="Constantia" w:hAnsi="Constantia" w:cs="Constantia"/>
          <w:sz w:val="20"/>
          <w:szCs w:val="20"/>
        </w:rPr>
        <w:t>F</w:t>
      </w:r>
      <w:r w:rsidR="00AC4897">
        <w:rPr>
          <w:rFonts w:ascii="Constantia" w:eastAsia="Constantia" w:hAnsi="Constantia" w:cs="Constantia"/>
          <w:sz w:val="20"/>
          <w:szCs w:val="20"/>
        </w:rPr>
        <w:t>erric oxide</w:t>
      </w:r>
      <w:r w:rsidR="00AC4897" w:rsidRPr="00C4323E">
        <w:rPr>
          <w:rFonts w:ascii="Constantia" w:eastAsia="Constantia" w:hAnsi="Constantia" w:cs="Constantia"/>
          <w:sz w:val="20"/>
          <w:szCs w:val="20"/>
        </w:rPr>
        <w:t xml:space="preserve"> waste typically appears as fine powder with micrometer-sized particles. Its main component, ferric oxide (Fe₂O₃), primarily exists in the form of hematite (α-Fe₂O₃), which is the most thermodynamically stable phase with a hexagonal close-packed crystal structure. The iron content in this waste can reach approximately 97%</w:t>
      </w:r>
      <w:r w:rsidR="00AC4897">
        <w:rPr>
          <w:rFonts w:ascii="Constantia" w:eastAsia="Constantia" w:hAnsi="Constantia" w:cs="Constantia"/>
          <w:sz w:val="20"/>
          <w:szCs w:val="20"/>
        </w:rPr>
        <w:t xml:space="preserve"> </w:t>
      </w:r>
      <w:r w:rsidR="000A5038">
        <w:rPr>
          <w:rFonts w:ascii="Constantia" w:eastAsia="Constantia" w:hAnsi="Constantia" w:cs="Constantia"/>
          <w:sz w:val="20"/>
          <w:szCs w:val="20"/>
        </w:rPr>
        <w:fldChar w:fldCharType="begin" w:fldLock="1"/>
      </w:r>
      <w:r w:rsidR="003B1934">
        <w:rPr>
          <w:rFonts w:ascii="Constantia" w:eastAsia="Constantia" w:hAnsi="Constantia" w:cs="Constantia"/>
          <w:sz w:val="20"/>
          <w:szCs w:val="20"/>
        </w:rPr>
        <w:instrText>ADDIN CSL_CITATION {"citationItems":[{"id":"ITEM-1","itemData":{"ISBN":"9783642253874","ISSN":"03795721","PMID":"5661397","abstract":"Severe acute malnutrition (SAM) is a common condition that kills children and intellectually maims those who survive. Close to 20 million children under the age of 5 years suffer from SAM globally, and about 1 million of them die each year. Much of this burden takes place in Asia. Six countries in Asia together have more than 12 million children suffering from SAM: 0.6 million in Afghanistan, 0.6 million in Bangladesh, 8.0 million in India, 1.2 million in Indonesia, 1.4 million in Pakistan, and 0.6 million in Yemen. This article is based on a review of SAM burden and intervention programs in Asian countries where, despite the huge numbers of children suffering from the condition, the coverage of interventions is either absent on a national scale or poor. Countries in Asia have to recognize SAM as a major problem and mobilize internal resources for its management. Screening of children in the community for SAM and appropriate referral and back referral require good health systems. Improving grassroots services will not only contribute to improving management of SAM, it will also improve infant and young child feeding and nutrition in general. Ready-to-use therapeutic food (RUTF), the key to home management of SAM without complications, is still not endorsed by many countries because of its unavailability in the countries and its cost. It should preferably be produced locally from locally available food ingredients. Countries in Asia that do not have the capacity to produce RUTF from locally available food ingredients can benefit from other countries in the region that can produce it. Health facilities in all high-burden countries should be staffed and equipped to treat children with SAM. A continuous cascade of training of health staff on management of SAM can offset the damage that results from staff attrition or transfers. The basic nutrition interventions, which include breastfeeding, appropriate complementary feeding, micronutrient supplementation, and management of acute malnutrition, should be scaled up in Asian countries that are plagued with the burden of malnutrition.","author":[{"dropping-particle":"","family":"Pravana","given":"Nilesh Kumar","non-dropping-particle":"","parse-names":false,"suffix":""},{"dropping-particle":"","family":"Piryani","given":"Suneel","non-dropping-particle":"","parse-names":false,"suffix":""},{"dropping-particle":"","family":"Chaurasiya","given":"Surendra Prasad","non-dropping-particle":"","parse-names":false,"suffix":""},{"dropping-particle":"","family":"Kawan","given":"Rasmila","non-dropping-particle":"","parse-names":false,"suffix":""},{"dropping-particle":"","family":"Thapa","given":"Ram Krishna","non-dropping-particle":"","parse-names":false,"suffix":""},{"dropping-particle":"","family":"Shrestha","given":"Sumina","non-dropping-particle":"","parse-names":false,"suffix":""},{"dropping-particle":"","family":"Brouwer","given":"Inge D.","non-dropping-particle":"","parse-names":false,"suffix":""},{"dropping-particle":"de","family":"Jager","given":"Ilse","non-dropping-particle":"","parse-names":false,"suffix":""},{"dropping-particle":"","family":"Borgonjen","given":"Karin","non-dropping-particle":"","parse-names":false,"suffix":""},{"dropping-particle":"","family":"Azupogo","given":"Fusta","non-dropping-particle":"","parse-names":false,"suffix":""},{"dropping-particle":"","family":"Rooij","given":"Merel","non-dropping-particle":"","parse-names":false,"suffix":""},{"dropping-particle":"","family":"Folson","given":"Gloria","non-dropping-particle":"","parse-names":false,"suffix":""},{"dropping-particle":"","family":"Abizari","given":"Razak","non-dropping-particle":"","parse-names":false,"suffix":""},{"dropping-particle":"","family":"Frempong","given":"Raymond Boadi","non-dropping-particle":"","parse-names":false,"suffix":""},{"dropping-particle":"","family":"Annim","given":"Samuel Kobina","non-dropping-particle":"","parse-names":false,"suffix":""},{"dropping-particle":"","family":"Boah","given":"Michael","non-dropping-particle":"","parse-names":false,"suffix":""},{"dropping-particle":"","family":"Azupogo","given":"Fusta","non-dropping-particle":"","parse-names":false,"suffix":""},{"dropping-particle":"","family":"Amporfro","given":"Daniel Adjei","non-dropping-particle":"","parse-names":false,"suffix":""},{"dropping-particle":"","family":"Abada","given":"Linda Anutua","non-dropping-particle":"","parse-names":false,"suffix":""},{"dropping-particle":"","family":"Issahaku","given":"Gyesi Razak","non-dropping-particle":"","parse-names":false,"suffix":""},{"dropping-particle":"","family":"Nyarko","given":"Kofi Mensah","non-dropping-particle":"","parse-names":false,"suffix":""},{"dropping-particle":"","family":"Mahama","given":"Jacob Yakubu","non-dropping-particle":"","parse-names":false,"suffix":""},{"dropping-particle":"","family":"Sackey","given":"Samuel Oko","non-dropping-particle":"","parse-names":false,"suffix":""},{"dropping-particle":"","family":"Andrew","given":"Edwin","non-dropping-particle":"","parse-names":false,"suffix":""},{"dropping-particle":"","family":"Donne","given":"Ameme Kofi","non-dropping-particle":"","parse-names":false,"suffix":""},{"dropping-particle":"","family":"Kenu","given":"Ernest","non-dropping-particle":"","parse-names":false,"suffix":""},{"dropping-particle":"","family":"USAID","given":"","non-dropping-particle":"","parse-names":false,"suffix":""},{"dropping-particle":"","family":"Williams","given":"Phoebe C.M.","non-dropping-particle":"","parse-names":false,"suffix":""},{"dropping-particle":"","family":"Berkley","given":"James A.","non-dropping-particle":"","parse-names":false,"suffix":""},{"dropping-particle":"","family":"Groot","given":"Richard","non-dropping-particle":"de","parse-names":false,"suffix":""},{"dropping-particle":"","family":"Handa","given":"Sudhanshu","non-dropping-particle":"","parse-names":false,"suffix":""},{"dropping-particle":"","family":"Ragno","given":"Luigi Peter","non-dropping-particle":"","parse-names":false,"suffix":""},{"dropping-particle":"","family":"Spadafora","given":"Tayllor","non-dropping-particle":"","parse-names":false,"suffix":""},{"dropping-particle":"","family":"Lenters","given":"Lindsey M.","non-dropping-particle":"","parse-names":false,"suffix":""},{"dropping-particle":"","family":"Wazny","given":"Kerri","non-dropping-particle":"","parse-names":false,"suffix":""},{"dropping-particle":"","family":"Webb","given":"Patrick","non-dropping-particle":"","parse-names":false,"suffix":""},{"dropping-particle":"","family":"Ahmed","given":"Tahmeed","non-dropping-particle":"","parse-names":false,"suffix":""},{"dropping-particle":"","family":"Bhutta","given":"Zulfiqar A.","non-dropping-particle":"","parse-names":false,"suffix":""},{"dropping-particle":"","family":"Munthali","given":"Tendai","non-dropping-particle":"","parse-names":false,"suffix":""},{"dropping-particle":"","family":"Jacobs","given":"Choolwe","non-dropping-particle":"","parse-names":false,"suffix":""},{"dropping-particle":"","family":"Sitali","given":"Lungowe","non-dropping-particle":"","parse-names":false,"suffix":""},{"dropping-particle":"","family":"Dambe","given":"Rosalia","non-dropping-particle":"","parse-names":false,"suffix":""},{"dropping-particle":"","family":"Michelo","given":"Charles","non-dropping-particle":"","parse-names":false,"suffix":""},{"dropping-particle":"","family":"Ministry Of Health","given":"","non-dropping-particle":"","parse-names":false,"suffix":""},{"dropping-particle":"","family":"Claude","given":"Marie","non-dropping-particle":"","parse-names":false,"suffix":""},{"dropping-particle":"","family":"Amoaful","given":"Esi Foriwa","non-dropping-particle":"","parse-names":false,"suffix":""},{"dropping-particle":"","family":"World Health Organization","given":"","non-dropping-particle":"","parse-names":false,"suffix":""},{"dropping-particle":"","family":"Tuahir","given":"Kassi Abdul-Latif","non-dropping-particle":"","parse-names":false,"suffix":""},{"dropping-particle":"","family":"Amponsem-boateng","given":"Cecilia","non-dropping-particle":"","parse-names":false,"suffix":""},{"dropping-particle":"","family":"Ahmed","given":"Tahmeed","non-dropping-particle":"","parse-names":false,"suffix":""},{"dropping-particle":"","family":"Hossain","given":"Mir Mobarak Muttaquina","non-dropping-particle":"","parse-names":false,"suffix":""},{"dropping-particle":"","family":"Mahfuz","given":"Mustafa","non-dropping-particle":"","parse-names":false,"suffix":""},{"dropping-particle":"","family":"Choudhury","given":"Nuzhat","non-dropping-particle":"","parse-names":false,"suffix":""},{"dropping-particle":"","family":"Hossain","given":"Mir Mobarak Muttaquina","non-dropping-particle":"","parse-names":false,"suffix":""},{"dropping-particle":"","family":"Bhandari","given":"Nita","non-dropping-particle":"","parse-names":false,"suffix":""},{"dropping-particle":"","family":"Lin","given":"Maung Maung","non-dropping-particle":"","parse-names":false,"suffix":""},{"dropping-particle":"","family":"Joshi","given":"Prakash Chandra","non-dropping-particle":"","parse-names":false,"suffix":""},{"dropping-particle":"","family":"Angdembe","given":"Mirak Raj","non-dropping-particle":"","parse-names":false,"suffix":""},{"dropping-particle":"","family":"Wickramasinghe","given":"V. Pujitha","non-dropping-particle":"","parse-names":false,"suffix":""},{"dropping-particle":"","family":"Hossain","given":"S. M.Moazzem","non-dropping-particle":"","parse-names":false,"suffix":""},{"dropping-particle":"","family":"Shahjahan","given":"Mohammad","non-dropping-particle":"","parse-names":false,"suffix":""},{"dropping-particle":"","family":"Irianto","given":"Sugeng Eko","non-dropping-particle":"","parse-names":false,"suffix":""},{"dropping-particle":"","family":"Soofi","given":"Sajid","non-dropping-particle":"","parse-names":false,"suffix":""},{"dropping-particle":"","family":"Bhutta","given":"Zulfiqar A.","non-dropping-particle":"","parse-names":false,"suffix":""},{"dropping-particle":"","family":"Dapi Nzefa","given":"Léonie","non-dropping-particle":"","parse-names":false,"suffix":""},{"dropping-particle":"","family":"Monebenimp","given":"Francisca","non-dropping-particle":"","parse-names":false,"suffix":""},{"dropping-particle":"","family":"Äng","given":"Christofer","non-dropping-particle":"","parse-names":false,"suffix":""},{"dropping-particle":"","family":"Ph","given":"Recognizing Outstanding","non-dropping-particle":"","parse-names":false,"suffix":""},{"dropping-particle":"","family":"WHO","given":"","non-dropping-particle":"","parse-names":false,"suffix":""}],"container-title":"Development Studies Research","id":"ITEM-1","issue":"1","issued":{"date-parts":[["2017"]]},"page":"43","title":"SINTESIS PIGMEN GEOTHIT (α-FeOOH) DARI LIMBAH BUBUT BESI DENGAN VARIASI SUHU SINTESIS","type":"article-journal","volume":"3"},"uris":["http://www.mendeley.com/documents/?uuid=6c090125-9c70-4b3a-a39c-2ba3ff79b658"]}],"mendeley":{"formattedCitation":"(Pravana et al., 2017)","plainTextFormattedCitation":"(Pravana et al., 2017)","previouslyFormattedCitation":"(Pravana et al., 2017)"},"properties":{"noteIndex":0},"schema":"https://github.com/citation-style-language/schema/raw/master/csl-citation.json"}</w:instrText>
      </w:r>
      <w:r w:rsidR="000A5038">
        <w:rPr>
          <w:rFonts w:ascii="Constantia" w:eastAsia="Constantia" w:hAnsi="Constantia" w:cs="Constantia"/>
          <w:sz w:val="20"/>
          <w:szCs w:val="20"/>
        </w:rPr>
        <w:fldChar w:fldCharType="separate"/>
      </w:r>
      <w:r w:rsidR="000A5038" w:rsidRPr="000A5038">
        <w:rPr>
          <w:rFonts w:ascii="Constantia" w:eastAsia="Constantia" w:hAnsi="Constantia" w:cs="Constantia"/>
          <w:noProof/>
          <w:sz w:val="20"/>
          <w:szCs w:val="20"/>
        </w:rPr>
        <w:t>(Pravana et al., 2017)</w:t>
      </w:r>
      <w:r w:rsidR="000A5038">
        <w:rPr>
          <w:rFonts w:ascii="Constantia" w:eastAsia="Constantia" w:hAnsi="Constantia" w:cs="Constantia"/>
          <w:sz w:val="20"/>
          <w:szCs w:val="20"/>
        </w:rPr>
        <w:fldChar w:fldCharType="end"/>
      </w:r>
      <w:r w:rsidR="00CB15B7">
        <w:rPr>
          <w:rFonts w:ascii="Constantia" w:eastAsia="Constantia" w:hAnsi="Constantia" w:cs="Constantia"/>
          <w:sz w:val="20"/>
          <w:szCs w:val="20"/>
        </w:rPr>
        <w:t xml:space="preserve">. </w:t>
      </w:r>
      <w:r w:rsidR="000F2F13">
        <w:rPr>
          <w:rFonts w:ascii="Constantia" w:eastAsia="Constantia" w:hAnsi="Constantia" w:cs="Constantia"/>
          <w:sz w:val="20"/>
          <w:szCs w:val="20"/>
        </w:rPr>
        <w:t xml:space="preserve"> </w:t>
      </w:r>
      <w:r w:rsidR="00123BEA" w:rsidRPr="00C4323E">
        <w:rPr>
          <w:rFonts w:ascii="Constantia" w:eastAsia="Constantia" w:hAnsi="Constantia" w:cs="Constantia"/>
          <w:sz w:val="20"/>
          <w:szCs w:val="20"/>
        </w:rPr>
        <w:t>This powder is obtained from steel industry waste after removing impurities such as silica using concentrated HCl solution</w:t>
      </w:r>
      <w:r w:rsidR="00123BEA">
        <w:rPr>
          <w:rFonts w:ascii="Constantia" w:eastAsia="Constantia" w:hAnsi="Constantia" w:cs="Constantia"/>
          <w:sz w:val="20"/>
          <w:szCs w:val="20"/>
        </w:rPr>
        <w:t xml:space="preserve"> </w:t>
      </w:r>
      <w:r w:rsidR="00F82AE4">
        <w:rPr>
          <w:rFonts w:ascii="Constantia" w:eastAsia="Constantia" w:hAnsi="Constantia" w:cs="Constantia"/>
          <w:sz w:val="20"/>
          <w:szCs w:val="20"/>
        </w:rPr>
        <w:fldChar w:fldCharType="begin" w:fldLock="1"/>
      </w:r>
      <w:r w:rsidR="00880A74">
        <w:rPr>
          <w:rFonts w:ascii="Constantia" w:eastAsia="Constantia" w:hAnsi="Constantia" w:cs="Constantia"/>
          <w:sz w:val="20"/>
          <w:szCs w:val="20"/>
        </w:rPr>
        <w:instrText>ADDIN CSL_CITATION {"citationItems":[{"id":"ITEM-1","itemData":{"abstract":"Geometri merupakan cabang matematika yang perlu dikaji dan dipelajari secara mendalam, karena geometri digunakan oleh setiap orang dalam kehidupan sehari-hari. Pada dasarnya geometri bukan sesuatu yang asing bagi kita. Anak- anak sudah mengenal bentuk-bentuk geometri melalui benda-benda sederhana yang berada di lingkungan sekitar. Namun kenyataan dilapangan, anak banyak yang sulit memahami konsep bentuk geometri khususnya bangun datar. Sejalan dengan hal tersebut, perlu adanya upaya untuk menanamkan konsep bentuk geometri. Melalui media pembelajaran dan metode-metode pembelajaran yang tepat, maka konsep geometri akan mudah disampaikan kesiswa. Siswa akan lebih mudah memahami konsep bentuk geometri khususnya bangun datar.","author":[{"dropping-particle":"","family":"Hadi","given":"Furqonul Hakim","non-dropping-particle":"Al","parse-names":false,"suffix":""}],"id":"ITEM-1","issued":{"date-parts":[["2019"]]},"page":"68-74","title":"PEMANFAATAN PASIR BESI DALAM SINTESIS HEMATITE (α-Fe2O3) SECARA HIDROTERMAL DENGAN VARIASI TEMPERATUR DAN WAKTU","type":"article-journal"},"uris":["http://www.mendeley.com/documents/?uuid=6dd71f6f-ce45-4c63-99ce-2f7fd5249e32"]}],"mendeley":{"formattedCitation":"(Al Hadi, 2019)","plainTextFormattedCitation":"(Al Hadi, 2019)","previouslyFormattedCitation":"(Al Hadi, 2019)"},"properties":{"noteIndex":0},"schema":"https://github.com/citation-style-language/schema/raw/master/csl-citation.json"}</w:instrText>
      </w:r>
      <w:r w:rsidR="00F82AE4">
        <w:rPr>
          <w:rFonts w:ascii="Constantia" w:eastAsia="Constantia" w:hAnsi="Constantia" w:cs="Constantia"/>
          <w:sz w:val="20"/>
          <w:szCs w:val="20"/>
        </w:rPr>
        <w:fldChar w:fldCharType="separate"/>
      </w:r>
      <w:r w:rsidR="00F82AE4" w:rsidRPr="00F82AE4">
        <w:rPr>
          <w:rFonts w:ascii="Constantia" w:eastAsia="Constantia" w:hAnsi="Constantia" w:cs="Constantia"/>
          <w:noProof/>
          <w:sz w:val="20"/>
          <w:szCs w:val="20"/>
        </w:rPr>
        <w:t>(Al Hadi, 2019)</w:t>
      </w:r>
      <w:r w:rsidR="00F82AE4">
        <w:rPr>
          <w:rFonts w:ascii="Constantia" w:eastAsia="Constantia" w:hAnsi="Constantia" w:cs="Constantia"/>
          <w:sz w:val="20"/>
          <w:szCs w:val="20"/>
        </w:rPr>
        <w:fldChar w:fldCharType="end"/>
      </w:r>
      <w:r w:rsidR="00F82AE4">
        <w:rPr>
          <w:rFonts w:ascii="Constantia" w:eastAsia="Constantia" w:hAnsi="Constantia" w:cs="Constantia"/>
          <w:sz w:val="20"/>
          <w:szCs w:val="20"/>
        </w:rPr>
        <w:t>.</w:t>
      </w:r>
    </w:p>
    <w:p w14:paraId="02B9BB0A" w14:textId="586B7B9D" w:rsidR="00165D39" w:rsidRDefault="00595B09" w:rsidP="003700FF">
      <w:pPr>
        <w:spacing w:after="0"/>
        <w:ind w:firstLine="720"/>
        <w:jc w:val="both"/>
        <w:rPr>
          <w:rFonts w:ascii="Constantia" w:eastAsia="Constantia" w:hAnsi="Constantia" w:cs="Constantia"/>
          <w:sz w:val="20"/>
          <w:szCs w:val="20"/>
        </w:rPr>
      </w:pPr>
      <w:r w:rsidRPr="00C4323E">
        <w:rPr>
          <w:rFonts w:ascii="Constantia" w:eastAsia="Constantia" w:hAnsi="Constantia" w:cs="Constantia"/>
          <w:sz w:val="20"/>
          <w:szCs w:val="20"/>
        </w:rPr>
        <w:t>Portland cement production is a major source of CO₂ emissions due to the calcination of limestone at approximately 1500°C. The amount of CO₂ released is nearly equivalent to the mass of cement produced, making Portland cement production environmentally unsustainable. One of the chemical constituents of Portland cement is ferric oxide (Fe₂O₃), which acts as a pigment and contributes to cement strength. However, the high CO₂ emissions associated with its production have raised environmental concerns</w:t>
      </w:r>
      <w:r>
        <w:rPr>
          <w:rFonts w:ascii="Constantia" w:eastAsia="Constantia" w:hAnsi="Constantia" w:cs="Constantia"/>
          <w:sz w:val="20"/>
          <w:szCs w:val="20"/>
        </w:rPr>
        <w:t xml:space="preserve"> </w:t>
      </w:r>
      <w:r w:rsidR="003B1934">
        <w:rPr>
          <w:rFonts w:ascii="Constantia" w:eastAsia="Constantia" w:hAnsi="Constantia" w:cs="Constantia"/>
          <w:sz w:val="20"/>
          <w:szCs w:val="20"/>
        </w:rPr>
        <w:fldChar w:fldCharType="begin" w:fldLock="1"/>
      </w:r>
      <w:r w:rsidR="00700475">
        <w:rPr>
          <w:rFonts w:ascii="Constantia" w:eastAsia="Constantia" w:hAnsi="Constantia" w:cs="Constantia"/>
          <w:sz w:val="20"/>
          <w:szCs w:val="20"/>
        </w:rPr>
        <w:instrText>ADDIN CSL_CITATION {"citationItems":[{"id":"ITEM-1","itemData":{"ISBN":"9786022641278","abstract":"Naskah ini disusun dengan sumber dana APBN Tahun 2015 pada paket pekerjaan Inovasi Teknologi Beton dengan Sedikit dan Tanpa Semen Portland untuk Pembangunan Infrastruktur di Indonesia. Pandangan yang disampaikan di dalam publikasi ini tidak menggambarkan pandangan dan kebijakan Kementerian Pekerjaan Umum, unsur pimpinan, maupun institusi pemerintah lainnya. Kementerian Pekerjaan Umum dan Perumahan Rakyat tidak menjamin akurasi data yang disampaikan dalam publikasi ini, dan tanggung jawab atas data dan informasi sepenuhnya dipegang oleh penulis. Kementerian Pekerjaan Umum dan Perumahan Rakyat mendorong percetakan dan memperbanyak informasi secara eksklusif untuk peroRangan dan pemanfaatan nonkomersil dengan pemberitahuan yang memadai kepada Kementerian Pekerjaan. Pengguna dibatasi dalam menjual kembali, mendistribusikan atau pekerjaan kreatif turunan untuk tujuan komersil tanpa izin tertulis dari Kementerian Pekerjaan Umum","author":[{"dropping-particle":"","family":"Irawan","given":"Rulli Ranastra","non-dropping-particle":"","parse-names":false,"suffix":""},{"dropping-particle":"","family":"Hardono","given":"Setyo","non-dropping-particle":"","parse-names":false,"suffix":""},{"dropping-particle":"","family":"Budiman","given":"Yanu Ikhtiar","non-dropping-particle":"","parse-names":false,"suffix":""}],"id":"ITEM-1","issued":{"date-parts":[["2015"]]},"number-of-pages":"1-90","title":"Beton dengan Sedikit Semen Portland dan Tanpa Semen Portland dengan Memanfaatkan Abu Terbang PLTU Batubara","type":"book"},"uris":["http://www.mendeley.com/documents/?uuid=de1631b5-f202-4a18-b631-a8022fa34578"]}],"mendeley":{"formattedCitation":"(Irawan et al., 2015)","plainTextFormattedCitation":"(Irawan et al., 2015)","previouslyFormattedCitation":"(Irawan et al., 2015)"},"properties":{"noteIndex":0},"schema":"https://github.com/citation-style-language/schema/raw/master/csl-citation.json"}</w:instrText>
      </w:r>
      <w:r w:rsidR="003B1934">
        <w:rPr>
          <w:rFonts w:ascii="Constantia" w:eastAsia="Constantia" w:hAnsi="Constantia" w:cs="Constantia"/>
          <w:sz w:val="20"/>
          <w:szCs w:val="20"/>
        </w:rPr>
        <w:fldChar w:fldCharType="separate"/>
      </w:r>
      <w:r w:rsidR="003B1934" w:rsidRPr="003B1934">
        <w:rPr>
          <w:rFonts w:ascii="Constantia" w:eastAsia="Constantia" w:hAnsi="Constantia" w:cs="Constantia"/>
          <w:noProof/>
          <w:sz w:val="20"/>
          <w:szCs w:val="20"/>
        </w:rPr>
        <w:t>(Irawan et al., 2015)</w:t>
      </w:r>
      <w:r w:rsidR="003B1934">
        <w:rPr>
          <w:rFonts w:ascii="Constantia" w:eastAsia="Constantia" w:hAnsi="Constantia" w:cs="Constantia"/>
          <w:sz w:val="20"/>
          <w:szCs w:val="20"/>
        </w:rPr>
        <w:fldChar w:fldCharType="end"/>
      </w:r>
      <w:r w:rsidR="00E81490" w:rsidRPr="00E81490">
        <w:rPr>
          <w:rFonts w:ascii="Constantia" w:eastAsia="Constantia" w:hAnsi="Constantia" w:cs="Constantia"/>
          <w:sz w:val="20"/>
          <w:szCs w:val="20"/>
        </w:rPr>
        <w:t>.</w:t>
      </w:r>
      <w:r w:rsidR="003700FF">
        <w:rPr>
          <w:rFonts w:ascii="Constantia" w:eastAsia="Constantia" w:hAnsi="Constantia" w:cs="Constantia"/>
          <w:sz w:val="20"/>
          <w:szCs w:val="20"/>
        </w:rPr>
        <w:t xml:space="preserve"> </w:t>
      </w:r>
      <w:r w:rsidR="0017336E" w:rsidRPr="009A3A5F">
        <w:rPr>
          <w:rFonts w:ascii="Constantia" w:eastAsia="Constantia" w:hAnsi="Constantia" w:cs="Constantia"/>
          <w:sz w:val="20"/>
          <w:szCs w:val="20"/>
        </w:rPr>
        <w:t>Partial substitution of Portland cement with ferric oxide waste can significantly reduce CO₂ emissions since FO waste does not require calcination. This substitution not only lowers the carbon footprint of cement production but also enhances the aesthetic quality of concrete or mortar products by imparting a natural red hue. Thus, the use of FO waste as a partial cement substitute creates a more environmentally friendly material while providing added aesthetic value</w:t>
      </w:r>
      <w:r w:rsidR="0017336E">
        <w:rPr>
          <w:rFonts w:ascii="Constantia" w:eastAsia="Constantia" w:hAnsi="Constantia" w:cs="Constantia"/>
          <w:sz w:val="20"/>
          <w:szCs w:val="20"/>
        </w:rPr>
        <w:t xml:space="preserve"> </w:t>
      </w:r>
      <w:r w:rsidR="00880A74">
        <w:rPr>
          <w:rFonts w:ascii="Constantia" w:eastAsia="Constantia" w:hAnsi="Constantia" w:cs="Constantia"/>
          <w:sz w:val="20"/>
          <w:szCs w:val="20"/>
        </w:rPr>
        <w:fldChar w:fldCharType="begin" w:fldLock="1"/>
      </w:r>
      <w:r w:rsidR="007F6B20">
        <w:rPr>
          <w:rFonts w:ascii="Constantia" w:eastAsia="Constantia" w:hAnsi="Constantia" w:cs="Constantia"/>
          <w:sz w:val="20"/>
          <w:szCs w:val="20"/>
        </w:rPr>
        <w:instrText>ADDIN CSL_CITATION {"citationItems":[{"id":"ITEM-1","itemData":{"abstract":"ΕΙΣ ΤΟΝ ΑΙΩΝΑ","author":[{"dropping-particle":"","family":"Habibah","given":"Roisyatul","non-dropping-particle":"","parse-names":false,"suffix":""},{"dropping-particle":"","family":"Ningsih","given":"Rachmawati","non-dropping-particle":"","parse-names":false,"suffix":""},{"dropping-particle":"","family":"Jannah","given":"Akyunul","non-dropping-particle":"","parse-names":false,"suffix":""}],"container-title":"Αγαη","id":"ITEM-1","issue":"5","issued":{"date-parts":[["2019"]]},"page":"55","title":"SINTESIS PIGMEN HEMATIT (α-Fe2O3) DARI LIMBAH BUBUT BESI DENGAN VARIASI KONSENTRASI AGEN PENGENDAP UREA","type":"article-journal","volume":"8"},"uris":["http://www.mendeley.com/documents/?uuid=72ffd78a-b3c4-46c2-abab-fb268f134650"]}],"mendeley":{"formattedCitation":"(Habibah et al., 2019)","plainTextFormattedCitation":"(Habibah et al., 2019)","previouslyFormattedCitation":"(Habibah et al., 2019)"},"properties":{"noteIndex":0},"schema":"https://github.com/citation-style-language/schema/raw/master/csl-citation.json"}</w:instrText>
      </w:r>
      <w:r w:rsidR="00880A74">
        <w:rPr>
          <w:rFonts w:ascii="Constantia" w:eastAsia="Constantia" w:hAnsi="Constantia" w:cs="Constantia"/>
          <w:sz w:val="20"/>
          <w:szCs w:val="20"/>
        </w:rPr>
        <w:fldChar w:fldCharType="separate"/>
      </w:r>
      <w:r w:rsidR="00880A74" w:rsidRPr="00880A74">
        <w:rPr>
          <w:rFonts w:ascii="Constantia" w:eastAsia="Constantia" w:hAnsi="Constantia" w:cs="Constantia"/>
          <w:noProof/>
          <w:sz w:val="20"/>
          <w:szCs w:val="20"/>
        </w:rPr>
        <w:t>(Habibah et al., 2019)</w:t>
      </w:r>
      <w:r w:rsidR="00880A74">
        <w:rPr>
          <w:rFonts w:ascii="Constantia" w:eastAsia="Constantia" w:hAnsi="Constantia" w:cs="Constantia"/>
          <w:sz w:val="20"/>
          <w:szCs w:val="20"/>
        </w:rPr>
        <w:fldChar w:fldCharType="end"/>
      </w:r>
      <w:r w:rsidR="00F547A6">
        <w:rPr>
          <w:rFonts w:ascii="Constantia" w:eastAsia="Constantia" w:hAnsi="Constantia" w:cs="Constantia"/>
          <w:sz w:val="20"/>
          <w:szCs w:val="20"/>
        </w:rPr>
        <w:t>.</w:t>
      </w:r>
    </w:p>
    <w:p w14:paraId="25FF7F9F" w14:textId="40739B83" w:rsidR="00123901" w:rsidRDefault="00F35EE5" w:rsidP="003700FF">
      <w:pPr>
        <w:spacing w:after="0"/>
        <w:ind w:firstLine="720"/>
        <w:jc w:val="both"/>
        <w:rPr>
          <w:rFonts w:ascii="Constantia" w:eastAsia="Constantia" w:hAnsi="Constantia" w:cs="Constantia"/>
          <w:sz w:val="20"/>
          <w:szCs w:val="20"/>
        </w:rPr>
      </w:pPr>
      <w:r w:rsidRPr="009A3A5F">
        <w:rPr>
          <w:rFonts w:ascii="Constantia" w:eastAsia="Constantia" w:hAnsi="Constantia" w:cs="Constantia"/>
          <w:sz w:val="20"/>
          <w:szCs w:val="20"/>
        </w:rPr>
        <w:t>Glassfibre Reinforced Concrete (GRC) is a composite material consisting of cement and sand reinforced with glass fibers. Generally, hardened cement-sand mixtures possess high compressive strength but limited flexural capacity. Conversely, glass fibers exhibit excellent tensile and flexural properties. The combination of these materials produces a composite that integrates the mechanical characteristics of the cement-sand matrix and glass fibers, resulting in improved compressive, flexural, and shear performance</w:t>
      </w:r>
      <w:r>
        <w:rPr>
          <w:rFonts w:ascii="Constantia" w:eastAsia="Constantia" w:hAnsi="Constantia" w:cs="Constantia"/>
          <w:i/>
          <w:iCs/>
          <w:sz w:val="20"/>
          <w:szCs w:val="20"/>
        </w:rPr>
        <w:t xml:space="preserve"> </w:t>
      </w:r>
      <w:r w:rsidR="00FF6F7E">
        <w:rPr>
          <w:rFonts w:ascii="Constantia" w:eastAsia="Constantia" w:hAnsi="Constantia" w:cs="Constantia"/>
          <w:sz w:val="20"/>
          <w:szCs w:val="20"/>
        </w:rPr>
        <w:fldChar w:fldCharType="begin" w:fldLock="1"/>
      </w:r>
      <w:r w:rsidR="00E7086C">
        <w:rPr>
          <w:rFonts w:ascii="Constantia" w:eastAsia="Constantia" w:hAnsi="Constantia" w:cs="Constantia"/>
          <w:sz w:val="20"/>
          <w:szCs w:val="20"/>
        </w:rPr>
        <w:instrText>ADDIN CSL_CITATION {"citationItems":[{"id":"ITEM-1","itemData":{"abstract":"Background: Glass Reinforced Concrete (GRC) is an innovative construction material that combines glass fiber with concrete, providing high strength and durability. However, the influence of GRC mixture composition on flexural strength values has not been studied in depth. Therefore, this study aims to analyze the effect of GRC mixture composition variables, such as the ratio between glass fiber and concrete binder, on flexural strength. It is hoped that the results of this research can provide deeper insight into the use of GRC in construction and help develop more efficient and durable construction materials. Results: From the results of the discussion regarding the effect of differences in fiberglass composition on flexural strength, it was found that the addition of 2% fiber resulted in an average flexural strength of 23.01 kgf/cm2, with an increase of up to 49.77 kgf/cm2 at 1% fiberglass. However, with a fiber composition of 0.8%, the highest flexural strength was obtained at 56.84 kgf/cm2. The addition of fibers that exceed the maximum limit can reduce the density of GRC concrete so that its ability to distribute bending strength forces is reduced. Meanwhile, the effect of fly ash substitution on flexural strength shows that replacing some of the cement with fly ash by 20% can increase the flexural strength value of GRC, because the silica and alumina compounds in fly ash can speed up the hydration process. However, of the five specimens tested, none met the SNI 8299:2017 standard which requires a minimum average flexural strength of 100 kgf/cm2","author":[{"dropping-particle":"","family":"Hendrawati","given":"Lisa Khusna","non-dropping-particle":"","parse-names":false,"suffix":""},{"dropping-particle":"","family":"Khusna","given":"Lisa","non-dropping-particle":"","parse-names":false,"suffix":""},{"dropping-particle":"","family":"Teknik","given":"Hendrawati","non-dropping-particle":"","parse-names":false,"suffix":""},{"dropping-particle":"","family":"Limbah","given":"Pengolahan","non-dropping-particle":"","parse-names":false,"suffix":""},{"dropping-particle":"","family":"Perkapalan","given":"Politeknik","non-dropping-particle":"","parse-names":false,"suffix":""},{"dropping-particle":"","family":"Surabaya","given":"Negeri","non-dropping-particle":"","parse-names":false,"suffix":""},{"dropping-particle":"","family":"Magfiroh","given":"Roudotul","non-dropping-particle":"","parse-names":false,"suffix":""},{"dropping-particle":"","family":"Teknik","given":"Ariada","non-dropping-particle":"","parse-names":false,"suffix":""},{"dropping-particle":"","family":"Oktavina","given":"Denny","non-dropping-particle":"","parse-names":false,"suffix":""},{"dropping-particle":"","family":"Teknik","given":"R","non-dropping-particle":"","parse-names":false,"suffix":""}],"id":"ITEM-1","issue":"2","issued":{"date-parts":[["2024"]]},"page":"209-218","title":"Glass Reinforced Concrete (GRC)","type":"article-journal","volume":"2"},"uris":["http://www.mendeley.com/documents/?uuid=16a258f3-ae2b-4dd0-9053-90ab05dfba46"]}],"mendeley":{"formattedCitation":"(Hendrawati et al., 2024)","plainTextFormattedCitation":"(Hendrawati et al., 2024)","previouslyFormattedCitation":"(Hendrawati et al., 2024)"},"properties":{"noteIndex":0},"schema":"https://github.com/citation-style-language/schema/raw/master/csl-citation.json"}</w:instrText>
      </w:r>
      <w:r w:rsidR="00FF6F7E">
        <w:rPr>
          <w:rFonts w:ascii="Constantia" w:eastAsia="Constantia" w:hAnsi="Constantia" w:cs="Constantia"/>
          <w:sz w:val="20"/>
          <w:szCs w:val="20"/>
        </w:rPr>
        <w:fldChar w:fldCharType="separate"/>
      </w:r>
      <w:r w:rsidR="00FF6F7E" w:rsidRPr="003912E8">
        <w:rPr>
          <w:rFonts w:ascii="Constantia" w:eastAsia="Constantia" w:hAnsi="Constantia" w:cs="Constantia"/>
          <w:noProof/>
          <w:sz w:val="20"/>
          <w:szCs w:val="20"/>
        </w:rPr>
        <w:t>(Hendrawati et al., 2024)</w:t>
      </w:r>
      <w:r w:rsidR="00FF6F7E">
        <w:rPr>
          <w:rFonts w:ascii="Constantia" w:eastAsia="Constantia" w:hAnsi="Constantia" w:cs="Constantia"/>
          <w:sz w:val="20"/>
          <w:szCs w:val="20"/>
        </w:rPr>
        <w:fldChar w:fldCharType="end"/>
      </w:r>
      <w:r w:rsidR="00FF6F7E">
        <w:rPr>
          <w:rFonts w:ascii="Constantia" w:eastAsia="Constantia" w:hAnsi="Constantia" w:cs="Constantia"/>
          <w:sz w:val="20"/>
          <w:szCs w:val="20"/>
        </w:rPr>
        <w:t xml:space="preserve">. </w:t>
      </w:r>
      <w:r w:rsidR="00AB4C25" w:rsidRPr="005D02E6">
        <w:rPr>
          <w:rFonts w:ascii="Constantia" w:eastAsia="Constantia" w:hAnsi="Constantia" w:cs="Constantia"/>
          <w:sz w:val="20"/>
          <w:szCs w:val="20"/>
        </w:rPr>
        <w:t>GRC products are widely used in interior applications such as partition panels and decorative elements, as well as in exterior applications including building façades, due to their high mechanical strength, relatively low weight, and weather resistance</w:t>
      </w:r>
      <w:r w:rsidR="00E379D8">
        <w:rPr>
          <w:rFonts w:ascii="Constantia" w:eastAsia="Constantia" w:hAnsi="Constantia" w:cs="Constantia"/>
          <w:sz w:val="20"/>
          <w:szCs w:val="20"/>
        </w:rPr>
        <w:t xml:space="preserve"> </w:t>
      </w:r>
      <w:r w:rsidR="00515568">
        <w:rPr>
          <w:rFonts w:ascii="Constantia" w:eastAsia="Constantia" w:hAnsi="Constantia" w:cs="Constantia"/>
          <w:sz w:val="20"/>
          <w:szCs w:val="20"/>
        </w:rPr>
        <w:fldChar w:fldCharType="begin" w:fldLock="1"/>
      </w:r>
      <w:r w:rsidR="005D53A7">
        <w:rPr>
          <w:rFonts w:ascii="Constantia" w:eastAsia="Constantia" w:hAnsi="Constantia" w:cs="Constantia"/>
          <w:sz w:val="20"/>
          <w:szCs w:val="20"/>
        </w:rPr>
        <w:instrText>ADDIN CSL_CITATION {"citationItems":[{"id":"ITEM-1","itemData":{"DOI":"10.25077/jfu.5.3.233-237.2016","ISSN":"2302-8491","abstract":"Telah dilakukan penelitian tentang pengaruh persentase massa gipsum dan serat terhadap kuat tekan dan kuat lentur papan semen-gipsum berserat eceng gondok. Alat uji Kuat tekan dan kuat lentur  diukur menggunakan universal testing machine (UTM). Dari hasil pengujian terhadap papan semen-gipsum dengan persentase massa serat tetap 2,5% diperoleh nilai kuat tekan paling tinggi yaitu sebesar 14,52 kg/cm2 pada persentase massa gipsum 30%. Sedangkan pada papan semen-gipsum dengan persentase massa gipsum tetap 30% diperoleh nilai  kuat tekan tertinggi sebesar 24,99 kg/cm2 pada persentase massa serat 7,5%. Hasil pengujian terhadap papan semen-gipsum dengan persentase massa serat tetap 2,5% diperoleh nilai kuat lentur paling tinggi yaitu sebesar 1,265 kg/cm2 pada persentase massa gipsum 30%. Sedangkan pada papan semen-gipsum dengan persentase massa gipsum tetap 30% diperoleh nilai  lentur tertinggi sebesar 1,575 kg/cm2 pada persentase massa serat 5%.Kata kunci: papan semen-gipsum, serat eceng gondok, kuat tekan dan kuat lentur.","author":[{"dropping-particle":"","family":"Qorina","given":"Ummi","non-dropping-particle":"","parse-names":false,"suffix":""},{"dropping-particle":"","family":"Mahyudin","given":"Alimin","non-dropping-particle":"","parse-names":false,"suffix":""},{"dropping-particle":"","family":"Handani","given":"Sri","non-dropping-particle":"","parse-names":false,"suffix":""}],"container-title":"Jurnal Fisika Unand","id":"ITEM-1","issue":"3","issued":{"date-parts":[["2016"]]},"page":"233-237","title":"Pengaruh Persentase Massa Gipsum Dan Serat Terhadap Kuat Tekan Dan Kuat Lentur Papan Semen - Gipsum Berserat Enceng Gondok","type":"article-journal","volume":"5"},"uris":["http://www.mendeley.com/documents/?uuid=ef484a73-0d62-403f-892c-2fd3ace52318"]}],"mendeley":{"formattedCitation":"(Qorina et al., 2016)","plainTextFormattedCitation":"(Qorina et al., 2016)","previouslyFormattedCitation":"(Qorina et al., 2016)"},"properties":{"noteIndex":0},"schema":"https://github.com/citation-style-language/schema/raw/master/csl-citation.json"}</w:instrText>
      </w:r>
      <w:r w:rsidR="00515568">
        <w:rPr>
          <w:rFonts w:ascii="Constantia" w:eastAsia="Constantia" w:hAnsi="Constantia" w:cs="Constantia"/>
          <w:sz w:val="20"/>
          <w:szCs w:val="20"/>
        </w:rPr>
        <w:fldChar w:fldCharType="separate"/>
      </w:r>
      <w:r w:rsidR="00515568" w:rsidRPr="00515568">
        <w:rPr>
          <w:rFonts w:ascii="Constantia" w:eastAsia="Constantia" w:hAnsi="Constantia" w:cs="Constantia"/>
          <w:noProof/>
          <w:sz w:val="20"/>
          <w:szCs w:val="20"/>
        </w:rPr>
        <w:t>(Qorina et al., 2016)</w:t>
      </w:r>
      <w:r w:rsidR="00515568">
        <w:rPr>
          <w:rFonts w:ascii="Constantia" w:eastAsia="Constantia" w:hAnsi="Constantia" w:cs="Constantia"/>
          <w:sz w:val="20"/>
          <w:szCs w:val="20"/>
        </w:rPr>
        <w:fldChar w:fldCharType="end"/>
      </w:r>
      <w:r w:rsidR="009C6912">
        <w:rPr>
          <w:rFonts w:ascii="Constantia" w:eastAsia="Constantia" w:hAnsi="Constantia" w:cs="Constantia"/>
          <w:sz w:val="20"/>
          <w:szCs w:val="20"/>
        </w:rPr>
        <w:t>.</w:t>
      </w:r>
      <w:r w:rsidR="00563F87" w:rsidRPr="00563F87">
        <w:rPr>
          <w:rFonts w:ascii="Constantia" w:eastAsia="Constantia" w:hAnsi="Constantia" w:cs="Constantia"/>
          <w:sz w:val="20"/>
          <w:szCs w:val="20"/>
        </w:rPr>
        <w:t xml:space="preserve"> </w:t>
      </w:r>
      <w:r w:rsidR="00B33A04" w:rsidRPr="005D02E6">
        <w:rPr>
          <w:rFonts w:ascii="Constantia" w:eastAsia="Constantia" w:hAnsi="Constantia" w:cs="Constantia"/>
          <w:sz w:val="20"/>
          <w:szCs w:val="20"/>
        </w:rPr>
        <w:t>The partial substitution of Portland cement with ferric oxide (FO) is of great interest, as it not only reduces carbon emissions generated during cement production but also aligns with evidence showing that secondary cementitious material substitution can lower energy consumption and greenhouse gas (GHG) emissions by 1–94%, depending on the type and proportion of the substitute</w:t>
      </w:r>
      <w:r w:rsidR="00B33A04">
        <w:rPr>
          <w:rFonts w:ascii="Constantia" w:eastAsia="Constantia" w:hAnsi="Constantia" w:cs="Constantia"/>
          <w:sz w:val="20"/>
          <w:szCs w:val="20"/>
        </w:rPr>
        <w:t xml:space="preserve"> </w:t>
      </w:r>
      <w:r w:rsidR="00536D4B">
        <w:rPr>
          <w:rFonts w:ascii="Constantia" w:eastAsia="Constantia" w:hAnsi="Constantia" w:cs="Constantia"/>
          <w:sz w:val="20"/>
          <w:szCs w:val="20"/>
        </w:rPr>
        <w:fldChar w:fldCharType="begin" w:fldLock="1"/>
      </w:r>
      <w:r w:rsidR="00243BF0">
        <w:rPr>
          <w:rFonts w:ascii="Constantia" w:eastAsia="Constantia" w:hAnsi="Constantia" w:cs="Constantia"/>
          <w:sz w:val="20"/>
          <w:szCs w:val="20"/>
        </w:rPr>
        <w:instrText>ADDIN CSL_CITATION {"citationItems":[{"id":"ITEM-1","itemData":{"DOI":"10.3390/atmos14081200","ISSN":"20734433","abstract":"While there is strong demand for cement because of its widespread use in modern society, its production is a source of international concern due to the large amounts of energy required and the greenhouse gas (GHG) emissions produced in the process. These GHGs deplete the ozone layer and speed up global warming. Therefore, it is important to investigate several methods of handling this issue, and material replacement has been proposed as the best option among many others. In this study, we examine the different strategies that have employed material substitution to reduce energy use and GHG emissions during the past decade. In this study, we provided an overview of the cement production processes and outlined the various material replacement choices available to us (including waste or recycled materials and other materials). This study found that partial (1–60%) and total material substitution in cement production processes have been reported to lower energy consumption by 5.5% to 40% and greenhouse gas emissions by 1% to 94%. This highlights the importance of material substitution in cement production for reducing energy consumption and emissions of greenhouse gases.","author":[{"dropping-particle":"","family":"Akintayo","given":"Busola Dorcas","non-dropping-particle":"","parse-names":false,"suffix":""},{"dropping-particle":"","family":"Akintayo","given":"Damilola Caleb","non-dropping-particle":"","parse-names":false,"suffix":""},{"dropping-particle":"","family":"Olanrewaju","given":"Oludolapo Akanni","non-dropping-particle":"","parse-names":false,"suffix":""}],"container-title":"Atmosphere","id":"ITEM-1","issue":"8","issued":{"date-parts":[["2023"]]},"page":"1-14","title":"Material Substitution Strategies for Energy Reduction and Greenhouse Gas Emission in Cement Manufacturing","type":"article-journal","volume":"14"},"uris":["http://www.mendeley.com/documents/?uuid=82f9c8c4-e64a-4379-8afc-e348f79324ed"]}],"mendeley":{"formattedCitation":"(Akintayo et al., 2023)","plainTextFormattedCitation":"(Akintayo et al., 2023)","previouslyFormattedCitation":"(Akintayo et al., 2023)"},"properties":{"noteIndex":0},"schema":"https://github.com/citation-style-language/schema/raw/master/csl-citation.json"}</w:instrText>
      </w:r>
      <w:r w:rsidR="00536D4B">
        <w:rPr>
          <w:rFonts w:ascii="Constantia" w:eastAsia="Constantia" w:hAnsi="Constantia" w:cs="Constantia"/>
          <w:sz w:val="20"/>
          <w:szCs w:val="20"/>
        </w:rPr>
        <w:fldChar w:fldCharType="separate"/>
      </w:r>
      <w:r w:rsidR="00536D4B" w:rsidRPr="00615994">
        <w:rPr>
          <w:rFonts w:ascii="Constantia" w:eastAsia="Constantia" w:hAnsi="Constantia" w:cs="Constantia"/>
          <w:noProof/>
          <w:sz w:val="20"/>
          <w:szCs w:val="20"/>
        </w:rPr>
        <w:t>(Akintayo et al., 2023)</w:t>
      </w:r>
      <w:r w:rsidR="00536D4B">
        <w:rPr>
          <w:rFonts w:ascii="Constantia" w:eastAsia="Constantia" w:hAnsi="Constantia" w:cs="Constantia"/>
          <w:sz w:val="20"/>
          <w:szCs w:val="20"/>
        </w:rPr>
        <w:fldChar w:fldCharType="end"/>
      </w:r>
      <w:r w:rsidR="00536D4B">
        <w:rPr>
          <w:rFonts w:ascii="Constantia" w:eastAsia="Constantia" w:hAnsi="Constantia" w:cs="Constantia"/>
          <w:sz w:val="20"/>
          <w:szCs w:val="20"/>
        </w:rPr>
        <w:t>.</w:t>
      </w:r>
      <w:r w:rsidR="00BE4D3D" w:rsidRPr="00BE4D3D">
        <w:rPr>
          <w:rFonts w:ascii="Constantia" w:eastAsia="Constantia" w:hAnsi="Constantia" w:cs="Constantia"/>
          <w:sz w:val="20"/>
          <w:szCs w:val="20"/>
        </w:rPr>
        <w:t xml:space="preserve"> </w:t>
      </w:r>
      <w:r w:rsidR="00BB5DE6" w:rsidRPr="00D32499">
        <w:rPr>
          <w:rFonts w:ascii="Constantia" w:eastAsia="Constantia" w:hAnsi="Constantia" w:cs="Constantia"/>
          <w:sz w:val="20"/>
          <w:szCs w:val="20"/>
        </w:rPr>
        <w:t>The use of FO as a cement replacement effectively reduces clinker consumption—</w:t>
      </w:r>
      <w:r w:rsidR="00BB5DE6" w:rsidRPr="00D32499">
        <w:rPr>
          <w:rFonts w:ascii="Constantia" w:eastAsia="Constantia" w:hAnsi="Constantia" w:cs="Constantia"/>
          <w:sz w:val="20"/>
          <w:szCs w:val="20"/>
        </w:rPr>
        <w:lastRenderedPageBreak/>
        <w:t>the primary contributor to CO₂ emissions in cement manufacturing. Furthermore, the natural red pigment of ferric oxide offers a distinctive aesthetic advantage in concrete or mortar products. The incorporation of iron oxide pigments has been shown to alter color without affecting the crystal structure or composition of cement</w:t>
      </w:r>
      <w:r w:rsidR="00BB5DE6">
        <w:rPr>
          <w:rFonts w:ascii="Constantia" w:eastAsia="Constantia" w:hAnsi="Constantia" w:cs="Constantia"/>
          <w:sz w:val="20"/>
          <w:szCs w:val="20"/>
        </w:rPr>
        <w:t xml:space="preserve"> </w:t>
      </w:r>
      <w:r w:rsidR="00772D3B">
        <w:rPr>
          <w:rFonts w:ascii="Constantia" w:eastAsia="Constantia" w:hAnsi="Constantia" w:cs="Constantia"/>
          <w:sz w:val="20"/>
          <w:szCs w:val="20"/>
        </w:rPr>
        <w:fldChar w:fldCharType="begin" w:fldLock="1"/>
      </w:r>
      <w:r w:rsidR="00772D3B">
        <w:rPr>
          <w:rFonts w:ascii="Constantia" w:eastAsia="Constantia" w:hAnsi="Constantia" w:cs="Constantia"/>
          <w:sz w:val="20"/>
          <w:szCs w:val="20"/>
        </w:rPr>
        <w:instrText>ADDIN CSL_CITATION {"citationItems":[{"id":"ITEM-1","itemData":{"author":[{"dropping-particle":"","family":"Okoh","given":"J S","non-dropping-particle":"","parse-names":false,"suffix":""},{"dropping-particle":"","family":"Dim","given":"P E","non-dropping-particle":"","parse-names":false,"suffix":""}],"id":"ITEM-1","issue":"7","issued":{"date-parts":[["2024"]]},"page":"66","title":"P066 - Investigation on the Effect of Iron Oxide ( Feo 3 ) Pigment on the Production of Coloured Cement for","type":"article-journal","volume":"9"},"uris":["http://www.mendeley.com/documents/?uuid=4a8e4818-4ded-464b-a9db-5e50acfdc2c6"]}],"mendeley":{"formattedCitation":"(Okoh &amp; Dim, 2024)","plainTextFormattedCitation":"(Okoh &amp; Dim, 2024)","previouslyFormattedCitation":"(Okoh &amp; Dim, 2024)"},"properties":{"noteIndex":0},"schema":"https://github.com/citation-style-language/schema/raw/master/csl-citation.json"}</w:instrText>
      </w:r>
      <w:r w:rsidR="00772D3B">
        <w:rPr>
          <w:rFonts w:ascii="Constantia" w:eastAsia="Constantia" w:hAnsi="Constantia" w:cs="Constantia"/>
          <w:sz w:val="20"/>
          <w:szCs w:val="20"/>
        </w:rPr>
        <w:fldChar w:fldCharType="separate"/>
      </w:r>
      <w:r w:rsidR="00772D3B" w:rsidRPr="007F6B20">
        <w:rPr>
          <w:rFonts w:ascii="Constantia" w:eastAsia="Constantia" w:hAnsi="Constantia" w:cs="Constantia"/>
          <w:noProof/>
          <w:sz w:val="20"/>
          <w:szCs w:val="20"/>
        </w:rPr>
        <w:t>(Okoh &amp; Dim, 2024)</w:t>
      </w:r>
      <w:r w:rsidR="00772D3B">
        <w:rPr>
          <w:rFonts w:ascii="Constantia" w:eastAsia="Constantia" w:hAnsi="Constantia" w:cs="Constantia"/>
          <w:sz w:val="20"/>
          <w:szCs w:val="20"/>
        </w:rPr>
        <w:fldChar w:fldCharType="end"/>
      </w:r>
      <w:r w:rsidR="00772D3B">
        <w:rPr>
          <w:rFonts w:ascii="Constantia" w:eastAsia="Constantia" w:hAnsi="Constantia" w:cs="Constantia"/>
          <w:sz w:val="20"/>
          <w:szCs w:val="20"/>
        </w:rPr>
        <w:t>.</w:t>
      </w:r>
    </w:p>
    <w:p w14:paraId="0F514455" w14:textId="77777777" w:rsidR="004D2FFA" w:rsidRPr="00D32499" w:rsidRDefault="004D2FFA" w:rsidP="004D2FFA">
      <w:pPr>
        <w:spacing w:after="0"/>
        <w:ind w:firstLine="720"/>
        <w:jc w:val="both"/>
        <w:rPr>
          <w:rFonts w:ascii="Constantia" w:eastAsia="Constantia" w:hAnsi="Constantia" w:cs="Constantia"/>
          <w:sz w:val="20"/>
          <w:szCs w:val="20"/>
        </w:rPr>
      </w:pPr>
      <w:r>
        <w:rPr>
          <w:rFonts w:ascii="Constantia" w:eastAsia="Constantia" w:hAnsi="Constantia" w:cs="Constantia"/>
          <w:sz w:val="20"/>
          <w:szCs w:val="20"/>
        </w:rPr>
        <w:t>T</w:t>
      </w:r>
      <w:r w:rsidRPr="00D32499">
        <w:rPr>
          <w:rFonts w:ascii="Constantia" w:eastAsia="Constantia" w:hAnsi="Constantia" w:cs="Constantia"/>
          <w:sz w:val="20"/>
          <w:szCs w:val="20"/>
        </w:rPr>
        <w:t xml:space="preserve">his study investigates the mechanical and physical properties of Glassfibre Reinforced Concrete (GRC) utilizing ferric oxide waste as a partial cement substitute. The objective of this research is to evaluate the influence of ferric oxide substitution levels on the compressive strength, flexural strength, and water absorption of GRC products in accordance with the standards established by the </w:t>
      </w:r>
      <w:r w:rsidRPr="00D32499">
        <w:rPr>
          <w:rFonts w:ascii="Constantia" w:eastAsia="Constantia" w:hAnsi="Constantia" w:cs="Constantia"/>
          <w:bCs/>
          <w:sz w:val="20"/>
          <w:szCs w:val="20"/>
        </w:rPr>
        <w:t>Glassfibre Reinforced Concrete Association International (2017)</w:t>
      </w:r>
      <w:r w:rsidRPr="00D32499">
        <w:rPr>
          <w:rFonts w:ascii="Constantia" w:eastAsia="Constantia" w:hAnsi="Constantia" w:cs="Constantia"/>
          <w:sz w:val="20"/>
          <w:szCs w:val="20"/>
        </w:rPr>
        <w:t>.</w:t>
      </w:r>
    </w:p>
    <w:p w14:paraId="5AA7F0AE" w14:textId="77777777" w:rsidR="00123901" w:rsidRDefault="00123901" w:rsidP="007C01D1">
      <w:pPr>
        <w:spacing w:after="0"/>
        <w:ind w:firstLine="720"/>
        <w:jc w:val="both"/>
        <w:rPr>
          <w:rFonts w:ascii="Constantia" w:eastAsia="Constantia" w:hAnsi="Constantia" w:cs="Constantia"/>
          <w:sz w:val="20"/>
          <w:szCs w:val="20"/>
        </w:rPr>
      </w:pPr>
    </w:p>
    <w:p w14:paraId="2B247521" w14:textId="77777777" w:rsidR="005D4FA1" w:rsidRDefault="004234C6">
      <w:pPr>
        <w:numPr>
          <w:ilvl w:val="0"/>
          <w:numId w:val="2"/>
        </w:numPr>
        <w:pBdr>
          <w:top w:val="nil"/>
          <w:left w:val="nil"/>
          <w:bottom w:val="nil"/>
          <w:right w:val="nil"/>
          <w:between w:val="nil"/>
        </w:pBdr>
        <w:spacing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Methods</w:t>
      </w:r>
    </w:p>
    <w:p w14:paraId="3EB114AB" w14:textId="3AEBAD3D" w:rsidR="00232898" w:rsidRDefault="00232898" w:rsidP="00232898">
      <w:pPr>
        <w:pBdr>
          <w:top w:val="nil"/>
          <w:left w:val="nil"/>
          <w:bottom w:val="nil"/>
          <w:right w:val="nil"/>
          <w:between w:val="nil"/>
        </w:pBdr>
        <w:ind w:firstLine="720"/>
        <w:jc w:val="both"/>
        <w:rPr>
          <w:rFonts w:ascii="Constantia" w:eastAsia="Constantia" w:hAnsi="Constantia" w:cs="Constantia"/>
          <w:color w:val="000000"/>
          <w:sz w:val="20"/>
          <w:szCs w:val="20"/>
        </w:rPr>
      </w:pPr>
      <w:bookmarkStart w:id="1" w:name="_Toc205180522"/>
      <w:bookmarkStart w:id="2" w:name="_Toc206432348"/>
      <w:r w:rsidRPr="005C470F">
        <w:rPr>
          <w:rFonts w:ascii="Constantia" w:eastAsia="Constantia" w:hAnsi="Constantia" w:cs="Constantia"/>
          <w:color w:val="000000"/>
          <w:sz w:val="20"/>
          <w:szCs w:val="20"/>
        </w:rPr>
        <w:t>This study employed a quantitative method with an experimental approach. The materials used included ferric oxide waste obtained from a steel industry in East Java, which had an average particle size of 8 μm and a specific gravity in Saturated Surface Dry (SSD) condition of 2.475 g/cm³ (SNI 1969–2008). The cement used was Portland Composite Cement (PCC) with an average particle size of 3.4 μm.</w:t>
      </w:r>
    </w:p>
    <w:bookmarkEnd w:id="1"/>
    <w:bookmarkEnd w:id="2"/>
    <w:p w14:paraId="41059627" w14:textId="3EF37EDF" w:rsidR="003423E0" w:rsidRDefault="00D412D3" w:rsidP="00C56EDD">
      <w:pPr>
        <w:pBdr>
          <w:top w:val="nil"/>
          <w:left w:val="nil"/>
          <w:bottom w:val="nil"/>
          <w:right w:val="nil"/>
          <w:between w:val="nil"/>
        </w:pBdr>
        <w:spacing w:after="0"/>
        <w:ind w:firstLine="720"/>
        <w:jc w:val="center"/>
        <w:rPr>
          <w:rFonts w:ascii="Constantia" w:hAnsi="Constantia" w:cs="Times New Roman"/>
          <w:sz w:val="20"/>
          <w:szCs w:val="20"/>
          <w:lang w:eastAsia="en-US"/>
        </w:rPr>
      </w:pPr>
      <w:r w:rsidRPr="00D412D3">
        <w:rPr>
          <w:rFonts w:ascii="Constantia" w:hAnsi="Constantia" w:cs="Times New Roman"/>
          <w:b/>
          <w:bCs/>
          <w:sz w:val="20"/>
          <w:szCs w:val="20"/>
          <w:lang w:eastAsia="en-US"/>
        </w:rPr>
        <w:t xml:space="preserve">Table 1. </w:t>
      </w:r>
      <w:r w:rsidRPr="00D412D3">
        <w:rPr>
          <w:rFonts w:ascii="Constantia" w:hAnsi="Constantia" w:cs="Times New Roman"/>
          <w:sz w:val="20"/>
          <w:szCs w:val="20"/>
          <w:lang w:eastAsia="en-US"/>
        </w:rPr>
        <w:t>Results of Particle Size Distribution (PSD) Test of Ferric Oxide Waste and Portland Composite Cement (PCC)</w:t>
      </w:r>
    </w:p>
    <w:tbl>
      <w:tblPr>
        <w:tblpPr w:leftFromText="180" w:rightFromText="180" w:vertAnchor="text" w:horzAnchor="margin" w:tblpXSpec="center" w:tblpY="301"/>
        <w:tblW w:w="8080" w:type="dxa"/>
        <w:tblBorders>
          <w:top w:val="single" w:sz="4" w:space="0" w:color="auto"/>
          <w:bottom w:val="single" w:sz="4" w:space="0" w:color="auto"/>
        </w:tblBorders>
        <w:tblLook w:val="04A0" w:firstRow="1" w:lastRow="0" w:firstColumn="1" w:lastColumn="0" w:noHBand="0" w:noVBand="1"/>
      </w:tblPr>
      <w:tblGrid>
        <w:gridCol w:w="1413"/>
        <w:gridCol w:w="1417"/>
        <w:gridCol w:w="1276"/>
        <w:gridCol w:w="1281"/>
        <w:gridCol w:w="1418"/>
        <w:gridCol w:w="1275"/>
      </w:tblGrid>
      <w:tr w:rsidR="00C56EDD" w:rsidRPr="003423E0" w14:paraId="00E401DA" w14:textId="77777777" w:rsidTr="00010E1A">
        <w:trPr>
          <w:trHeight w:val="312"/>
        </w:trPr>
        <w:tc>
          <w:tcPr>
            <w:tcW w:w="1413" w:type="dxa"/>
            <w:tcBorders>
              <w:top w:val="single" w:sz="4" w:space="0" w:color="auto"/>
              <w:bottom w:val="single" w:sz="4" w:space="0" w:color="auto"/>
            </w:tcBorders>
            <w:noWrap/>
            <w:vAlign w:val="center"/>
            <w:hideMark/>
          </w:tcPr>
          <w:p w14:paraId="35819CB4" w14:textId="5B71A0C5" w:rsidR="00C56EDD" w:rsidRPr="003423E0" w:rsidRDefault="00D412D3" w:rsidP="00C56EDD">
            <w:pPr>
              <w:spacing w:after="0" w:line="240" w:lineRule="auto"/>
              <w:jc w:val="center"/>
              <w:rPr>
                <w:rFonts w:ascii="Constantia" w:eastAsia="Times New Roman" w:hAnsi="Constantia" w:cs="Times New Roman"/>
                <w:color w:val="000000"/>
                <w:sz w:val="18"/>
                <w:szCs w:val="18"/>
              </w:rPr>
            </w:pPr>
            <w:r>
              <w:rPr>
                <w:rFonts w:ascii="Constantia" w:eastAsia="Times New Roman" w:hAnsi="Constantia" w:cs="Times New Roman"/>
                <w:color w:val="000000"/>
                <w:sz w:val="18"/>
                <w:szCs w:val="18"/>
              </w:rPr>
              <w:t>Sample Code</w:t>
            </w:r>
          </w:p>
        </w:tc>
        <w:tc>
          <w:tcPr>
            <w:tcW w:w="1417" w:type="dxa"/>
            <w:tcBorders>
              <w:top w:val="single" w:sz="4" w:space="0" w:color="auto"/>
              <w:bottom w:val="single" w:sz="4" w:space="0" w:color="auto"/>
            </w:tcBorders>
            <w:noWrap/>
            <w:vAlign w:val="center"/>
            <w:hideMark/>
          </w:tcPr>
          <w:p w14:paraId="48658560"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Median (μm)</w:t>
            </w:r>
          </w:p>
        </w:tc>
        <w:tc>
          <w:tcPr>
            <w:tcW w:w="1276" w:type="dxa"/>
            <w:tcBorders>
              <w:top w:val="single" w:sz="4" w:space="0" w:color="auto"/>
              <w:bottom w:val="single" w:sz="4" w:space="0" w:color="auto"/>
            </w:tcBorders>
            <w:noWrap/>
            <w:vAlign w:val="center"/>
            <w:hideMark/>
          </w:tcPr>
          <w:p w14:paraId="79BA817F"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Mean (μm)</w:t>
            </w:r>
          </w:p>
        </w:tc>
        <w:tc>
          <w:tcPr>
            <w:tcW w:w="1281" w:type="dxa"/>
            <w:tcBorders>
              <w:top w:val="single" w:sz="4" w:space="0" w:color="auto"/>
              <w:bottom w:val="single" w:sz="4" w:space="0" w:color="auto"/>
            </w:tcBorders>
            <w:noWrap/>
            <w:vAlign w:val="center"/>
            <w:hideMark/>
          </w:tcPr>
          <w:p w14:paraId="0306EC3D" w14:textId="53C920C1"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Modul</w:t>
            </w:r>
            <w:r w:rsidR="00D412D3">
              <w:rPr>
                <w:rFonts w:ascii="Constantia" w:eastAsia="Times New Roman" w:hAnsi="Constantia" w:cs="Times New Roman"/>
                <w:color w:val="000000"/>
                <w:sz w:val="18"/>
                <w:szCs w:val="18"/>
              </w:rPr>
              <w:t>us</w:t>
            </w:r>
            <w:r w:rsidRPr="003423E0">
              <w:rPr>
                <w:rFonts w:ascii="Constantia" w:eastAsia="Times New Roman" w:hAnsi="Constantia" w:cs="Times New Roman"/>
                <w:color w:val="000000"/>
                <w:sz w:val="18"/>
                <w:szCs w:val="18"/>
              </w:rPr>
              <w:t xml:space="preserve"> (μm)</w:t>
            </w:r>
          </w:p>
        </w:tc>
        <w:tc>
          <w:tcPr>
            <w:tcW w:w="1418" w:type="dxa"/>
            <w:tcBorders>
              <w:top w:val="single" w:sz="4" w:space="0" w:color="auto"/>
              <w:bottom w:val="single" w:sz="4" w:space="0" w:color="auto"/>
            </w:tcBorders>
            <w:noWrap/>
            <w:vAlign w:val="center"/>
            <w:hideMark/>
          </w:tcPr>
          <w:p w14:paraId="3BA18074" w14:textId="7864E244"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Absorban</w:t>
            </w:r>
            <w:r w:rsidR="00D412D3">
              <w:rPr>
                <w:rFonts w:ascii="Constantia" w:eastAsia="Times New Roman" w:hAnsi="Constantia" w:cs="Times New Roman"/>
                <w:color w:val="000000"/>
                <w:sz w:val="18"/>
                <w:szCs w:val="18"/>
              </w:rPr>
              <w:t>ce</w:t>
            </w:r>
          </w:p>
        </w:tc>
        <w:tc>
          <w:tcPr>
            <w:tcW w:w="1275" w:type="dxa"/>
            <w:tcBorders>
              <w:top w:val="single" w:sz="4" w:space="0" w:color="auto"/>
              <w:bottom w:val="single" w:sz="4" w:space="0" w:color="auto"/>
            </w:tcBorders>
            <w:noWrap/>
            <w:vAlign w:val="center"/>
            <w:hideMark/>
          </w:tcPr>
          <w:p w14:paraId="3DC9C6FF"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Std Dev</w:t>
            </w:r>
          </w:p>
        </w:tc>
      </w:tr>
      <w:tr w:rsidR="00C56EDD" w:rsidRPr="003423E0" w14:paraId="3DA670D1" w14:textId="77777777" w:rsidTr="00010E1A">
        <w:trPr>
          <w:trHeight w:val="312"/>
        </w:trPr>
        <w:tc>
          <w:tcPr>
            <w:tcW w:w="1413" w:type="dxa"/>
            <w:vMerge w:val="restart"/>
            <w:tcBorders>
              <w:top w:val="single" w:sz="4" w:space="0" w:color="auto"/>
            </w:tcBorders>
            <w:noWrap/>
            <w:vAlign w:val="center"/>
          </w:tcPr>
          <w:p w14:paraId="4627BA2C" w14:textId="611E3356"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Fe</w:t>
            </w:r>
            <w:r w:rsidRPr="003423E0">
              <w:rPr>
                <w:rFonts w:ascii="Constantia" w:eastAsia="Times New Roman" w:hAnsi="Constantia" w:cs="Times New Roman"/>
                <w:color w:val="000000"/>
                <w:sz w:val="18"/>
                <w:szCs w:val="18"/>
                <w:vertAlign w:val="subscript"/>
              </w:rPr>
              <w:t>2</w:t>
            </w:r>
            <w:r w:rsidRPr="003423E0">
              <w:rPr>
                <w:rFonts w:ascii="Constantia" w:eastAsia="Times New Roman" w:hAnsi="Constantia" w:cs="Times New Roman"/>
                <w:color w:val="000000"/>
                <w:sz w:val="18"/>
                <w:szCs w:val="18"/>
              </w:rPr>
              <w:t>O</w:t>
            </w:r>
            <w:r w:rsidRPr="003423E0">
              <w:rPr>
                <w:rFonts w:ascii="Constantia" w:eastAsia="Times New Roman" w:hAnsi="Constantia" w:cs="Times New Roman"/>
                <w:color w:val="000000"/>
                <w:sz w:val="18"/>
                <w:szCs w:val="18"/>
                <w:vertAlign w:val="subscript"/>
              </w:rPr>
              <w:t>3</w:t>
            </w:r>
          </w:p>
        </w:tc>
        <w:tc>
          <w:tcPr>
            <w:tcW w:w="1417" w:type="dxa"/>
            <w:tcBorders>
              <w:top w:val="single" w:sz="4" w:space="0" w:color="auto"/>
            </w:tcBorders>
            <w:noWrap/>
            <w:vAlign w:val="center"/>
          </w:tcPr>
          <w:p w14:paraId="7D1E09BE"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12,33</w:t>
            </w:r>
          </w:p>
        </w:tc>
        <w:tc>
          <w:tcPr>
            <w:tcW w:w="1276" w:type="dxa"/>
            <w:tcBorders>
              <w:top w:val="single" w:sz="4" w:space="0" w:color="auto"/>
            </w:tcBorders>
            <w:noWrap/>
            <w:vAlign w:val="center"/>
          </w:tcPr>
          <w:p w14:paraId="0468A893"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8,016</w:t>
            </w:r>
          </w:p>
        </w:tc>
        <w:tc>
          <w:tcPr>
            <w:tcW w:w="1281" w:type="dxa"/>
            <w:tcBorders>
              <w:top w:val="single" w:sz="4" w:space="0" w:color="auto"/>
            </w:tcBorders>
            <w:noWrap/>
            <w:vAlign w:val="center"/>
          </w:tcPr>
          <w:p w14:paraId="3E17CE45"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17,138</w:t>
            </w:r>
          </w:p>
        </w:tc>
        <w:tc>
          <w:tcPr>
            <w:tcW w:w="1418" w:type="dxa"/>
            <w:tcBorders>
              <w:top w:val="single" w:sz="4" w:space="0" w:color="auto"/>
            </w:tcBorders>
            <w:noWrap/>
            <w:vAlign w:val="center"/>
          </w:tcPr>
          <w:p w14:paraId="3250EFC1"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0,035</w:t>
            </w:r>
          </w:p>
        </w:tc>
        <w:tc>
          <w:tcPr>
            <w:tcW w:w="1275" w:type="dxa"/>
            <w:tcBorders>
              <w:top w:val="single" w:sz="4" w:space="0" w:color="auto"/>
            </w:tcBorders>
            <w:noWrap/>
            <w:vAlign w:val="center"/>
          </w:tcPr>
          <w:p w14:paraId="660A8BEA"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0,565</w:t>
            </w:r>
          </w:p>
        </w:tc>
      </w:tr>
      <w:tr w:rsidR="00C56EDD" w:rsidRPr="003423E0" w14:paraId="3572A535" w14:textId="77777777" w:rsidTr="00010E1A">
        <w:trPr>
          <w:trHeight w:val="312"/>
        </w:trPr>
        <w:tc>
          <w:tcPr>
            <w:tcW w:w="1413" w:type="dxa"/>
            <w:vMerge/>
            <w:noWrap/>
            <w:vAlign w:val="center"/>
          </w:tcPr>
          <w:p w14:paraId="3542CF7A"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p>
        </w:tc>
        <w:tc>
          <w:tcPr>
            <w:tcW w:w="1417" w:type="dxa"/>
            <w:noWrap/>
            <w:vAlign w:val="center"/>
          </w:tcPr>
          <w:p w14:paraId="5F1E5515"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11,694</w:t>
            </w:r>
          </w:p>
        </w:tc>
        <w:tc>
          <w:tcPr>
            <w:tcW w:w="1276" w:type="dxa"/>
            <w:noWrap/>
            <w:vAlign w:val="center"/>
          </w:tcPr>
          <w:p w14:paraId="29B2F7B3"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8,055</w:t>
            </w:r>
          </w:p>
        </w:tc>
        <w:tc>
          <w:tcPr>
            <w:tcW w:w="1281" w:type="dxa"/>
            <w:noWrap/>
            <w:vAlign w:val="center"/>
          </w:tcPr>
          <w:p w14:paraId="51D5452C"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17,138</w:t>
            </w:r>
          </w:p>
        </w:tc>
        <w:tc>
          <w:tcPr>
            <w:tcW w:w="1418" w:type="dxa"/>
            <w:noWrap/>
            <w:vAlign w:val="center"/>
          </w:tcPr>
          <w:p w14:paraId="7DCB9D32"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0,046</w:t>
            </w:r>
          </w:p>
        </w:tc>
        <w:tc>
          <w:tcPr>
            <w:tcW w:w="1275" w:type="dxa"/>
            <w:noWrap/>
            <w:vAlign w:val="center"/>
          </w:tcPr>
          <w:p w14:paraId="075A7CCE"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0,521</w:t>
            </w:r>
          </w:p>
        </w:tc>
      </w:tr>
      <w:tr w:rsidR="00C56EDD" w:rsidRPr="003423E0" w14:paraId="0CD3FEF9" w14:textId="77777777" w:rsidTr="00010E1A">
        <w:trPr>
          <w:trHeight w:val="312"/>
        </w:trPr>
        <w:tc>
          <w:tcPr>
            <w:tcW w:w="1413" w:type="dxa"/>
            <w:vMerge w:val="restart"/>
            <w:noWrap/>
            <w:vAlign w:val="center"/>
            <w:hideMark/>
          </w:tcPr>
          <w:p w14:paraId="0A38A8D7" w14:textId="64AF3DE0"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PCC</w:t>
            </w:r>
            <w:r w:rsidR="00D412D3">
              <w:rPr>
                <w:rFonts w:ascii="Constantia" w:eastAsia="Times New Roman" w:hAnsi="Constantia" w:cs="Times New Roman"/>
                <w:color w:val="000000"/>
                <w:sz w:val="18"/>
                <w:szCs w:val="18"/>
              </w:rPr>
              <w:t xml:space="preserve"> Cement</w:t>
            </w:r>
          </w:p>
        </w:tc>
        <w:tc>
          <w:tcPr>
            <w:tcW w:w="1417" w:type="dxa"/>
            <w:noWrap/>
            <w:vAlign w:val="center"/>
          </w:tcPr>
          <w:p w14:paraId="3AB1F7A1"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3,996</w:t>
            </w:r>
          </w:p>
        </w:tc>
        <w:tc>
          <w:tcPr>
            <w:tcW w:w="1276" w:type="dxa"/>
            <w:noWrap/>
            <w:vAlign w:val="center"/>
          </w:tcPr>
          <w:p w14:paraId="5875A5D1"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3,465</w:t>
            </w:r>
          </w:p>
        </w:tc>
        <w:tc>
          <w:tcPr>
            <w:tcW w:w="1281" w:type="dxa"/>
            <w:noWrap/>
            <w:vAlign w:val="center"/>
          </w:tcPr>
          <w:p w14:paraId="346723F5"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5,348</w:t>
            </w:r>
          </w:p>
        </w:tc>
        <w:tc>
          <w:tcPr>
            <w:tcW w:w="1418" w:type="dxa"/>
            <w:noWrap/>
            <w:vAlign w:val="center"/>
          </w:tcPr>
          <w:p w14:paraId="73DB5075"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0,233</w:t>
            </w:r>
          </w:p>
        </w:tc>
        <w:tc>
          <w:tcPr>
            <w:tcW w:w="1275" w:type="dxa"/>
            <w:noWrap/>
            <w:vAlign w:val="center"/>
          </w:tcPr>
          <w:p w14:paraId="3FAA8C45"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0,523</w:t>
            </w:r>
          </w:p>
        </w:tc>
      </w:tr>
      <w:tr w:rsidR="00C56EDD" w:rsidRPr="003423E0" w14:paraId="708B90E2" w14:textId="77777777" w:rsidTr="00010E1A">
        <w:trPr>
          <w:trHeight w:val="312"/>
        </w:trPr>
        <w:tc>
          <w:tcPr>
            <w:tcW w:w="1413" w:type="dxa"/>
            <w:vMerge/>
            <w:vAlign w:val="center"/>
            <w:hideMark/>
          </w:tcPr>
          <w:p w14:paraId="3BE94A02"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p>
        </w:tc>
        <w:tc>
          <w:tcPr>
            <w:tcW w:w="1417" w:type="dxa"/>
            <w:noWrap/>
            <w:vAlign w:val="center"/>
          </w:tcPr>
          <w:p w14:paraId="7FC9075D"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3,985</w:t>
            </w:r>
          </w:p>
        </w:tc>
        <w:tc>
          <w:tcPr>
            <w:tcW w:w="1276" w:type="dxa"/>
            <w:noWrap/>
            <w:vAlign w:val="center"/>
          </w:tcPr>
          <w:p w14:paraId="5E2C766A"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3,460</w:t>
            </w:r>
          </w:p>
        </w:tc>
        <w:tc>
          <w:tcPr>
            <w:tcW w:w="1281" w:type="dxa"/>
            <w:noWrap/>
            <w:vAlign w:val="center"/>
          </w:tcPr>
          <w:p w14:paraId="6AC7B59E"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5,348</w:t>
            </w:r>
          </w:p>
        </w:tc>
        <w:tc>
          <w:tcPr>
            <w:tcW w:w="1418" w:type="dxa"/>
            <w:noWrap/>
            <w:vAlign w:val="center"/>
          </w:tcPr>
          <w:p w14:paraId="0A8F6AEF"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0,239</w:t>
            </w:r>
          </w:p>
        </w:tc>
        <w:tc>
          <w:tcPr>
            <w:tcW w:w="1275" w:type="dxa"/>
            <w:noWrap/>
            <w:vAlign w:val="center"/>
          </w:tcPr>
          <w:p w14:paraId="3B06021B" w14:textId="77777777" w:rsidR="00C56EDD" w:rsidRPr="003423E0" w:rsidRDefault="00C56EDD" w:rsidP="00C56EDD">
            <w:pPr>
              <w:spacing w:after="0" w:line="240" w:lineRule="auto"/>
              <w:jc w:val="center"/>
              <w:rPr>
                <w:rFonts w:ascii="Constantia" w:eastAsia="Times New Roman" w:hAnsi="Constantia" w:cs="Times New Roman"/>
                <w:color w:val="000000"/>
                <w:sz w:val="18"/>
                <w:szCs w:val="18"/>
              </w:rPr>
            </w:pPr>
            <w:r w:rsidRPr="003423E0">
              <w:rPr>
                <w:rFonts w:ascii="Constantia" w:eastAsia="Times New Roman" w:hAnsi="Constantia" w:cs="Times New Roman"/>
                <w:color w:val="000000"/>
                <w:sz w:val="18"/>
                <w:szCs w:val="18"/>
              </w:rPr>
              <w:t>0,522</w:t>
            </w:r>
          </w:p>
        </w:tc>
      </w:tr>
    </w:tbl>
    <w:p w14:paraId="1701011E" w14:textId="77777777" w:rsidR="00AB1E4F" w:rsidRDefault="00AB1E4F" w:rsidP="0001067A">
      <w:pPr>
        <w:pBdr>
          <w:top w:val="nil"/>
          <w:left w:val="nil"/>
          <w:bottom w:val="nil"/>
          <w:right w:val="nil"/>
          <w:between w:val="nil"/>
        </w:pBdr>
        <w:jc w:val="both"/>
        <w:rPr>
          <w:rFonts w:ascii="Constantia" w:eastAsia="Constantia" w:hAnsi="Constantia" w:cs="Constantia"/>
          <w:color w:val="000000"/>
          <w:sz w:val="20"/>
          <w:szCs w:val="20"/>
        </w:rPr>
      </w:pPr>
    </w:p>
    <w:p w14:paraId="05EE1426" w14:textId="77777777" w:rsidR="0006061B" w:rsidRDefault="0006061B" w:rsidP="00A82E35">
      <w:pPr>
        <w:pBdr>
          <w:top w:val="nil"/>
          <w:left w:val="nil"/>
          <w:bottom w:val="nil"/>
          <w:right w:val="nil"/>
          <w:between w:val="nil"/>
        </w:pBdr>
        <w:spacing w:after="0"/>
        <w:jc w:val="both"/>
        <w:rPr>
          <w:rFonts w:ascii="Constantia" w:eastAsia="Constantia" w:hAnsi="Constantia" w:cs="Constantia"/>
          <w:color w:val="000000"/>
          <w:sz w:val="20"/>
          <w:szCs w:val="20"/>
        </w:rPr>
      </w:pPr>
    </w:p>
    <w:p w14:paraId="76DA21D2" w14:textId="286E2802" w:rsidR="0001067A" w:rsidRDefault="004979E0" w:rsidP="001A4419">
      <w:pPr>
        <w:pBdr>
          <w:top w:val="nil"/>
          <w:left w:val="nil"/>
          <w:bottom w:val="nil"/>
          <w:right w:val="nil"/>
          <w:between w:val="nil"/>
        </w:pBdr>
        <w:spacing w:after="0"/>
        <w:ind w:firstLine="720"/>
        <w:jc w:val="both"/>
        <w:rPr>
          <w:rFonts w:ascii="Constantia" w:eastAsia="Constantia" w:hAnsi="Constantia" w:cs="Constantia"/>
          <w:color w:val="000000"/>
          <w:sz w:val="20"/>
          <w:szCs w:val="20"/>
        </w:rPr>
      </w:pPr>
      <w:r w:rsidRPr="004979E0">
        <w:rPr>
          <w:rFonts w:ascii="Constantia" w:eastAsia="Constantia" w:hAnsi="Constantia" w:cs="Constantia"/>
          <w:color w:val="000000"/>
          <w:sz w:val="20"/>
          <w:szCs w:val="20"/>
        </w:rPr>
        <w:t xml:space="preserve">Based on the particle size distribution (PSD) analysis, the ferric oxide waste had an average particle size of approximately 8 μm, which indicated its potential to provide a filler effect within the cement matrix. According to </w:t>
      </w:r>
      <w:r w:rsidR="0068163A">
        <w:rPr>
          <w:rFonts w:ascii="Constantia" w:eastAsia="Constantia" w:hAnsi="Constantia" w:cs="Constantia"/>
          <w:color w:val="000000"/>
          <w:sz w:val="20"/>
          <w:szCs w:val="20"/>
        </w:rPr>
        <w:fldChar w:fldCharType="begin" w:fldLock="1"/>
      </w:r>
      <w:r w:rsidR="0035280B">
        <w:rPr>
          <w:rFonts w:ascii="Constantia" w:eastAsia="Constantia" w:hAnsi="Constantia" w:cs="Constantia"/>
          <w:color w:val="000000"/>
          <w:sz w:val="20"/>
          <w:szCs w:val="20"/>
        </w:rPr>
        <w:instrText>ADDIN CSL_CITATION {"citationItems":[{"id":"ITEM-1","itemData":{"ISBN":"012683900X","ISSN":"09589465","PMID":"23132921","abstract":"This book deals with the chemistry of the principal silicate and aluminate cements used in building and civil engineering. It is a completely re-written successor to the two volumes on 'The Chemistry of Cements' that I edited in 1964, and, like them, is directed primarily to those whose background is in chemistry, materials science or related disciplines. Emphasis is placed throughout on the underlying science rather than on practical applications, which are well covered in other works. The earlier volumes are outdated. Since 1964, several major areas pre- viously unknown or neglected have been widely studied due to changes in the ways in which cement is made or used, or to increased awareness of the problems encountered in producing concrete of adequate durability. Along- side this, much information has accrued from the introduction of new and powerful experimental techniques, of which scanning electron microscopy and X-ray microanalysis have proved especially important. In 1964, some topics, though practically important, were so imperfectly understood from the standpoint of basic chemistry that I did not consider it useful to deal with them. Increased understanding now makes it possible, and indeed essential, to include them. On the other hand, descriptions of standard experimental techniques, included in the earlier book, have been omitted, except for some matters of specialist relevance to cement chemistry, as good textbooks on all of them are available. All the cements considered in this book fall into the category of hydraulic cements; they set and harden as a result of chemical reactions with water, and if mixed with water in appropriate proportions continue to harden even if stored under water after they have set. Much the most important is Portland cement. Chapters I to 4 of the present work deal mainly with the chemistry of manufacture of Portland cement and with the nature of the resulting product. Chapters 5 to 8 deal mainly with the processes that occur when this product is mixed with water and with the nature of the hardened material. Chapters 9 to II deal with the chemistry of other types of cement, of admixtures for concrete and of special uses of cements. Chapter 12 deals with chemical and microstructural aspects of concrete, including ones rel- evant to processes that affect its durability or limit its service life. The literature of cement chemistry is voluminous; the abstracting journal, Cements Research Progress has latterly listed …","author":[{"dropping-particle":"","family":"Taylor","given":"Harold F. W.","non-dropping-particle":"","parse-names":false,"suffix":""}],"container-title":"Academic Press","id":"ITEM-1","issue":"4","issued":{"date-parts":[["1997"]]},"page":"335","title":"Cement chemistry. 2nd ed.","type":"article-journal","volume":"20"},"uris":["http://www.mendeley.com/documents/?uuid=5c68dda1-a5e9-4896-a423-412cc6b4b98f"]}],"mendeley":{"formattedCitation":"(Taylor, 1997)","manualFormatting":"Taylor (1997)","plainTextFormattedCitation":"(Taylor, 1997)","previouslyFormattedCitation":"(Taylor, 1997)"},"properties":{"noteIndex":0},"schema":"https://github.com/citation-style-language/schema/raw/master/csl-citation.json"}</w:instrText>
      </w:r>
      <w:r w:rsidR="0068163A">
        <w:rPr>
          <w:rFonts w:ascii="Constantia" w:eastAsia="Constantia" w:hAnsi="Constantia" w:cs="Constantia"/>
          <w:color w:val="000000"/>
          <w:sz w:val="20"/>
          <w:szCs w:val="20"/>
        </w:rPr>
        <w:fldChar w:fldCharType="separate"/>
      </w:r>
      <w:r w:rsidR="0068163A" w:rsidRPr="0068163A">
        <w:rPr>
          <w:rFonts w:ascii="Constantia" w:eastAsia="Constantia" w:hAnsi="Constantia" w:cs="Constantia"/>
          <w:noProof/>
          <w:color w:val="000000"/>
          <w:sz w:val="20"/>
          <w:szCs w:val="20"/>
        </w:rPr>
        <w:t xml:space="preserve">Taylor </w:t>
      </w:r>
      <w:r w:rsidR="0068163A">
        <w:rPr>
          <w:rFonts w:ascii="Constantia" w:eastAsia="Constantia" w:hAnsi="Constantia" w:cs="Constantia"/>
          <w:noProof/>
          <w:color w:val="000000"/>
          <w:sz w:val="20"/>
          <w:szCs w:val="20"/>
        </w:rPr>
        <w:t>(</w:t>
      </w:r>
      <w:r w:rsidR="0068163A" w:rsidRPr="0068163A">
        <w:rPr>
          <w:rFonts w:ascii="Constantia" w:eastAsia="Constantia" w:hAnsi="Constantia" w:cs="Constantia"/>
          <w:noProof/>
          <w:color w:val="000000"/>
          <w:sz w:val="20"/>
          <w:szCs w:val="20"/>
        </w:rPr>
        <w:t>1997)</w:t>
      </w:r>
      <w:r w:rsidR="0068163A">
        <w:rPr>
          <w:rFonts w:ascii="Constantia" w:eastAsia="Constantia" w:hAnsi="Constantia" w:cs="Constantia"/>
          <w:color w:val="000000"/>
          <w:sz w:val="20"/>
          <w:szCs w:val="20"/>
        </w:rPr>
        <w:fldChar w:fldCharType="end"/>
      </w:r>
      <w:r w:rsidR="0068163A">
        <w:rPr>
          <w:rFonts w:ascii="Constantia" w:eastAsia="Constantia" w:hAnsi="Constantia" w:cs="Constantia"/>
          <w:color w:val="000000"/>
          <w:sz w:val="20"/>
          <w:szCs w:val="20"/>
        </w:rPr>
        <w:t xml:space="preserve">, </w:t>
      </w:r>
      <w:r w:rsidR="005271FD" w:rsidRPr="005271FD">
        <w:rPr>
          <w:rFonts w:ascii="Constantia" w:eastAsia="Constantia" w:hAnsi="Constantia" w:cs="Constantia"/>
          <w:color w:val="000000"/>
          <w:sz w:val="20"/>
          <w:szCs w:val="20"/>
        </w:rPr>
        <w:t xml:space="preserve">particles ranging from 1 to 100 μm could enhance packing density and reduce the porosity of the cement paste. Considering its particle size and physical characteristics, ferric oxide was considered to have the potential to partially replace cement as an additive material in concrete or mortar mixtures. This finding was consistent with the study conducted by </w:t>
      </w:r>
      <w:r w:rsidR="0035280B">
        <w:rPr>
          <w:rFonts w:ascii="Constantia" w:eastAsia="Constantia" w:hAnsi="Constantia" w:cs="Constantia"/>
          <w:color w:val="000000"/>
          <w:sz w:val="20"/>
          <w:szCs w:val="20"/>
        </w:rPr>
        <w:t xml:space="preserve"> </w:t>
      </w:r>
      <w:r w:rsidR="0035280B">
        <w:rPr>
          <w:rFonts w:ascii="Constantia" w:eastAsia="Constantia" w:hAnsi="Constantia" w:cs="Constantia"/>
          <w:color w:val="000000"/>
          <w:sz w:val="20"/>
          <w:szCs w:val="20"/>
        </w:rPr>
        <w:fldChar w:fldCharType="begin" w:fldLock="1"/>
      </w:r>
      <w:r w:rsidR="005271FD">
        <w:rPr>
          <w:rFonts w:ascii="Constantia" w:eastAsia="Constantia" w:hAnsi="Constantia" w:cs="Constantia"/>
          <w:color w:val="000000"/>
          <w:sz w:val="20"/>
          <w:szCs w:val="20"/>
        </w:rPr>
        <w:instrText>ADDIN CSL_CITATION {"citationItems":[{"id":"ITEM-1","itemData":{"DOI":"10.53862/jupeten.v2i2.008","abstract":"Utilization of nuclear energy from various fields of life will produce radioactive waste. Radioactive waste management is carried out according to the type and characteristics of the radioactive waste. Immobilization is an example of a method for managing radioactive waste through compacting or solidifying the waste with a specific matrix to bind and contain the radionuclides. The cementation method is a type of technology for the radioactive waste immobilization method that has been used commercially and proven suitable for use. The main component of cementation is the mortar. This paper aims to determine the effect of fine aggregate (sand) gradation on the compressive strength of the resulting mortar. The research methodology was carried out experimentally. Three types of fine aggregate (sand) are used with IPLN 1, IPLN 2, and IPLN 3 codes. Fine aggregate (sand) has been examined for both silt content (material smaller than 0.075 mm in size), organic content, specific gravity, analysis sand gradation, and fine grain modulus (MHB). From the test results, the fine aggregate (sand) gradations for IPLN 1, IPLN 2, and IPLN 3 are slightly coarse sand, little coarse sand, and fine sand. The fine grain modulus (MHB) of the three types of fine aggregate (sand) are 2.58, 2.46, and 1.8. Only fine aggregate (sand) IPLN 3, whose MHB value is outside the ASTM C33 acceptance criteria, ranges from 2.3 to 3.1. The optimum compressive strength values obtained with three types of fine aggregate (sand) variations, IPLN 1, IPLN 2, and IPLN 3, respectively, were 10.292, 9.411, and 6.026 MPa. Keywords: radioactive waste, cementation, sand, gradation, mortar, compressive strength","author":[{"dropping-particle":"","family":"Yuwana","given":"Hermawan Puji","non-dropping-particle":"","parse-names":false,"suffix":""},{"dropping-particle":"","family":"Purnomo","given":"Sugeng","non-dropping-particle":"","parse-names":false,"suffix":""}],"container-title":"Jurnal Pengawasan Tenaga Nuklir","id":"ITEM-1","issue":"December","issued":{"date-parts":[["2022"]]},"page":"42-51","title":"Pengaruh Gradasi Pasir Terhadap Kekuatan Tekan Mortar dalam Perencanaan Sementasi Limbah Radioaktif","type":"article-journal"},"uris":["http://www.mendeley.com/documents/?uuid=27162c46-0508-4ed4-8e7a-6bb7e0beff84"]}],"mendeley":{"formattedCitation":"(Yuwana &amp; Purnomo, 2022)","manualFormatting":"Yuwana and Purnomo (2022)","plainTextFormattedCitation":"(Yuwana &amp; Purnomo, 2022)","previouslyFormattedCitation":"(Yuwana &amp; Purnomo, 2022)"},"properties":{"noteIndex":0},"schema":"https://github.com/citation-style-language/schema/raw/master/csl-citation.json"}</w:instrText>
      </w:r>
      <w:r w:rsidR="0035280B">
        <w:rPr>
          <w:rFonts w:ascii="Constantia" w:eastAsia="Constantia" w:hAnsi="Constantia" w:cs="Constantia"/>
          <w:color w:val="000000"/>
          <w:sz w:val="20"/>
          <w:szCs w:val="20"/>
        </w:rPr>
        <w:fldChar w:fldCharType="separate"/>
      </w:r>
      <w:r w:rsidR="0035280B" w:rsidRPr="0035280B">
        <w:rPr>
          <w:rFonts w:ascii="Constantia" w:eastAsia="Constantia" w:hAnsi="Constantia" w:cs="Constantia"/>
          <w:noProof/>
          <w:color w:val="000000"/>
          <w:sz w:val="20"/>
          <w:szCs w:val="20"/>
        </w:rPr>
        <w:t xml:space="preserve">Yuwana </w:t>
      </w:r>
      <w:r w:rsidR="005271FD">
        <w:rPr>
          <w:rFonts w:ascii="Constantia" w:eastAsia="Constantia" w:hAnsi="Constantia" w:cs="Constantia"/>
          <w:noProof/>
          <w:color w:val="000000"/>
          <w:sz w:val="20"/>
          <w:szCs w:val="20"/>
        </w:rPr>
        <w:t>and</w:t>
      </w:r>
      <w:r w:rsidR="0035280B" w:rsidRPr="0035280B">
        <w:rPr>
          <w:rFonts w:ascii="Constantia" w:eastAsia="Constantia" w:hAnsi="Constantia" w:cs="Constantia"/>
          <w:noProof/>
          <w:color w:val="000000"/>
          <w:sz w:val="20"/>
          <w:szCs w:val="20"/>
        </w:rPr>
        <w:t xml:space="preserve"> Purnomo </w:t>
      </w:r>
      <w:r w:rsidR="00662212">
        <w:rPr>
          <w:rFonts w:ascii="Constantia" w:eastAsia="Constantia" w:hAnsi="Constantia" w:cs="Constantia"/>
          <w:noProof/>
          <w:color w:val="000000"/>
          <w:sz w:val="20"/>
          <w:szCs w:val="20"/>
        </w:rPr>
        <w:t>(</w:t>
      </w:r>
      <w:r w:rsidR="0035280B" w:rsidRPr="0035280B">
        <w:rPr>
          <w:rFonts w:ascii="Constantia" w:eastAsia="Constantia" w:hAnsi="Constantia" w:cs="Constantia"/>
          <w:noProof/>
          <w:color w:val="000000"/>
          <w:sz w:val="20"/>
          <w:szCs w:val="20"/>
        </w:rPr>
        <w:t>2022)</w:t>
      </w:r>
      <w:r w:rsidR="0035280B">
        <w:rPr>
          <w:rFonts w:ascii="Constantia" w:eastAsia="Constantia" w:hAnsi="Constantia" w:cs="Constantia"/>
          <w:color w:val="000000"/>
          <w:sz w:val="20"/>
          <w:szCs w:val="20"/>
        </w:rPr>
        <w:fldChar w:fldCharType="end"/>
      </w:r>
      <w:r w:rsidR="00662212">
        <w:rPr>
          <w:rFonts w:ascii="Constantia" w:eastAsia="Constantia" w:hAnsi="Constantia" w:cs="Constantia"/>
          <w:color w:val="000000"/>
          <w:sz w:val="20"/>
          <w:szCs w:val="20"/>
        </w:rPr>
        <w:t xml:space="preserve">, </w:t>
      </w:r>
      <w:r w:rsidR="005271FD" w:rsidRPr="005271FD">
        <w:rPr>
          <w:rFonts w:ascii="Constantia" w:eastAsia="Constantia" w:hAnsi="Constantia" w:cs="Constantia"/>
          <w:color w:val="000000"/>
          <w:sz w:val="20"/>
          <w:szCs w:val="20"/>
        </w:rPr>
        <w:t>who reported that finer particles played an important role in improving the density and strength of concrete materials, as smaller particles could occupy the voids between larger ones. This mechanism resulted in a denser and more homogeneous microstructure, thereby reducing air voids within the matrix and improving the interparticle bonding of concrete components.</w:t>
      </w:r>
    </w:p>
    <w:p w14:paraId="717158F0" w14:textId="40E0401F" w:rsidR="00E23105" w:rsidRDefault="001A4419" w:rsidP="001A4419">
      <w:pPr>
        <w:pBdr>
          <w:top w:val="nil"/>
          <w:left w:val="nil"/>
          <w:bottom w:val="nil"/>
          <w:right w:val="nil"/>
          <w:between w:val="nil"/>
        </w:pBdr>
        <w:spacing w:after="0"/>
        <w:ind w:right="-62" w:firstLine="720"/>
        <w:jc w:val="both"/>
        <w:rPr>
          <w:rFonts w:ascii="Constantia" w:eastAsia="Constantia" w:hAnsi="Constantia" w:cs="Constantia"/>
          <w:b/>
          <w:bCs/>
          <w:color w:val="000000"/>
          <w:sz w:val="20"/>
          <w:szCs w:val="20"/>
        </w:rPr>
      </w:pPr>
      <w:r w:rsidRPr="001A4419">
        <w:rPr>
          <w:rFonts w:ascii="Constantia" w:eastAsia="Constantia" w:hAnsi="Constantia" w:cs="Constantia"/>
          <w:color w:val="000000"/>
          <w:sz w:val="20"/>
          <w:szCs w:val="20"/>
        </w:rPr>
        <w:t>The X-Ray Diffraction (XRD) analysis of the ferric oxide waste showed that it predominantly consisted of hematite (99.94 % Fe₂O₃), with minor traces of maghemite (0.01 % Fe₂O₃) and magnetite (Fe₃O₄). The XRD results for the ferric oxide waste are presented in</w:t>
      </w:r>
      <w:r w:rsidRPr="001A4419">
        <w:rPr>
          <w:rFonts w:ascii="Constantia" w:eastAsia="Constantia" w:hAnsi="Constantia" w:cs="Constantia"/>
          <w:b/>
          <w:bCs/>
          <w:color w:val="000000"/>
          <w:sz w:val="20"/>
          <w:szCs w:val="20"/>
        </w:rPr>
        <w:t xml:space="preserve"> Table 2.</w:t>
      </w:r>
    </w:p>
    <w:p w14:paraId="0E90C04C" w14:textId="246DD431" w:rsidR="00E23105" w:rsidRDefault="00E23105" w:rsidP="00E23105">
      <w:pPr>
        <w:pBdr>
          <w:top w:val="nil"/>
          <w:left w:val="nil"/>
          <w:bottom w:val="nil"/>
          <w:right w:val="nil"/>
          <w:between w:val="nil"/>
        </w:pBdr>
        <w:spacing w:after="0"/>
        <w:ind w:firstLine="720"/>
        <w:jc w:val="both"/>
        <w:rPr>
          <w:rFonts w:ascii="Constantia" w:eastAsia="Constantia" w:hAnsi="Constantia" w:cs="Constantia"/>
          <w:color w:val="000000"/>
          <w:sz w:val="20"/>
          <w:szCs w:val="20"/>
        </w:rPr>
      </w:pPr>
    </w:p>
    <w:p w14:paraId="6B2971A5" w14:textId="256AE43F" w:rsidR="003B2C29" w:rsidRDefault="003B2C29" w:rsidP="003B2C29">
      <w:pPr>
        <w:pBdr>
          <w:top w:val="nil"/>
          <w:left w:val="nil"/>
          <w:bottom w:val="nil"/>
          <w:right w:val="nil"/>
          <w:between w:val="nil"/>
        </w:pBdr>
        <w:ind w:firstLine="720"/>
        <w:jc w:val="both"/>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               </w:t>
      </w:r>
      <w:r w:rsidR="009A6658" w:rsidRPr="009A6658">
        <w:rPr>
          <w:rFonts w:ascii="Constantia" w:eastAsia="Constantia" w:hAnsi="Constantia" w:cs="Constantia"/>
          <w:b/>
          <w:bCs/>
          <w:color w:val="000000"/>
          <w:sz w:val="20"/>
          <w:szCs w:val="20"/>
        </w:rPr>
        <w:t>Table 2</w:t>
      </w:r>
      <w:r w:rsidR="009A6658" w:rsidRPr="009A6658">
        <w:rPr>
          <w:rFonts w:ascii="Constantia" w:eastAsia="Constantia" w:hAnsi="Constantia" w:cs="Constantia"/>
          <w:color w:val="000000"/>
          <w:sz w:val="20"/>
          <w:szCs w:val="20"/>
        </w:rPr>
        <w:t>. X-Ray Diffraction (XRD) Results of Ferric Oxide (FO) Waste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379"/>
        <w:gridCol w:w="1779"/>
      </w:tblGrid>
      <w:tr w:rsidR="003B2C29" w:rsidRPr="003B2C29" w14:paraId="61C3AA30" w14:textId="77777777" w:rsidTr="00010E1A">
        <w:trPr>
          <w:trHeight w:val="600"/>
          <w:jc w:val="center"/>
        </w:trPr>
        <w:tc>
          <w:tcPr>
            <w:tcW w:w="2231" w:type="dxa"/>
            <w:tcBorders>
              <w:top w:val="single" w:sz="4" w:space="0" w:color="auto"/>
              <w:bottom w:val="single" w:sz="4" w:space="0" w:color="auto"/>
            </w:tcBorders>
          </w:tcPr>
          <w:p w14:paraId="60B1E33F" w14:textId="6640AC2A" w:rsidR="003B2C29" w:rsidRPr="003B2C29" w:rsidRDefault="009A6658" w:rsidP="00A853E2">
            <w:pPr>
              <w:jc w:val="center"/>
              <w:rPr>
                <w:rFonts w:ascii="Constantia" w:hAnsi="Constantia" w:cs="Times New Roman"/>
                <w:sz w:val="18"/>
                <w:szCs w:val="18"/>
              </w:rPr>
            </w:pPr>
            <w:r>
              <w:rPr>
                <w:rFonts w:ascii="Constantia" w:hAnsi="Constantia" w:cs="Times New Roman"/>
                <w:sz w:val="18"/>
                <w:szCs w:val="18"/>
              </w:rPr>
              <w:t>Cystal Name</w:t>
            </w:r>
          </w:p>
        </w:tc>
        <w:tc>
          <w:tcPr>
            <w:tcW w:w="2379" w:type="dxa"/>
            <w:tcBorders>
              <w:top w:val="single" w:sz="4" w:space="0" w:color="auto"/>
              <w:bottom w:val="single" w:sz="4" w:space="0" w:color="auto"/>
            </w:tcBorders>
          </w:tcPr>
          <w:p w14:paraId="2367C5C7" w14:textId="2B23CB01" w:rsidR="003B2C29" w:rsidRPr="003B2C29" w:rsidRDefault="009A6658" w:rsidP="00A853E2">
            <w:pPr>
              <w:jc w:val="center"/>
              <w:rPr>
                <w:rFonts w:ascii="Constantia" w:hAnsi="Constantia" w:cs="Times New Roman"/>
                <w:sz w:val="18"/>
                <w:szCs w:val="18"/>
              </w:rPr>
            </w:pPr>
            <w:r>
              <w:rPr>
                <w:rFonts w:ascii="Constantia" w:hAnsi="Constantia" w:cs="Times New Roman"/>
                <w:sz w:val="18"/>
                <w:szCs w:val="18"/>
              </w:rPr>
              <w:t>Chemical Formula</w:t>
            </w:r>
          </w:p>
        </w:tc>
        <w:tc>
          <w:tcPr>
            <w:tcW w:w="1779" w:type="dxa"/>
            <w:tcBorders>
              <w:top w:val="single" w:sz="4" w:space="0" w:color="auto"/>
              <w:bottom w:val="single" w:sz="4" w:space="0" w:color="auto"/>
            </w:tcBorders>
          </w:tcPr>
          <w:p w14:paraId="5F1B15A5" w14:textId="375F2328" w:rsidR="003B2C29" w:rsidRPr="003B2C29" w:rsidRDefault="00831AB2" w:rsidP="00A853E2">
            <w:pPr>
              <w:jc w:val="center"/>
              <w:rPr>
                <w:rFonts w:ascii="Constantia" w:hAnsi="Constantia" w:cs="Times New Roman"/>
                <w:sz w:val="18"/>
                <w:szCs w:val="18"/>
              </w:rPr>
            </w:pPr>
            <w:r>
              <w:rPr>
                <w:rFonts w:ascii="Constantia" w:hAnsi="Constantia" w:cs="Times New Roman"/>
                <w:sz w:val="18"/>
                <w:szCs w:val="18"/>
              </w:rPr>
              <w:t>Content</w:t>
            </w:r>
            <w:r w:rsidR="003B2C29" w:rsidRPr="003B2C29">
              <w:rPr>
                <w:rFonts w:ascii="Constantia" w:hAnsi="Constantia" w:cs="Times New Roman"/>
                <w:sz w:val="18"/>
                <w:szCs w:val="18"/>
              </w:rPr>
              <w:t xml:space="preserve"> %</w:t>
            </w:r>
          </w:p>
          <w:p w14:paraId="2D1A372E" w14:textId="2D21BE50" w:rsidR="003B2C29" w:rsidRPr="003B2C29" w:rsidRDefault="00831AB2" w:rsidP="00A853E2">
            <w:pPr>
              <w:jc w:val="center"/>
              <w:rPr>
                <w:rFonts w:ascii="Constantia" w:hAnsi="Constantia" w:cs="Times New Roman"/>
                <w:sz w:val="18"/>
                <w:szCs w:val="18"/>
              </w:rPr>
            </w:pPr>
            <w:r>
              <w:rPr>
                <w:rFonts w:ascii="Constantia" w:hAnsi="Constantia" w:cs="Times New Roman"/>
                <w:sz w:val="18"/>
                <w:szCs w:val="18"/>
              </w:rPr>
              <w:t>Fe Oxide</w:t>
            </w:r>
          </w:p>
        </w:tc>
      </w:tr>
      <w:tr w:rsidR="003B2C29" w:rsidRPr="003B2C29" w14:paraId="121A0F3F" w14:textId="77777777" w:rsidTr="00010E1A">
        <w:trPr>
          <w:trHeight w:val="290"/>
          <w:jc w:val="center"/>
        </w:trPr>
        <w:tc>
          <w:tcPr>
            <w:tcW w:w="2231" w:type="dxa"/>
            <w:tcBorders>
              <w:top w:val="single" w:sz="4" w:space="0" w:color="auto"/>
            </w:tcBorders>
          </w:tcPr>
          <w:p w14:paraId="2A64E268" w14:textId="77777777" w:rsidR="003B2C29" w:rsidRPr="003B2C29" w:rsidRDefault="003B2C29" w:rsidP="00A853E2">
            <w:pPr>
              <w:rPr>
                <w:rFonts w:ascii="Constantia" w:hAnsi="Constantia" w:cs="Times New Roman"/>
                <w:sz w:val="18"/>
                <w:szCs w:val="18"/>
              </w:rPr>
            </w:pPr>
            <w:r w:rsidRPr="003B2C29">
              <w:rPr>
                <w:rFonts w:ascii="Constantia" w:hAnsi="Constantia" w:cs="Times New Roman"/>
                <w:sz w:val="18"/>
                <w:szCs w:val="18"/>
              </w:rPr>
              <w:t>Magnetite</w:t>
            </w:r>
          </w:p>
        </w:tc>
        <w:tc>
          <w:tcPr>
            <w:tcW w:w="2379" w:type="dxa"/>
            <w:tcBorders>
              <w:top w:val="single" w:sz="4" w:space="0" w:color="auto"/>
            </w:tcBorders>
          </w:tcPr>
          <w:p w14:paraId="7B4E89FE"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Fe</w:t>
            </w:r>
            <w:r w:rsidRPr="003B2C29">
              <w:rPr>
                <w:rFonts w:ascii="Constantia" w:hAnsi="Constantia" w:cs="Times New Roman"/>
                <w:sz w:val="18"/>
                <w:szCs w:val="18"/>
                <w:vertAlign w:val="subscript"/>
              </w:rPr>
              <w:t>3</w:t>
            </w:r>
            <w:r w:rsidRPr="003B2C29">
              <w:rPr>
                <w:rFonts w:ascii="Constantia" w:hAnsi="Constantia" w:cs="Times New Roman"/>
                <w:sz w:val="18"/>
                <w:szCs w:val="18"/>
              </w:rPr>
              <w:t>O</w:t>
            </w:r>
            <w:r w:rsidRPr="003B2C29">
              <w:rPr>
                <w:rFonts w:ascii="Constantia" w:hAnsi="Constantia" w:cs="Times New Roman"/>
                <w:sz w:val="18"/>
                <w:szCs w:val="18"/>
                <w:vertAlign w:val="subscript"/>
              </w:rPr>
              <w:t>4</w:t>
            </w:r>
          </w:p>
        </w:tc>
        <w:tc>
          <w:tcPr>
            <w:tcW w:w="1779" w:type="dxa"/>
            <w:tcBorders>
              <w:top w:val="single" w:sz="4" w:space="0" w:color="auto"/>
            </w:tcBorders>
          </w:tcPr>
          <w:p w14:paraId="0F10C9CA"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0,05</w:t>
            </w:r>
          </w:p>
        </w:tc>
      </w:tr>
      <w:tr w:rsidR="003B2C29" w:rsidRPr="003B2C29" w14:paraId="27F340EA" w14:textId="77777777" w:rsidTr="00010E1A">
        <w:trPr>
          <w:trHeight w:val="310"/>
          <w:jc w:val="center"/>
        </w:trPr>
        <w:tc>
          <w:tcPr>
            <w:tcW w:w="2231" w:type="dxa"/>
          </w:tcPr>
          <w:p w14:paraId="0CC79498" w14:textId="77777777" w:rsidR="003B2C29" w:rsidRPr="003B2C29" w:rsidRDefault="003B2C29" w:rsidP="00A853E2">
            <w:pPr>
              <w:rPr>
                <w:rFonts w:ascii="Constantia" w:hAnsi="Constantia" w:cs="Times New Roman"/>
                <w:sz w:val="18"/>
                <w:szCs w:val="18"/>
              </w:rPr>
            </w:pPr>
            <w:r w:rsidRPr="003B2C29">
              <w:rPr>
                <w:rFonts w:ascii="Constantia" w:hAnsi="Constantia" w:cs="Times New Roman"/>
                <w:sz w:val="18"/>
                <w:szCs w:val="18"/>
              </w:rPr>
              <w:t>Maghemite</w:t>
            </w:r>
          </w:p>
        </w:tc>
        <w:tc>
          <w:tcPr>
            <w:tcW w:w="2379" w:type="dxa"/>
          </w:tcPr>
          <w:p w14:paraId="5F9C413E"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Fe</w:t>
            </w:r>
            <w:r w:rsidRPr="003B2C29">
              <w:rPr>
                <w:rFonts w:ascii="Constantia" w:hAnsi="Constantia" w:cs="Times New Roman"/>
                <w:sz w:val="18"/>
                <w:szCs w:val="18"/>
                <w:vertAlign w:val="subscript"/>
              </w:rPr>
              <w:t>2</w:t>
            </w:r>
            <w:r w:rsidRPr="003B2C29">
              <w:rPr>
                <w:rFonts w:ascii="Constantia" w:hAnsi="Constantia" w:cs="Times New Roman"/>
                <w:sz w:val="18"/>
                <w:szCs w:val="18"/>
              </w:rPr>
              <w:t>O</w:t>
            </w:r>
            <w:r w:rsidRPr="003B2C29">
              <w:rPr>
                <w:rFonts w:ascii="Constantia" w:hAnsi="Constantia" w:cs="Times New Roman"/>
                <w:sz w:val="18"/>
                <w:szCs w:val="18"/>
                <w:vertAlign w:val="subscript"/>
              </w:rPr>
              <w:t>3</w:t>
            </w:r>
          </w:p>
        </w:tc>
        <w:tc>
          <w:tcPr>
            <w:tcW w:w="1779" w:type="dxa"/>
          </w:tcPr>
          <w:p w14:paraId="087FBFF1"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0,01</w:t>
            </w:r>
          </w:p>
        </w:tc>
      </w:tr>
      <w:tr w:rsidR="003B2C29" w:rsidRPr="003B2C29" w14:paraId="38414CE1" w14:textId="77777777" w:rsidTr="00010E1A">
        <w:trPr>
          <w:trHeight w:val="290"/>
          <w:jc w:val="center"/>
        </w:trPr>
        <w:tc>
          <w:tcPr>
            <w:tcW w:w="2231" w:type="dxa"/>
          </w:tcPr>
          <w:p w14:paraId="3A0E2BF9" w14:textId="77777777" w:rsidR="003B2C29" w:rsidRPr="003B2C29" w:rsidRDefault="003B2C29" w:rsidP="00A853E2">
            <w:pPr>
              <w:rPr>
                <w:rFonts w:ascii="Constantia" w:hAnsi="Constantia" w:cs="Times New Roman"/>
                <w:sz w:val="18"/>
                <w:szCs w:val="18"/>
              </w:rPr>
            </w:pPr>
            <w:r w:rsidRPr="003B2C29">
              <w:rPr>
                <w:rFonts w:ascii="Constantia" w:hAnsi="Constantia" w:cs="Times New Roman"/>
                <w:sz w:val="18"/>
                <w:szCs w:val="18"/>
              </w:rPr>
              <w:t>Hematite</w:t>
            </w:r>
          </w:p>
        </w:tc>
        <w:tc>
          <w:tcPr>
            <w:tcW w:w="2379" w:type="dxa"/>
          </w:tcPr>
          <w:p w14:paraId="4CB9B690"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Fe</w:t>
            </w:r>
            <w:r w:rsidRPr="003B2C29">
              <w:rPr>
                <w:rFonts w:ascii="Constantia" w:hAnsi="Constantia" w:cs="Times New Roman"/>
                <w:sz w:val="18"/>
                <w:szCs w:val="18"/>
                <w:vertAlign w:val="subscript"/>
              </w:rPr>
              <w:t>2</w:t>
            </w:r>
            <w:r w:rsidRPr="003B2C29">
              <w:rPr>
                <w:rFonts w:ascii="Constantia" w:hAnsi="Constantia" w:cs="Times New Roman"/>
                <w:sz w:val="18"/>
                <w:szCs w:val="18"/>
              </w:rPr>
              <w:t>O</w:t>
            </w:r>
            <w:r w:rsidRPr="003B2C29">
              <w:rPr>
                <w:rFonts w:ascii="Constantia" w:hAnsi="Constantia" w:cs="Times New Roman"/>
                <w:sz w:val="18"/>
                <w:szCs w:val="18"/>
                <w:vertAlign w:val="subscript"/>
              </w:rPr>
              <w:t>3</w:t>
            </w:r>
          </w:p>
        </w:tc>
        <w:tc>
          <w:tcPr>
            <w:tcW w:w="1779" w:type="dxa"/>
          </w:tcPr>
          <w:p w14:paraId="0B9D9A9E" w14:textId="77777777" w:rsidR="003B2C29" w:rsidRPr="003B2C29" w:rsidRDefault="003B2C29" w:rsidP="00A853E2">
            <w:pPr>
              <w:jc w:val="center"/>
              <w:rPr>
                <w:rFonts w:ascii="Constantia" w:hAnsi="Constantia" w:cs="Times New Roman"/>
                <w:sz w:val="18"/>
                <w:szCs w:val="18"/>
              </w:rPr>
            </w:pPr>
            <w:r w:rsidRPr="003B2C29">
              <w:rPr>
                <w:rFonts w:ascii="Constantia" w:hAnsi="Constantia" w:cs="Times New Roman"/>
                <w:sz w:val="18"/>
                <w:szCs w:val="18"/>
              </w:rPr>
              <w:t>99,94</w:t>
            </w:r>
          </w:p>
        </w:tc>
      </w:tr>
    </w:tbl>
    <w:p w14:paraId="1EAC3856" w14:textId="77777777" w:rsidR="003B2C29" w:rsidRPr="003B2C29" w:rsidRDefault="003B2C29" w:rsidP="00FA2E31">
      <w:pPr>
        <w:pBdr>
          <w:top w:val="nil"/>
          <w:left w:val="nil"/>
          <w:bottom w:val="nil"/>
          <w:right w:val="nil"/>
          <w:between w:val="nil"/>
        </w:pBdr>
        <w:spacing w:after="0"/>
        <w:ind w:firstLine="720"/>
        <w:jc w:val="both"/>
        <w:rPr>
          <w:rFonts w:ascii="Constantia" w:eastAsia="Constantia" w:hAnsi="Constantia" w:cs="Constantia"/>
          <w:color w:val="000000"/>
          <w:sz w:val="18"/>
          <w:szCs w:val="18"/>
        </w:rPr>
      </w:pPr>
    </w:p>
    <w:p w14:paraId="5B5E6F44" w14:textId="77777777" w:rsidR="00E94D4D" w:rsidRDefault="004F144A" w:rsidP="00E94D4D">
      <w:pPr>
        <w:pBdr>
          <w:top w:val="nil"/>
          <w:left w:val="nil"/>
          <w:bottom w:val="nil"/>
          <w:right w:val="nil"/>
          <w:between w:val="nil"/>
        </w:pBdr>
        <w:spacing w:after="0"/>
        <w:ind w:firstLine="426"/>
        <w:jc w:val="center"/>
        <w:rPr>
          <w:rFonts w:ascii="Constantia" w:eastAsia="Constantia" w:hAnsi="Constantia" w:cs="Constantia"/>
          <w:color w:val="000000"/>
          <w:sz w:val="20"/>
          <w:szCs w:val="20"/>
        </w:rPr>
      </w:pPr>
      <w:r>
        <w:rPr>
          <w:rFonts w:ascii="Times New Roman" w:hAnsi="Times New Roman" w:cs="Times New Roman"/>
          <w:i/>
          <w:iCs/>
          <w:noProof/>
          <w:sz w:val="24"/>
          <w:szCs w:val="24"/>
        </w:rPr>
        <w:lastRenderedPageBreak/>
        <w:drawing>
          <wp:inline distT="0" distB="0" distL="0" distR="0" wp14:anchorId="1216AC4E" wp14:editId="7C5E0043">
            <wp:extent cx="3753976" cy="2880000"/>
            <wp:effectExtent l="19050" t="19050" r="18415" b="15875"/>
            <wp:docPr id="825489639" name="Picture 15" descr="A graph of a graph of a subst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89639" name="Picture 15" descr="A graph of a graph of a substanc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3976" cy="2880000"/>
                    </a:xfrm>
                    <a:prstGeom prst="rect">
                      <a:avLst/>
                    </a:prstGeom>
                    <a:noFill/>
                    <a:ln>
                      <a:solidFill>
                        <a:schemeClr val="tx1"/>
                      </a:solidFill>
                    </a:ln>
                  </pic:spPr>
                </pic:pic>
              </a:graphicData>
            </a:graphic>
          </wp:inline>
        </w:drawing>
      </w:r>
    </w:p>
    <w:p w14:paraId="1BE851E2" w14:textId="3E7B64A4" w:rsidR="00E94D4D" w:rsidRDefault="00EE36F0" w:rsidP="00E94D4D">
      <w:pPr>
        <w:pBdr>
          <w:top w:val="nil"/>
          <w:left w:val="nil"/>
          <w:bottom w:val="nil"/>
          <w:right w:val="nil"/>
          <w:between w:val="nil"/>
        </w:pBdr>
        <w:spacing w:after="0"/>
        <w:jc w:val="center"/>
        <w:rPr>
          <w:rFonts w:ascii="Constantia" w:eastAsia="Constantia" w:hAnsi="Constantia" w:cs="Constantia"/>
          <w:color w:val="000000"/>
          <w:sz w:val="20"/>
          <w:szCs w:val="20"/>
        </w:rPr>
      </w:pPr>
      <w:r>
        <w:rPr>
          <w:rFonts w:ascii="Constantia" w:eastAsia="Constantia" w:hAnsi="Constantia" w:cs="Constantia"/>
          <w:b/>
          <w:bCs/>
          <w:color w:val="000000"/>
          <w:sz w:val="20"/>
          <w:szCs w:val="20"/>
        </w:rPr>
        <w:t xml:space="preserve">          </w:t>
      </w:r>
      <w:r w:rsidRPr="00EE36F0">
        <w:rPr>
          <w:rFonts w:ascii="Constantia" w:eastAsia="Constantia" w:hAnsi="Constantia" w:cs="Constantia"/>
          <w:b/>
          <w:bCs/>
          <w:color w:val="000000"/>
          <w:sz w:val="20"/>
          <w:szCs w:val="20"/>
        </w:rPr>
        <w:t>Figure 1.</w:t>
      </w:r>
      <w:r w:rsidRPr="00EE36F0">
        <w:rPr>
          <w:rFonts w:ascii="Constantia" w:eastAsia="Constantia" w:hAnsi="Constantia" w:cs="Constantia"/>
          <w:color w:val="000000"/>
          <w:sz w:val="20"/>
          <w:szCs w:val="20"/>
        </w:rPr>
        <w:t xml:space="preserve"> XRD Pattern of Ferric Oxide Waste</w:t>
      </w:r>
    </w:p>
    <w:p w14:paraId="2681533C" w14:textId="77777777" w:rsidR="00E94D4D" w:rsidRDefault="00E94D4D" w:rsidP="004F144A">
      <w:pPr>
        <w:pBdr>
          <w:top w:val="nil"/>
          <w:left w:val="nil"/>
          <w:bottom w:val="nil"/>
          <w:right w:val="nil"/>
          <w:between w:val="nil"/>
        </w:pBdr>
        <w:spacing w:after="0"/>
        <w:ind w:firstLine="720"/>
        <w:jc w:val="center"/>
        <w:rPr>
          <w:rFonts w:ascii="Constantia" w:eastAsia="Constantia" w:hAnsi="Constantia" w:cs="Constantia"/>
          <w:color w:val="000000"/>
          <w:sz w:val="20"/>
          <w:szCs w:val="20"/>
        </w:rPr>
      </w:pPr>
    </w:p>
    <w:p w14:paraId="3B22DD7A" w14:textId="0AC7BE37" w:rsidR="0035199A" w:rsidRPr="00840740" w:rsidRDefault="00EA6F36" w:rsidP="00E94D4D">
      <w:pPr>
        <w:pBdr>
          <w:top w:val="nil"/>
          <w:left w:val="nil"/>
          <w:bottom w:val="nil"/>
          <w:right w:val="nil"/>
          <w:between w:val="nil"/>
        </w:pBdr>
        <w:spacing w:after="0"/>
        <w:ind w:firstLine="720"/>
        <w:jc w:val="both"/>
        <w:rPr>
          <w:rFonts w:ascii="Constantia" w:eastAsia="Constantia" w:hAnsi="Constantia" w:cs="Constantia"/>
          <w:color w:val="000000"/>
          <w:sz w:val="20"/>
          <w:szCs w:val="20"/>
        </w:rPr>
      </w:pPr>
      <w:r w:rsidRPr="00EA6F36">
        <w:rPr>
          <w:rFonts w:ascii="Constantia" w:eastAsia="Constantia" w:hAnsi="Constantia" w:cs="Constantia"/>
          <w:b/>
          <w:bCs/>
          <w:color w:val="000000"/>
          <w:sz w:val="20"/>
          <w:szCs w:val="20"/>
        </w:rPr>
        <w:t>Figure 1</w:t>
      </w:r>
      <w:r>
        <w:rPr>
          <w:rFonts w:ascii="Constantia" w:eastAsia="Constantia" w:hAnsi="Constantia" w:cs="Constantia"/>
          <w:b/>
          <w:bCs/>
          <w:color w:val="000000"/>
          <w:sz w:val="20"/>
          <w:szCs w:val="20"/>
        </w:rPr>
        <w:t>.</w:t>
      </w:r>
      <w:r w:rsidRPr="00EA6F36">
        <w:rPr>
          <w:rFonts w:ascii="Constantia" w:eastAsia="Constantia" w:hAnsi="Constantia" w:cs="Constantia"/>
          <w:color w:val="000000"/>
          <w:sz w:val="20"/>
          <w:szCs w:val="20"/>
        </w:rPr>
        <w:t xml:space="preserve"> showed the intensity peaks at 2</w:t>
      </w:r>
      <w:r w:rsidR="00702C41">
        <w:rPr>
          <w:rFonts w:ascii="Constantia" w:eastAsia="Constantia" w:hAnsi="Constantia" w:cs="Constantia"/>
          <w:color w:val="000000"/>
          <w:sz w:val="20"/>
          <w:szCs w:val="20"/>
        </w:rPr>
        <w:t>0</w:t>
      </w:r>
      <w:r w:rsidRPr="00EA6F36">
        <w:rPr>
          <w:rFonts w:ascii="Constantia" w:eastAsia="Constantia" w:hAnsi="Constantia" w:cs="Constantia"/>
          <w:color w:val="000000"/>
          <w:sz w:val="20"/>
          <w:szCs w:val="20"/>
        </w:rPr>
        <w:t xml:space="preserve"> angles of 24.15°, 33.15°, 35.61°, 40.85°, 49.46°, 54.06°, and 64.0°. These peaks corresponded to the main hematite peaks based on </w:t>
      </w:r>
      <w:r w:rsidR="00784011" w:rsidRPr="00784011">
        <w:rPr>
          <w:rFonts w:ascii="Constantia" w:eastAsia="Constantia" w:hAnsi="Constantia" w:cs="Constantia"/>
          <w:color w:val="000000"/>
          <w:sz w:val="20"/>
          <w:szCs w:val="20"/>
        </w:rPr>
        <w:t xml:space="preserve">Joint Committee on Powder Diffraction Standards </w:t>
      </w:r>
      <w:r w:rsidR="00784011">
        <w:rPr>
          <w:rFonts w:ascii="Constantia" w:eastAsia="Constantia" w:hAnsi="Constantia" w:cs="Constantia"/>
          <w:color w:val="000000"/>
          <w:sz w:val="20"/>
          <w:szCs w:val="20"/>
        </w:rPr>
        <w:t>(</w:t>
      </w:r>
      <w:r w:rsidRPr="00EA6F36">
        <w:rPr>
          <w:rFonts w:ascii="Constantia" w:eastAsia="Constantia" w:hAnsi="Constantia" w:cs="Constantia"/>
          <w:color w:val="000000"/>
          <w:sz w:val="20"/>
          <w:szCs w:val="20"/>
        </w:rPr>
        <w:t>JCPDS</w:t>
      </w:r>
      <w:r w:rsidR="00784011">
        <w:rPr>
          <w:rFonts w:ascii="Constantia" w:eastAsia="Constantia" w:hAnsi="Constantia" w:cs="Constantia"/>
          <w:color w:val="000000"/>
          <w:sz w:val="20"/>
          <w:szCs w:val="20"/>
        </w:rPr>
        <w:t>)</w:t>
      </w:r>
      <w:r w:rsidRPr="00EA6F36">
        <w:rPr>
          <w:rFonts w:ascii="Constantia" w:eastAsia="Constantia" w:hAnsi="Constantia" w:cs="Constantia"/>
          <w:color w:val="000000"/>
          <w:sz w:val="20"/>
          <w:szCs w:val="20"/>
        </w:rPr>
        <w:t xml:space="preserve"> No. 33-0664. The intensity peaks of magnetite (Fe₃O₄) were observed at around 62.48° according to JCPDS No. 19-0629, while the intensity peaks of maghemite (Fe₃O₄) appeared at approximately 57.2° based on JCPDS No. 39-1346. These results indicated that the hematite phase dominated the sample. According to</w:t>
      </w:r>
      <w:r w:rsidR="00365EB4">
        <w:rPr>
          <w:rFonts w:ascii="Constantia" w:eastAsia="Constantia" w:hAnsi="Constantia" w:cs="Constantia"/>
          <w:color w:val="000000"/>
          <w:sz w:val="20"/>
          <w:szCs w:val="20"/>
        </w:rPr>
        <w:t xml:space="preserve"> </w:t>
      </w:r>
      <w:r w:rsidR="00365EB4">
        <w:rPr>
          <w:rFonts w:ascii="Constantia" w:eastAsia="Constantia" w:hAnsi="Constantia" w:cs="Constantia"/>
          <w:color w:val="000000"/>
          <w:sz w:val="20"/>
          <w:szCs w:val="20"/>
        </w:rPr>
        <w:fldChar w:fldCharType="begin" w:fldLock="1"/>
      </w:r>
      <w:r w:rsidR="00201F83">
        <w:rPr>
          <w:rFonts w:ascii="Constantia" w:eastAsia="Constantia" w:hAnsi="Constantia" w:cs="Constantia"/>
          <w:color w:val="000000"/>
          <w:sz w:val="20"/>
          <w:szCs w:val="20"/>
        </w:rPr>
        <w:instrText>ADDIN CSL_CITATION {"citationItems":[{"id":"ITEM-1","itemData":{"ISSN":"0976-2876","author":[{"dropping-particle":"","family":"Deepa","given":"R","non-dropping-particle":"","parse-names":false,"suffix":""},{"dropping-particle":"","family":"Geethamozhi","given":"E","non-dropping-particle":"","parse-names":false,"suffix":""},{"dropping-particle":"","family":"Monika","given":"S","non-dropping-particle":"","parse-names":false,"suffix":""},{"dropping-particle":"","family":"Shalina","given":"S Princy","non-dropping-particle":"","parse-names":false,"suffix":""},{"dropping-particle":"","family":"Swathy","given":"K","non-dropping-particle":"","parse-names":false,"suffix":""}],"container-title":"Indian Journal of Scientific Research","id":"ITEM-1","issue":"2","issued":{"date-parts":[["2018"]]},"page":"49-53","title":"Experiment on High Density Concrete Incorporating Hematite","type":"article-journal","volume":"20"},"uris":["http://www.mendeley.com/documents/?uuid=0d937fd7-b76e-4d77-a997-fbdd6347610f"]}],"mendeley":{"formattedCitation":"(Deepa et al., 2018)","manualFormatting":"Deepa et al. (2018)","plainTextFormattedCitation":"(Deepa et al., 2018)","previouslyFormattedCitation":"(Deepa et al., 2018)"},"properties":{"noteIndex":0},"schema":"https://github.com/citation-style-language/schema/raw/master/csl-citation.json"}</w:instrText>
      </w:r>
      <w:r w:rsidR="00365EB4">
        <w:rPr>
          <w:rFonts w:ascii="Constantia" w:eastAsia="Constantia" w:hAnsi="Constantia" w:cs="Constantia"/>
          <w:color w:val="000000"/>
          <w:sz w:val="20"/>
          <w:szCs w:val="20"/>
        </w:rPr>
        <w:fldChar w:fldCharType="separate"/>
      </w:r>
      <w:r w:rsidR="00365EB4" w:rsidRPr="00365EB4">
        <w:rPr>
          <w:rFonts w:ascii="Constantia" w:eastAsia="Constantia" w:hAnsi="Constantia" w:cs="Constantia"/>
          <w:noProof/>
          <w:color w:val="000000"/>
          <w:sz w:val="20"/>
          <w:szCs w:val="20"/>
        </w:rPr>
        <w:t xml:space="preserve">Deepa et al. </w:t>
      </w:r>
      <w:r w:rsidR="00365EB4">
        <w:rPr>
          <w:rFonts w:ascii="Constantia" w:eastAsia="Constantia" w:hAnsi="Constantia" w:cs="Constantia"/>
          <w:noProof/>
          <w:color w:val="000000"/>
          <w:sz w:val="20"/>
          <w:szCs w:val="20"/>
        </w:rPr>
        <w:t>(</w:t>
      </w:r>
      <w:r w:rsidR="00365EB4" w:rsidRPr="00365EB4">
        <w:rPr>
          <w:rFonts w:ascii="Constantia" w:eastAsia="Constantia" w:hAnsi="Constantia" w:cs="Constantia"/>
          <w:noProof/>
          <w:color w:val="000000"/>
          <w:sz w:val="20"/>
          <w:szCs w:val="20"/>
        </w:rPr>
        <w:t>2018)</w:t>
      </w:r>
      <w:r w:rsidR="00365EB4">
        <w:rPr>
          <w:rFonts w:ascii="Constantia" w:eastAsia="Constantia" w:hAnsi="Constantia" w:cs="Constantia"/>
          <w:color w:val="000000"/>
          <w:sz w:val="20"/>
          <w:szCs w:val="20"/>
        </w:rPr>
        <w:fldChar w:fldCharType="end"/>
      </w:r>
      <w:r w:rsidR="00365EB4">
        <w:rPr>
          <w:rFonts w:ascii="Constantia" w:eastAsia="Constantia" w:hAnsi="Constantia" w:cs="Constantia"/>
          <w:color w:val="000000"/>
          <w:sz w:val="20"/>
          <w:szCs w:val="20"/>
        </w:rPr>
        <w:t xml:space="preserve">, </w:t>
      </w:r>
      <w:r w:rsidRPr="00EA6F36">
        <w:rPr>
          <w:rFonts w:ascii="Constantia" w:eastAsia="Constantia" w:hAnsi="Constantia" w:cs="Constantia"/>
          <w:color w:val="000000"/>
          <w:sz w:val="20"/>
          <w:szCs w:val="20"/>
        </w:rPr>
        <w:t>the presence of hematite in the cement mixture contributed significantly to the increase in density and compressive strength of concrete, as well as accelerating the hydration process. Magnetite exhibited high magnetism, facilitating the removal of impurities and producing high-quality concentrate</w:t>
      </w:r>
      <w:r>
        <w:rPr>
          <w:rFonts w:ascii="Constantia" w:eastAsia="Constantia" w:hAnsi="Constantia" w:cs="Constantia"/>
          <w:color w:val="000000"/>
          <w:sz w:val="20"/>
          <w:szCs w:val="20"/>
        </w:rPr>
        <w:t xml:space="preserve"> </w:t>
      </w:r>
      <w:r w:rsidR="00201F83">
        <w:rPr>
          <w:rFonts w:ascii="Constantia" w:eastAsia="Constantia" w:hAnsi="Constantia" w:cs="Constantia"/>
          <w:color w:val="000000"/>
          <w:sz w:val="20"/>
          <w:szCs w:val="20"/>
        </w:rPr>
        <w:fldChar w:fldCharType="begin" w:fldLock="1"/>
      </w:r>
      <w:r w:rsidR="00826346">
        <w:rPr>
          <w:rFonts w:ascii="Constantia" w:eastAsia="Constantia" w:hAnsi="Constantia" w:cs="Constantia"/>
          <w:color w:val="000000"/>
          <w:sz w:val="20"/>
          <w:szCs w:val="20"/>
        </w:rPr>
        <w:instrText>ADDIN CSL_CITATION {"citationItems":[{"id":"ITEM-1","itemData":{"author":[{"dropping-particle":"","family":"Budiman","given":"Arif","non-dropping-particle":"","parse-names":false,"suffix":""},{"dropping-particle":"","family":"Trilismana","given":"Helvy","non-dropping-particle":"","parse-names":false,"suffix":""},{"dropping-particle":"","family":"Fisika","given":"Laboratorium","non-dropping-particle":"","parse-names":false,"suffix":""},{"dropping-particle":"","family":"Jurusan","given":"Bumi","non-dropping-particle":"","parse-names":false,"suffix":""},{"dropping-particle":"","family":"Andalas","given":"Universitas","non-dropping-particle":"","parse-names":false,"suffix":""}],"id":"ITEM-1","issued":{"date-parts":[["2015"]]},"page":"9-15","title":"the Effects of Oxidation on the Concentration of Superparamagnetic Grains of Magnetite of Iron Sand","type":"article-journal"},"uris":["http://www.mendeley.com/documents/?uuid=f68288a3-b4cc-4c45-9956-7200aab1e085"]}],"mendeley":{"formattedCitation":"(Budiman et al., 2015)","plainTextFormattedCitation":"(Budiman et al., 2015)","previouslyFormattedCitation":"(Budiman et al., 2015)"},"properties":{"noteIndex":0},"schema":"https://github.com/citation-style-language/schema/raw/master/csl-citation.json"}</w:instrText>
      </w:r>
      <w:r w:rsidR="00201F83">
        <w:rPr>
          <w:rFonts w:ascii="Constantia" w:eastAsia="Constantia" w:hAnsi="Constantia" w:cs="Constantia"/>
          <w:color w:val="000000"/>
          <w:sz w:val="20"/>
          <w:szCs w:val="20"/>
        </w:rPr>
        <w:fldChar w:fldCharType="separate"/>
      </w:r>
      <w:r w:rsidR="00201F83" w:rsidRPr="00201F83">
        <w:rPr>
          <w:rFonts w:ascii="Constantia" w:eastAsia="Constantia" w:hAnsi="Constantia" w:cs="Constantia"/>
          <w:noProof/>
          <w:color w:val="000000"/>
          <w:sz w:val="20"/>
          <w:szCs w:val="20"/>
        </w:rPr>
        <w:t>(Budiman et al., 2015)</w:t>
      </w:r>
      <w:r w:rsidR="00201F83">
        <w:rPr>
          <w:rFonts w:ascii="Constantia" w:eastAsia="Constantia" w:hAnsi="Constantia" w:cs="Constantia"/>
          <w:color w:val="000000"/>
          <w:sz w:val="20"/>
          <w:szCs w:val="20"/>
        </w:rPr>
        <w:fldChar w:fldCharType="end"/>
      </w:r>
      <w:r w:rsidR="00823B3D" w:rsidRPr="00823B3D">
        <w:rPr>
          <w:rFonts w:ascii="Constantia" w:eastAsia="Constantia" w:hAnsi="Constantia" w:cs="Constantia"/>
          <w:color w:val="000000"/>
          <w:sz w:val="20"/>
          <w:szCs w:val="20"/>
        </w:rPr>
        <w:t xml:space="preserve">. </w:t>
      </w:r>
      <w:r w:rsidR="00306EF8" w:rsidRPr="00306EF8">
        <w:rPr>
          <w:rFonts w:ascii="Constantia" w:eastAsia="Constantia" w:hAnsi="Constantia" w:cs="Constantia"/>
          <w:color w:val="000000"/>
          <w:sz w:val="20"/>
          <w:szCs w:val="20"/>
        </w:rPr>
        <w:t>Maghemite was strongly magnetic, stable, environmentally friendly, and suitable for use as a magnetic pigment</w:t>
      </w:r>
      <w:r w:rsidR="00826346">
        <w:rPr>
          <w:rFonts w:ascii="Constantia" w:eastAsia="Constantia" w:hAnsi="Constantia" w:cs="Constantia"/>
          <w:color w:val="000000"/>
          <w:sz w:val="20"/>
          <w:szCs w:val="20"/>
        </w:rPr>
        <w:t xml:space="preserve"> </w:t>
      </w:r>
      <w:r w:rsidR="00826346">
        <w:rPr>
          <w:rFonts w:ascii="Constantia" w:eastAsia="Constantia" w:hAnsi="Constantia" w:cs="Constantia"/>
          <w:color w:val="000000"/>
          <w:sz w:val="20"/>
          <w:szCs w:val="20"/>
        </w:rPr>
        <w:fldChar w:fldCharType="begin" w:fldLock="1"/>
      </w:r>
      <w:r w:rsidR="00956C81">
        <w:rPr>
          <w:rFonts w:ascii="Constantia" w:eastAsia="Constantia" w:hAnsi="Constantia" w:cs="Constantia"/>
          <w:color w:val="000000"/>
          <w:sz w:val="20"/>
          <w:szCs w:val="20"/>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approach.","author":[{"dropping-particle":"","family":"Rodliya","given":"Lisana Sidqi","non-dropping-particle":"","parse-names":false,"suffix":""}],"id":"ITEM-1","issued":{"date-parts":[["2018"]]},"page":"1-120","title":"Sintesis Pigmen Maghemit (γ-Fe2O3) dari Limbah Bubut Industri Kerajinan Besi dengan Variasi Suhu Kalsinasi","type":"article-journal"},"uris":["http://www.mendeley.com/documents/?uuid=a23bf267-4886-4884-8dd4-3f07b2c32aae"]}],"mendeley":{"formattedCitation":"(Rodliya, 2018)","plainTextFormattedCitation":"(Rodliya, 2018)","previouslyFormattedCitation":"(Rodliya, 2018)"},"properties":{"noteIndex":0},"schema":"https://github.com/citation-style-language/schema/raw/master/csl-citation.json"}</w:instrText>
      </w:r>
      <w:r w:rsidR="00826346">
        <w:rPr>
          <w:rFonts w:ascii="Constantia" w:eastAsia="Constantia" w:hAnsi="Constantia" w:cs="Constantia"/>
          <w:color w:val="000000"/>
          <w:sz w:val="20"/>
          <w:szCs w:val="20"/>
        </w:rPr>
        <w:fldChar w:fldCharType="separate"/>
      </w:r>
      <w:r w:rsidR="00826346" w:rsidRPr="00826346">
        <w:rPr>
          <w:rFonts w:ascii="Constantia" w:eastAsia="Constantia" w:hAnsi="Constantia" w:cs="Constantia"/>
          <w:noProof/>
          <w:color w:val="000000"/>
          <w:sz w:val="20"/>
          <w:szCs w:val="20"/>
        </w:rPr>
        <w:t>(Rodliya, 2018)</w:t>
      </w:r>
      <w:r w:rsidR="00826346">
        <w:rPr>
          <w:rFonts w:ascii="Constantia" w:eastAsia="Constantia" w:hAnsi="Constantia" w:cs="Constantia"/>
          <w:color w:val="000000"/>
          <w:sz w:val="20"/>
          <w:szCs w:val="20"/>
        </w:rPr>
        <w:fldChar w:fldCharType="end"/>
      </w:r>
      <w:r w:rsidR="00823B3D" w:rsidRPr="00823B3D">
        <w:rPr>
          <w:rFonts w:ascii="Constantia" w:eastAsia="Constantia" w:hAnsi="Constantia" w:cs="Constantia"/>
          <w:color w:val="000000"/>
          <w:sz w:val="20"/>
          <w:szCs w:val="20"/>
        </w:rPr>
        <w:t>.</w:t>
      </w:r>
    </w:p>
    <w:p w14:paraId="1FF9DEEA" w14:textId="77777777" w:rsidR="00FA2E31" w:rsidRDefault="00FA2E31" w:rsidP="00FA2E31">
      <w:pPr>
        <w:pBdr>
          <w:top w:val="nil"/>
          <w:left w:val="nil"/>
          <w:bottom w:val="nil"/>
          <w:right w:val="nil"/>
          <w:between w:val="nil"/>
        </w:pBdr>
        <w:spacing w:after="0"/>
        <w:ind w:firstLine="720"/>
        <w:jc w:val="both"/>
        <w:rPr>
          <w:rFonts w:ascii="Constantia" w:eastAsia="Constantia" w:hAnsi="Constantia" w:cs="Constantia"/>
          <w:color w:val="000000"/>
          <w:sz w:val="20"/>
          <w:szCs w:val="20"/>
        </w:rPr>
      </w:pPr>
    </w:p>
    <w:p w14:paraId="7BE7125A" w14:textId="3291246C" w:rsidR="00EC6A58" w:rsidRDefault="00EC6A58" w:rsidP="00EC6A58">
      <w:pPr>
        <w:pBdr>
          <w:top w:val="nil"/>
          <w:left w:val="nil"/>
          <w:bottom w:val="nil"/>
          <w:right w:val="nil"/>
          <w:between w:val="nil"/>
        </w:pBdr>
        <w:spacing w:after="0"/>
        <w:jc w:val="center"/>
        <w:rPr>
          <w:rFonts w:ascii="Constantia" w:eastAsia="Constantia" w:hAnsi="Constantia" w:cs="Constantia"/>
          <w:color w:val="000000"/>
          <w:sz w:val="20"/>
          <w:szCs w:val="20"/>
        </w:rPr>
      </w:pPr>
      <w:r>
        <w:rPr>
          <w:rFonts w:ascii="Constantia" w:eastAsia="Constantia" w:hAnsi="Constantia" w:cs="Constantia"/>
          <w:noProof/>
          <w:color w:val="000000"/>
          <w:sz w:val="20"/>
          <w:szCs w:val="20"/>
        </w:rPr>
        <w:drawing>
          <wp:inline distT="0" distB="0" distL="0" distR="0" wp14:anchorId="052F095F" wp14:editId="0681A45A">
            <wp:extent cx="4233998" cy="3240000"/>
            <wp:effectExtent l="19050" t="19050" r="14605" b="17780"/>
            <wp:docPr id="954215185" name="Picture 7"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15185" name="Picture 7" descr="A graph of different sizes and colo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33998" cy="3240000"/>
                    </a:xfrm>
                    <a:prstGeom prst="rect">
                      <a:avLst/>
                    </a:prstGeom>
                    <a:ln>
                      <a:solidFill>
                        <a:schemeClr val="tx1"/>
                      </a:solidFill>
                    </a:ln>
                  </pic:spPr>
                </pic:pic>
              </a:graphicData>
            </a:graphic>
          </wp:inline>
        </w:drawing>
      </w:r>
    </w:p>
    <w:p w14:paraId="67A7563A" w14:textId="7D45AE9D" w:rsidR="00763754" w:rsidRDefault="004D3BFD" w:rsidP="00EC6A58">
      <w:pPr>
        <w:pBdr>
          <w:top w:val="nil"/>
          <w:left w:val="nil"/>
          <w:bottom w:val="nil"/>
          <w:right w:val="nil"/>
          <w:between w:val="nil"/>
        </w:pBdr>
        <w:spacing w:after="0"/>
        <w:jc w:val="center"/>
        <w:rPr>
          <w:rFonts w:ascii="Constantia" w:eastAsia="Constantia" w:hAnsi="Constantia" w:cs="Constantia"/>
          <w:color w:val="000000"/>
          <w:sz w:val="20"/>
          <w:szCs w:val="20"/>
        </w:rPr>
      </w:pPr>
      <w:r w:rsidRPr="004D3BFD">
        <w:rPr>
          <w:rFonts w:ascii="Constantia" w:eastAsia="Constantia" w:hAnsi="Constantia" w:cs="Constantia"/>
          <w:b/>
          <w:bCs/>
          <w:color w:val="000000"/>
          <w:sz w:val="20"/>
          <w:szCs w:val="20"/>
        </w:rPr>
        <w:t>Figure 2.</w:t>
      </w:r>
      <w:r w:rsidRPr="004D3BFD">
        <w:rPr>
          <w:rFonts w:ascii="Constantia" w:eastAsia="Constantia" w:hAnsi="Constantia" w:cs="Constantia"/>
          <w:color w:val="000000"/>
          <w:sz w:val="20"/>
          <w:szCs w:val="20"/>
        </w:rPr>
        <w:t xml:space="preserve"> Gradation Curve of Lumajang Sand</w:t>
      </w:r>
    </w:p>
    <w:p w14:paraId="18AED9C7" w14:textId="77777777" w:rsidR="009C6912" w:rsidRDefault="004D3BFD" w:rsidP="009C6912">
      <w:pPr>
        <w:pBdr>
          <w:top w:val="nil"/>
          <w:left w:val="nil"/>
          <w:bottom w:val="nil"/>
          <w:right w:val="nil"/>
          <w:between w:val="nil"/>
        </w:pBdr>
        <w:ind w:firstLine="720"/>
        <w:jc w:val="both"/>
        <w:rPr>
          <w:rFonts w:ascii="Constantia" w:eastAsia="Constantia" w:hAnsi="Constantia" w:cs="Constantia"/>
          <w:color w:val="000000"/>
          <w:sz w:val="20"/>
          <w:szCs w:val="20"/>
        </w:rPr>
      </w:pPr>
      <w:r w:rsidRPr="004D3BFD">
        <w:rPr>
          <w:rFonts w:ascii="Constantia" w:eastAsia="Constantia" w:hAnsi="Constantia" w:cs="Constantia"/>
          <w:b/>
          <w:bCs/>
          <w:color w:val="000000"/>
          <w:sz w:val="20"/>
          <w:szCs w:val="20"/>
        </w:rPr>
        <w:lastRenderedPageBreak/>
        <w:t>Figure 2</w:t>
      </w:r>
      <w:r>
        <w:rPr>
          <w:rFonts w:ascii="Constantia" w:eastAsia="Constantia" w:hAnsi="Constantia" w:cs="Constantia"/>
          <w:b/>
          <w:bCs/>
          <w:color w:val="000000"/>
          <w:sz w:val="20"/>
          <w:szCs w:val="20"/>
        </w:rPr>
        <w:t>.</w:t>
      </w:r>
      <w:r w:rsidRPr="004D3BFD">
        <w:rPr>
          <w:rFonts w:ascii="Constantia" w:eastAsia="Constantia" w:hAnsi="Constantia" w:cs="Constantia"/>
          <w:b/>
          <w:bCs/>
          <w:color w:val="000000"/>
          <w:sz w:val="20"/>
          <w:szCs w:val="20"/>
        </w:rPr>
        <w:t xml:space="preserve"> </w:t>
      </w:r>
      <w:r w:rsidRPr="004D3BFD">
        <w:rPr>
          <w:rFonts w:ascii="Constantia" w:eastAsia="Constantia" w:hAnsi="Constantia" w:cs="Constantia"/>
          <w:color w:val="000000"/>
          <w:sz w:val="20"/>
          <w:szCs w:val="20"/>
        </w:rPr>
        <w:t>showed the gradation curve of Lumajang sand that had passed through a No. 8 sieve, compared with the upper and lower limits of each gradation zone according to SNI 03-2834-2000. The analysis indicated that the particle size distribution of Lumajang sand predominantly fell within Zone 2 and approached the lower limit of Zone 1, with the cumulative passing percentage increasing sharply for sieve sizes between 0.3 mm and 1.18 mm. These results suggested that Lumajang sand had a suitable particle size distribution for use as fine aggregate in concrete mixtures, in accordance with the standard criteria. The gradation exhibited a transition between medium-graded and coarse-graded zones, which potentially enhanced workability and compressive strength when used in appropriate proportions</w:t>
      </w:r>
      <w:r w:rsidR="00DB13F9" w:rsidRPr="004D3BFD">
        <w:rPr>
          <w:rFonts w:ascii="Constantia" w:eastAsia="Constantia" w:hAnsi="Constantia" w:cs="Constantia"/>
          <w:color w:val="000000"/>
          <w:sz w:val="20"/>
          <w:szCs w:val="20"/>
        </w:rPr>
        <w:t>.</w:t>
      </w:r>
      <w:r w:rsidR="00434753">
        <w:rPr>
          <w:rFonts w:ascii="Constantia" w:eastAsia="Constantia" w:hAnsi="Constantia" w:cs="Constantia"/>
          <w:color w:val="000000"/>
          <w:sz w:val="20"/>
          <w:szCs w:val="20"/>
        </w:rPr>
        <w:t xml:space="preserve"> </w:t>
      </w:r>
      <w:r w:rsidR="00A51207" w:rsidRPr="00A51207">
        <w:rPr>
          <w:rFonts w:ascii="Constantia" w:eastAsia="Constantia" w:hAnsi="Constantia" w:cs="Constantia"/>
          <w:color w:val="000000"/>
          <w:sz w:val="20"/>
          <w:szCs w:val="20"/>
        </w:rPr>
        <w:t>The SSD (saturated surface-dry) specific gravity of Lumajang sand was 2.841 g/cm³ (SNI 1969-2008), with a moisture content of 2.6% (SNI 1970-2008). The fineness modulus was 2.073 (ASTM C-33), and the sand contained 3.3% fines (ASTM C 117-95). E-glass fibers with a length of 3 cm and a high-range water reducer (HRWR) superplasticizer of polycarboxylate ether type (Sika Viscocrete® 3115N) were incorporated into the mix.</w:t>
      </w:r>
      <w:r w:rsidR="00C714D6">
        <w:rPr>
          <w:rFonts w:ascii="Constantia" w:eastAsia="Constantia" w:hAnsi="Constantia" w:cs="Constantia"/>
          <w:color w:val="000000"/>
          <w:sz w:val="20"/>
          <w:szCs w:val="20"/>
        </w:rPr>
        <w:tab/>
      </w:r>
      <w:r w:rsidR="00C714D6">
        <w:rPr>
          <w:rFonts w:ascii="Constantia" w:eastAsia="Constantia" w:hAnsi="Constantia" w:cs="Constantia"/>
          <w:color w:val="000000"/>
          <w:sz w:val="20"/>
          <w:szCs w:val="20"/>
        </w:rPr>
        <w:tab/>
      </w:r>
      <w:r w:rsidR="00C714D6">
        <w:rPr>
          <w:rFonts w:ascii="Constantia" w:eastAsia="Constantia" w:hAnsi="Constantia" w:cs="Constantia"/>
          <w:color w:val="000000"/>
          <w:sz w:val="20"/>
          <w:szCs w:val="20"/>
        </w:rPr>
        <w:tab/>
      </w:r>
    </w:p>
    <w:p w14:paraId="455EE7E1" w14:textId="364BE577" w:rsidR="00D66DD5" w:rsidRDefault="00A51207" w:rsidP="009C6912">
      <w:pPr>
        <w:pBdr>
          <w:top w:val="nil"/>
          <w:left w:val="nil"/>
          <w:bottom w:val="nil"/>
          <w:right w:val="nil"/>
          <w:between w:val="nil"/>
        </w:pBdr>
        <w:ind w:firstLine="720"/>
        <w:jc w:val="both"/>
        <w:rPr>
          <w:rFonts w:ascii="Constantia" w:eastAsia="Constantia" w:hAnsi="Constantia" w:cs="Constantia"/>
          <w:color w:val="000000"/>
          <w:sz w:val="20"/>
          <w:szCs w:val="20"/>
        </w:rPr>
      </w:pPr>
      <w:r w:rsidRPr="00A51207">
        <w:rPr>
          <w:rFonts w:ascii="Constantia" w:eastAsia="Constantia" w:hAnsi="Constantia" w:cs="Constantia"/>
          <w:color w:val="000000"/>
          <w:sz w:val="20"/>
          <w:szCs w:val="20"/>
        </w:rPr>
        <w:t>The mix design referred to the guidelines from the Glassfibre Reinforced Concrete Association (GRCA, 2017), with a cement-to-aggregate ratio of 1:1 and a water-cement ratio (w/c) of 0.31. The variations of the mix design are presented in Table 3</w:t>
      </w:r>
      <w:r w:rsidR="007C2BCE">
        <w:rPr>
          <w:rFonts w:ascii="Constantia" w:eastAsia="Constantia" w:hAnsi="Constantia" w:cs="Constantia"/>
          <w:color w:val="000000"/>
          <w:sz w:val="20"/>
          <w:szCs w:val="20"/>
        </w:rPr>
        <w:t>.</w:t>
      </w:r>
    </w:p>
    <w:p w14:paraId="3920C92A" w14:textId="55CD1F61" w:rsidR="00DD30A4" w:rsidRPr="003806FB" w:rsidRDefault="00DD30A4" w:rsidP="007A2B05">
      <w:pPr>
        <w:pBdr>
          <w:top w:val="nil"/>
          <w:left w:val="nil"/>
          <w:bottom w:val="nil"/>
          <w:right w:val="nil"/>
          <w:between w:val="nil"/>
        </w:pBdr>
        <w:ind w:firstLine="720"/>
        <w:jc w:val="center"/>
        <w:rPr>
          <w:rFonts w:ascii="Constantia" w:eastAsia="Constantia" w:hAnsi="Constantia" w:cs="Constantia"/>
          <w:color w:val="000000"/>
          <w:sz w:val="20"/>
          <w:szCs w:val="20"/>
        </w:rPr>
      </w:pPr>
      <w:r w:rsidRPr="00C062C4">
        <w:rPr>
          <w:rFonts w:ascii="Constantia" w:eastAsia="Constantia" w:hAnsi="Constantia" w:cs="Constantia"/>
          <w:b/>
          <w:bCs/>
          <w:color w:val="000000"/>
          <w:sz w:val="20"/>
          <w:szCs w:val="20"/>
        </w:rPr>
        <w:t>Tabl</w:t>
      </w:r>
      <w:r w:rsidR="003C5032">
        <w:rPr>
          <w:rFonts w:ascii="Constantia" w:eastAsia="Constantia" w:hAnsi="Constantia" w:cs="Constantia"/>
          <w:b/>
          <w:bCs/>
          <w:color w:val="000000"/>
          <w:sz w:val="20"/>
          <w:szCs w:val="20"/>
        </w:rPr>
        <w:t>e</w:t>
      </w:r>
      <w:r w:rsidRPr="00C062C4">
        <w:rPr>
          <w:rFonts w:ascii="Constantia" w:eastAsia="Constantia" w:hAnsi="Constantia" w:cs="Constantia"/>
          <w:b/>
          <w:bCs/>
          <w:color w:val="000000"/>
          <w:sz w:val="20"/>
          <w:szCs w:val="20"/>
        </w:rPr>
        <w:t xml:space="preserve"> </w:t>
      </w:r>
      <w:r w:rsidR="003B2C29">
        <w:rPr>
          <w:rFonts w:ascii="Constantia" w:eastAsia="Constantia" w:hAnsi="Constantia" w:cs="Constantia"/>
          <w:b/>
          <w:bCs/>
          <w:color w:val="000000"/>
          <w:sz w:val="20"/>
          <w:szCs w:val="20"/>
        </w:rPr>
        <w:t>3</w:t>
      </w:r>
      <w:r w:rsidRPr="00C062C4">
        <w:rPr>
          <w:rFonts w:ascii="Constantia" w:eastAsia="Constantia" w:hAnsi="Constantia" w:cs="Constantia"/>
          <w:b/>
          <w:bCs/>
          <w:color w:val="000000"/>
          <w:sz w:val="20"/>
          <w:szCs w:val="20"/>
        </w:rPr>
        <w:t>.</w:t>
      </w:r>
      <w:r>
        <w:rPr>
          <w:rFonts w:ascii="Constantia" w:eastAsia="Constantia" w:hAnsi="Constantia" w:cs="Constantia"/>
          <w:color w:val="000000"/>
          <w:sz w:val="20"/>
          <w:szCs w:val="20"/>
        </w:rPr>
        <w:t xml:space="preserve"> </w:t>
      </w:r>
      <w:r w:rsidR="009D3BFA" w:rsidRPr="000531C2">
        <w:rPr>
          <w:rFonts w:ascii="Constantia" w:eastAsia="Constantia" w:hAnsi="Constantia" w:cs="Constantia"/>
          <w:color w:val="000000"/>
          <w:sz w:val="20"/>
          <w:szCs w:val="20"/>
        </w:rPr>
        <w:t>Mix Design Proportions of Glassfibre Reinforced Concrete (GRC)</w:t>
      </w:r>
    </w:p>
    <w:tbl>
      <w:tblPr>
        <w:tblStyle w:val="TableGrid"/>
        <w:tblW w:w="835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1"/>
        <w:gridCol w:w="1701"/>
        <w:gridCol w:w="991"/>
        <w:gridCol w:w="993"/>
        <w:gridCol w:w="1417"/>
        <w:gridCol w:w="1418"/>
      </w:tblGrid>
      <w:tr w:rsidR="005D56BA" w14:paraId="41DF0BA6" w14:textId="77777777" w:rsidTr="00010E1A">
        <w:trPr>
          <w:tblHeader/>
          <w:jc w:val="center"/>
        </w:trPr>
        <w:tc>
          <w:tcPr>
            <w:tcW w:w="988" w:type="dxa"/>
            <w:vMerge w:val="restart"/>
            <w:tcBorders>
              <w:top w:val="single" w:sz="4" w:space="0" w:color="auto"/>
              <w:bottom w:val="single" w:sz="4" w:space="0" w:color="auto"/>
            </w:tcBorders>
            <w:vAlign w:val="center"/>
          </w:tcPr>
          <w:p w14:paraId="0EF0673B" w14:textId="08BF9E55" w:rsidR="005D56BA" w:rsidRPr="00192BD2" w:rsidRDefault="005D56BA" w:rsidP="005D56BA">
            <w:pPr>
              <w:pStyle w:val="ListParagraph"/>
              <w:ind w:left="-109" w:right="-108"/>
              <w:jc w:val="center"/>
              <w:rPr>
                <w:rFonts w:ascii="Times New Roman" w:hAnsi="Times New Roman" w:cs="Times New Roman"/>
                <w:sz w:val="18"/>
                <w:szCs w:val="18"/>
              </w:rPr>
            </w:pPr>
            <w:r>
              <w:rPr>
                <w:rFonts w:ascii="Times New Roman" w:hAnsi="Times New Roman" w:cs="Times New Roman"/>
                <w:sz w:val="18"/>
                <w:szCs w:val="18"/>
              </w:rPr>
              <w:t>Specimen Code</w:t>
            </w:r>
          </w:p>
        </w:tc>
        <w:tc>
          <w:tcPr>
            <w:tcW w:w="4536" w:type="dxa"/>
            <w:gridSpan w:val="4"/>
            <w:tcBorders>
              <w:top w:val="single" w:sz="4" w:space="0" w:color="auto"/>
              <w:bottom w:val="nil"/>
            </w:tcBorders>
            <w:vAlign w:val="center"/>
          </w:tcPr>
          <w:p w14:paraId="34158FB6" w14:textId="22758375" w:rsidR="005D56BA" w:rsidRPr="00192BD2" w:rsidRDefault="005D56BA" w:rsidP="005D56BA">
            <w:pPr>
              <w:pStyle w:val="ListParagraph"/>
              <w:ind w:left="0"/>
              <w:jc w:val="center"/>
              <w:rPr>
                <w:rFonts w:ascii="Times New Roman" w:hAnsi="Times New Roman" w:cs="Times New Roman"/>
                <w:sz w:val="18"/>
                <w:szCs w:val="18"/>
              </w:rPr>
            </w:pPr>
            <w:r w:rsidRPr="001604B3">
              <w:rPr>
                <w:rFonts w:ascii="Times New Roman" w:hAnsi="Times New Roman" w:cs="Times New Roman"/>
                <w:sz w:val="18"/>
                <w:szCs w:val="18"/>
              </w:rPr>
              <w:t>Composition Ratio by Weight</w:t>
            </w:r>
          </w:p>
        </w:tc>
        <w:tc>
          <w:tcPr>
            <w:tcW w:w="1417" w:type="dxa"/>
            <w:vMerge w:val="restart"/>
            <w:tcBorders>
              <w:top w:val="single" w:sz="4" w:space="0" w:color="auto"/>
              <w:bottom w:val="single" w:sz="4" w:space="0" w:color="auto"/>
            </w:tcBorders>
            <w:vAlign w:val="center"/>
          </w:tcPr>
          <w:p w14:paraId="3A36FECD" w14:textId="2763B8A8" w:rsidR="005D56BA" w:rsidRPr="005D56BA" w:rsidRDefault="005D56BA" w:rsidP="005D56BA">
            <w:pPr>
              <w:pStyle w:val="ListParagraph"/>
              <w:ind w:left="0"/>
              <w:jc w:val="center"/>
              <w:rPr>
                <w:rFonts w:ascii="Times New Roman" w:hAnsi="Times New Roman" w:cs="Times New Roman"/>
                <w:sz w:val="18"/>
                <w:szCs w:val="18"/>
              </w:rPr>
            </w:pPr>
            <w:r w:rsidRPr="005D56BA">
              <w:rPr>
                <w:rFonts w:ascii="Times New Roman" w:hAnsi="Times New Roman" w:cs="Times New Roman"/>
                <w:sz w:val="18"/>
                <w:szCs w:val="18"/>
              </w:rPr>
              <w:t>Superplasticizer (%) by Cement Weight</w:t>
            </w:r>
          </w:p>
        </w:tc>
        <w:tc>
          <w:tcPr>
            <w:tcW w:w="1418" w:type="dxa"/>
            <w:vMerge w:val="restart"/>
            <w:tcBorders>
              <w:top w:val="single" w:sz="4" w:space="0" w:color="auto"/>
              <w:bottom w:val="single" w:sz="4" w:space="0" w:color="auto"/>
            </w:tcBorders>
            <w:vAlign w:val="center"/>
          </w:tcPr>
          <w:p w14:paraId="6AD9D576" w14:textId="0D9CEEED" w:rsidR="005D56BA" w:rsidRPr="00192BD2" w:rsidRDefault="00093ED0"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Glass Fiber</w:t>
            </w:r>
            <w:r w:rsidRPr="00192BD2">
              <w:rPr>
                <w:rFonts w:ascii="Times New Roman" w:hAnsi="Times New Roman" w:cs="Times New Roman"/>
                <w:sz w:val="18"/>
                <w:szCs w:val="18"/>
              </w:rPr>
              <w:t xml:space="preserve"> (%) </w:t>
            </w:r>
            <w:r>
              <w:rPr>
                <w:rFonts w:ascii="Times New Roman" w:hAnsi="Times New Roman" w:cs="Times New Roman"/>
                <w:sz w:val="18"/>
                <w:szCs w:val="18"/>
              </w:rPr>
              <w:t>by</w:t>
            </w:r>
            <w:r w:rsidRPr="00192BD2">
              <w:rPr>
                <w:rFonts w:ascii="Times New Roman" w:hAnsi="Times New Roman" w:cs="Times New Roman"/>
                <w:sz w:val="18"/>
                <w:szCs w:val="18"/>
              </w:rPr>
              <w:t xml:space="preserve"> total</w:t>
            </w:r>
            <w:r>
              <w:rPr>
                <w:rFonts w:ascii="Times New Roman" w:hAnsi="Times New Roman" w:cs="Times New Roman"/>
                <w:sz w:val="18"/>
                <w:szCs w:val="18"/>
              </w:rPr>
              <w:t xml:space="preserve"> mix weight</w:t>
            </w:r>
          </w:p>
        </w:tc>
      </w:tr>
      <w:tr w:rsidR="005D56BA" w14:paraId="22BE9133" w14:textId="77777777" w:rsidTr="00010E1A">
        <w:trPr>
          <w:tblHeader/>
          <w:jc w:val="center"/>
        </w:trPr>
        <w:tc>
          <w:tcPr>
            <w:tcW w:w="988" w:type="dxa"/>
            <w:vMerge/>
            <w:tcBorders>
              <w:top w:val="single" w:sz="4" w:space="0" w:color="auto"/>
            </w:tcBorders>
            <w:vAlign w:val="center"/>
          </w:tcPr>
          <w:p w14:paraId="24CEBBD8" w14:textId="77777777" w:rsidR="005D56BA" w:rsidRPr="00192BD2" w:rsidRDefault="005D56BA" w:rsidP="005D56BA">
            <w:pPr>
              <w:pStyle w:val="ListParagraph"/>
              <w:ind w:left="0"/>
              <w:jc w:val="center"/>
              <w:rPr>
                <w:rFonts w:ascii="Times New Roman" w:hAnsi="Times New Roman" w:cs="Times New Roman"/>
                <w:sz w:val="18"/>
                <w:szCs w:val="18"/>
              </w:rPr>
            </w:pPr>
          </w:p>
        </w:tc>
        <w:tc>
          <w:tcPr>
            <w:tcW w:w="851" w:type="dxa"/>
            <w:tcBorders>
              <w:top w:val="nil"/>
              <w:bottom w:val="nil"/>
            </w:tcBorders>
            <w:vAlign w:val="center"/>
          </w:tcPr>
          <w:p w14:paraId="38561FFD" w14:textId="65FCF460" w:rsidR="005D56BA" w:rsidRPr="00192BD2" w:rsidRDefault="005D56BA" w:rsidP="005D56BA">
            <w:pPr>
              <w:pStyle w:val="ListParagraph"/>
              <w:ind w:left="-44"/>
              <w:jc w:val="center"/>
              <w:rPr>
                <w:rFonts w:ascii="Times New Roman" w:hAnsi="Times New Roman" w:cs="Times New Roman"/>
                <w:sz w:val="18"/>
                <w:szCs w:val="18"/>
              </w:rPr>
            </w:pPr>
            <w:r>
              <w:rPr>
                <w:rFonts w:ascii="Times New Roman" w:hAnsi="Times New Roman" w:cs="Times New Roman"/>
                <w:sz w:val="18"/>
                <w:szCs w:val="18"/>
              </w:rPr>
              <w:t>Cement</w:t>
            </w:r>
          </w:p>
        </w:tc>
        <w:tc>
          <w:tcPr>
            <w:tcW w:w="1701" w:type="dxa"/>
            <w:tcBorders>
              <w:top w:val="nil"/>
              <w:bottom w:val="single" w:sz="4" w:space="0" w:color="auto"/>
            </w:tcBorders>
            <w:vAlign w:val="center"/>
          </w:tcPr>
          <w:p w14:paraId="5B16089F" w14:textId="2A926A07" w:rsidR="005D56BA" w:rsidRPr="009D41B2" w:rsidRDefault="005D56BA" w:rsidP="005D56BA">
            <w:pPr>
              <w:pStyle w:val="ListParagraph"/>
              <w:ind w:left="0"/>
              <w:jc w:val="center"/>
              <w:rPr>
                <w:rFonts w:ascii="Times New Roman" w:hAnsi="Times New Roman" w:cs="Times New Roman"/>
                <w:sz w:val="18"/>
                <w:szCs w:val="18"/>
              </w:rPr>
            </w:pPr>
            <w:r w:rsidRPr="009D41B2">
              <w:rPr>
                <w:rFonts w:ascii="Times New Roman" w:hAnsi="Times New Roman" w:cs="Times New Roman"/>
                <w:sz w:val="18"/>
                <w:szCs w:val="18"/>
              </w:rPr>
              <w:t>Ferric Oxide</w:t>
            </w:r>
          </w:p>
        </w:tc>
        <w:tc>
          <w:tcPr>
            <w:tcW w:w="991" w:type="dxa"/>
            <w:tcBorders>
              <w:top w:val="nil"/>
              <w:bottom w:val="single" w:sz="4" w:space="0" w:color="auto"/>
            </w:tcBorders>
            <w:vAlign w:val="center"/>
          </w:tcPr>
          <w:p w14:paraId="7755A230" w14:textId="651B6826" w:rsidR="005D56BA" w:rsidRPr="00192BD2" w:rsidRDefault="005D56BA" w:rsidP="005D56BA">
            <w:pPr>
              <w:pStyle w:val="ListParagraph"/>
              <w:ind w:left="0"/>
              <w:jc w:val="center"/>
              <w:rPr>
                <w:rFonts w:ascii="Times New Roman" w:hAnsi="Times New Roman" w:cs="Times New Roman"/>
                <w:i/>
                <w:iCs/>
                <w:sz w:val="18"/>
                <w:szCs w:val="18"/>
              </w:rPr>
            </w:pPr>
            <w:r>
              <w:rPr>
                <w:rFonts w:ascii="Times New Roman" w:hAnsi="Times New Roman" w:cs="Times New Roman"/>
                <w:sz w:val="18"/>
                <w:szCs w:val="18"/>
              </w:rPr>
              <w:t>Lumajang Sand</w:t>
            </w:r>
          </w:p>
        </w:tc>
        <w:tc>
          <w:tcPr>
            <w:tcW w:w="993" w:type="dxa"/>
            <w:tcBorders>
              <w:top w:val="nil"/>
              <w:bottom w:val="single" w:sz="4" w:space="0" w:color="auto"/>
            </w:tcBorders>
            <w:vAlign w:val="center"/>
          </w:tcPr>
          <w:p w14:paraId="2B3BF0E4" w14:textId="7410099A"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Water Cement Ratio</w:t>
            </w:r>
          </w:p>
        </w:tc>
        <w:tc>
          <w:tcPr>
            <w:tcW w:w="1417" w:type="dxa"/>
            <w:vMerge/>
            <w:tcBorders>
              <w:top w:val="nil"/>
              <w:bottom w:val="single" w:sz="4" w:space="0" w:color="auto"/>
            </w:tcBorders>
            <w:vAlign w:val="center"/>
          </w:tcPr>
          <w:p w14:paraId="35953292" w14:textId="77777777" w:rsidR="005D56BA" w:rsidRPr="00192BD2" w:rsidRDefault="005D56BA" w:rsidP="005D56BA">
            <w:pPr>
              <w:pStyle w:val="ListParagraph"/>
              <w:ind w:left="0"/>
              <w:jc w:val="center"/>
              <w:rPr>
                <w:rFonts w:ascii="Times New Roman" w:hAnsi="Times New Roman" w:cs="Times New Roman"/>
                <w:sz w:val="18"/>
                <w:szCs w:val="18"/>
              </w:rPr>
            </w:pPr>
          </w:p>
        </w:tc>
        <w:tc>
          <w:tcPr>
            <w:tcW w:w="1418" w:type="dxa"/>
            <w:vMerge/>
            <w:tcBorders>
              <w:top w:val="nil"/>
              <w:bottom w:val="single" w:sz="4" w:space="0" w:color="auto"/>
            </w:tcBorders>
            <w:vAlign w:val="center"/>
          </w:tcPr>
          <w:p w14:paraId="37C1D96A" w14:textId="77777777" w:rsidR="005D56BA" w:rsidRPr="00192BD2" w:rsidRDefault="005D56BA" w:rsidP="005D56BA">
            <w:pPr>
              <w:pStyle w:val="ListParagraph"/>
              <w:ind w:left="0"/>
              <w:jc w:val="center"/>
              <w:rPr>
                <w:rFonts w:ascii="Times New Roman" w:hAnsi="Times New Roman" w:cs="Times New Roman"/>
                <w:sz w:val="18"/>
                <w:szCs w:val="18"/>
              </w:rPr>
            </w:pPr>
          </w:p>
        </w:tc>
      </w:tr>
      <w:tr w:rsidR="005D56BA" w14:paraId="16538C2F" w14:textId="77777777" w:rsidTr="00010E1A">
        <w:trPr>
          <w:jc w:val="center"/>
        </w:trPr>
        <w:tc>
          <w:tcPr>
            <w:tcW w:w="988" w:type="dxa"/>
            <w:tcBorders>
              <w:top w:val="single" w:sz="4" w:space="0" w:color="auto"/>
            </w:tcBorders>
            <w:vAlign w:val="center"/>
          </w:tcPr>
          <w:p w14:paraId="03D51544" w14:textId="5F476845"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FO</w:t>
            </w:r>
            <w:r w:rsidRPr="00192BD2">
              <w:rPr>
                <w:rFonts w:ascii="Times New Roman" w:hAnsi="Times New Roman" w:cs="Times New Roman"/>
                <w:sz w:val="18"/>
                <w:szCs w:val="18"/>
                <w:vertAlign w:val="subscript"/>
              </w:rPr>
              <w:t>0</w:t>
            </w:r>
          </w:p>
        </w:tc>
        <w:tc>
          <w:tcPr>
            <w:tcW w:w="851" w:type="dxa"/>
            <w:tcBorders>
              <w:top w:val="single" w:sz="4" w:space="0" w:color="auto"/>
            </w:tcBorders>
            <w:vAlign w:val="center"/>
          </w:tcPr>
          <w:p w14:paraId="5735F9EF"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w:t>
            </w:r>
          </w:p>
        </w:tc>
        <w:tc>
          <w:tcPr>
            <w:tcW w:w="1701" w:type="dxa"/>
            <w:tcBorders>
              <w:top w:val="single" w:sz="4" w:space="0" w:color="auto"/>
            </w:tcBorders>
            <w:vAlign w:val="center"/>
          </w:tcPr>
          <w:p w14:paraId="4CC2189F" w14:textId="15DA5EF2"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w:t>
            </w:r>
          </w:p>
        </w:tc>
        <w:tc>
          <w:tcPr>
            <w:tcW w:w="991" w:type="dxa"/>
            <w:tcBorders>
              <w:top w:val="single" w:sz="4" w:space="0" w:color="auto"/>
            </w:tcBorders>
            <w:vAlign w:val="center"/>
          </w:tcPr>
          <w:p w14:paraId="4D375A96" w14:textId="5CCFC6A8"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w:t>
            </w:r>
          </w:p>
        </w:tc>
        <w:tc>
          <w:tcPr>
            <w:tcW w:w="993" w:type="dxa"/>
            <w:tcBorders>
              <w:top w:val="single" w:sz="4" w:space="0" w:color="auto"/>
            </w:tcBorders>
            <w:vAlign w:val="center"/>
          </w:tcPr>
          <w:p w14:paraId="5F9B09A0"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0,31</w:t>
            </w:r>
          </w:p>
        </w:tc>
        <w:tc>
          <w:tcPr>
            <w:tcW w:w="1417" w:type="dxa"/>
            <w:tcBorders>
              <w:top w:val="single" w:sz="4" w:space="0" w:color="auto"/>
            </w:tcBorders>
            <w:vAlign w:val="center"/>
          </w:tcPr>
          <w:p w14:paraId="59CD36DC"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1,5</w:t>
            </w:r>
          </w:p>
        </w:tc>
        <w:tc>
          <w:tcPr>
            <w:tcW w:w="1418" w:type="dxa"/>
            <w:tcBorders>
              <w:top w:val="single" w:sz="4" w:space="0" w:color="auto"/>
            </w:tcBorders>
            <w:vAlign w:val="center"/>
          </w:tcPr>
          <w:p w14:paraId="30BE79CD"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3</w:t>
            </w:r>
          </w:p>
        </w:tc>
      </w:tr>
      <w:tr w:rsidR="005D56BA" w14:paraId="647DD1A3" w14:textId="77777777" w:rsidTr="00010E1A">
        <w:trPr>
          <w:jc w:val="center"/>
        </w:trPr>
        <w:tc>
          <w:tcPr>
            <w:tcW w:w="988" w:type="dxa"/>
            <w:vAlign w:val="center"/>
          </w:tcPr>
          <w:p w14:paraId="1E35B155" w14:textId="74A6C4D5"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FO</w:t>
            </w:r>
            <w:r>
              <w:rPr>
                <w:rFonts w:ascii="Times New Roman" w:hAnsi="Times New Roman" w:cs="Times New Roman"/>
                <w:sz w:val="18"/>
                <w:szCs w:val="18"/>
                <w:vertAlign w:val="subscript"/>
              </w:rPr>
              <w:t>0,2</w:t>
            </w:r>
          </w:p>
        </w:tc>
        <w:tc>
          <w:tcPr>
            <w:tcW w:w="851" w:type="dxa"/>
            <w:vAlign w:val="center"/>
          </w:tcPr>
          <w:p w14:paraId="24D5BD58" w14:textId="4C6350B3"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0,8</w:t>
            </w:r>
          </w:p>
        </w:tc>
        <w:tc>
          <w:tcPr>
            <w:tcW w:w="1701" w:type="dxa"/>
            <w:vAlign w:val="center"/>
          </w:tcPr>
          <w:p w14:paraId="36CDA5FF" w14:textId="69AEF96D"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0,2</w:t>
            </w:r>
          </w:p>
        </w:tc>
        <w:tc>
          <w:tcPr>
            <w:tcW w:w="991" w:type="dxa"/>
            <w:vAlign w:val="center"/>
          </w:tcPr>
          <w:p w14:paraId="0A65F6FD" w14:textId="1DD3826C"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vAlign w:val="center"/>
          </w:tcPr>
          <w:p w14:paraId="04C1091A"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0,31</w:t>
            </w:r>
          </w:p>
        </w:tc>
        <w:tc>
          <w:tcPr>
            <w:tcW w:w="1417" w:type="dxa"/>
            <w:vAlign w:val="center"/>
          </w:tcPr>
          <w:p w14:paraId="7C86DEF7"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1,5</w:t>
            </w:r>
          </w:p>
        </w:tc>
        <w:tc>
          <w:tcPr>
            <w:tcW w:w="1418" w:type="dxa"/>
            <w:vAlign w:val="center"/>
          </w:tcPr>
          <w:p w14:paraId="5D24B698" w14:textId="7777777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3</w:t>
            </w:r>
          </w:p>
        </w:tc>
      </w:tr>
      <w:tr w:rsidR="005D56BA" w14:paraId="322857C0" w14:textId="77777777" w:rsidTr="00010E1A">
        <w:trPr>
          <w:jc w:val="center"/>
        </w:trPr>
        <w:tc>
          <w:tcPr>
            <w:tcW w:w="988" w:type="dxa"/>
            <w:vAlign w:val="center"/>
          </w:tcPr>
          <w:p w14:paraId="3E1353A0" w14:textId="6CBD9360"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FO</w:t>
            </w:r>
            <w:r>
              <w:rPr>
                <w:rFonts w:ascii="Times New Roman" w:hAnsi="Times New Roman" w:cs="Times New Roman"/>
                <w:sz w:val="18"/>
                <w:szCs w:val="18"/>
                <w:vertAlign w:val="subscript"/>
              </w:rPr>
              <w:t>0,3</w:t>
            </w:r>
          </w:p>
        </w:tc>
        <w:tc>
          <w:tcPr>
            <w:tcW w:w="851" w:type="dxa"/>
            <w:vAlign w:val="center"/>
          </w:tcPr>
          <w:p w14:paraId="5EA51866" w14:textId="77DAF374"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0,7</w:t>
            </w:r>
          </w:p>
        </w:tc>
        <w:tc>
          <w:tcPr>
            <w:tcW w:w="1701" w:type="dxa"/>
            <w:vAlign w:val="center"/>
          </w:tcPr>
          <w:p w14:paraId="7EA5EF1F" w14:textId="2E2F05E2"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0,3</w:t>
            </w:r>
          </w:p>
        </w:tc>
        <w:tc>
          <w:tcPr>
            <w:tcW w:w="991" w:type="dxa"/>
            <w:vAlign w:val="center"/>
          </w:tcPr>
          <w:p w14:paraId="3ED371F2" w14:textId="53228B6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w:t>
            </w:r>
          </w:p>
        </w:tc>
        <w:tc>
          <w:tcPr>
            <w:tcW w:w="993" w:type="dxa"/>
            <w:vAlign w:val="center"/>
          </w:tcPr>
          <w:p w14:paraId="50C72A27" w14:textId="03123043"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0,31</w:t>
            </w:r>
          </w:p>
        </w:tc>
        <w:tc>
          <w:tcPr>
            <w:tcW w:w="1417" w:type="dxa"/>
            <w:vAlign w:val="center"/>
          </w:tcPr>
          <w:p w14:paraId="03A900D3" w14:textId="6BD219A8"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1,5</w:t>
            </w:r>
          </w:p>
        </w:tc>
        <w:tc>
          <w:tcPr>
            <w:tcW w:w="1418" w:type="dxa"/>
            <w:vAlign w:val="center"/>
          </w:tcPr>
          <w:p w14:paraId="05914C4A" w14:textId="762F3F63"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3</w:t>
            </w:r>
          </w:p>
        </w:tc>
      </w:tr>
      <w:tr w:rsidR="005D56BA" w14:paraId="419A7FFE" w14:textId="77777777" w:rsidTr="00010E1A">
        <w:trPr>
          <w:jc w:val="center"/>
        </w:trPr>
        <w:tc>
          <w:tcPr>
            <w:tcW w:w="988" w:type="dxa"/>
            <w:vAlign w:val="center"/>
          </w:tcPr>
          <w:p w14:paraId="7892E7DF" w14:textId="452B3FC6"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FO</w:t>
            </w:r>
            <w:r>
              <w:rPr>
                <w:rFonts w:ascii="Times New Roman" w:hAnsi="Times New Roman" w:cs="Times New Roman"/>
                <w:sz w:val="18"/>
                <w:szCs w:val="18"/>
                <w:vertAlign w:val="subscript"/>
              </w:rPr>
              <w:t>0,4</w:t>
            </w:r>
          </w:p>
        </w:tc>
        <w:tc>
          <w:tcPr>
            <w:tcW w:w="851" w:type="dxa"/>
            <w:vAlign w:val="center"/>
          </w:tcPr>
          <w:p w14:paraId="5693FADD" w14:textId="50676185"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0,6</w:t>
            </w:r>
          </w:p>
        </w:tc>
        <w:tc>
          <w:tcPr>
            <w:tcW w:w="1701" w:type="dxa"/>
            <w:vAlign w:val="center"/>
          </w:tcPr>
          <w:p w14:paraId="060BD1D8" w14:textId="77F960D2"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0,4</w:t>
            </w:r>
          </w:p>
        </w:tc>
        <w:tc>
          <w:tcPr>
            <w:tcW w:w="991" w:type="dxa"/>
            <w:vAlign w:val="center"/>
          </w:tcPr>
          <w:p w14:paraId="0E7E11FB" w14:textId="23D19390" w:rsidR="005D56BA" w:rsidRPr="00192BD2" w:rsidRDefault="005D56BA" w:rsidP="005D56BA">
            <w:pPr>
              <w:pStyle w:val="ListParagraph"/>
              <w:ind w:left="0"/>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vAlign w:val="center"/>
          </w:tcPr>
          <w:p w14:paraId="15847ABD" w14:textId="7388FE9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0,31</w:t>
            </w:r>
          </w:p>
        </w:tc>
        <w:tc>
          <w:tcPr>
            <w:tcW w:w="1417" w:type="dxa"/>
            <w:vAlign w:val="center"/>
          </w:tcPr>
          <w:p w14:paraId="1665731D" w14:textId="699BCDE1"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1,5</w:t>
            </w:r>
          </w:p>
        </w:tc>
        <w:tc>
          <w:tcPr>
            <w:tcW w:w="1418" w:type="dxa"/>
            <w:vAlign w:val="center"/>
          </w:tcPr>
          <w:p w14:paraId="4CFDD9D4" w14:textId="193627A7" w:rsidR="005D56BA" w:rsidRPr="00192BD2" w:rsidRDefault="005D56BA" w:rsidP="005D56BA">
            <w:pPr>
              <w:pStyle w:val="ListParagraph"/>
              <w:ind w:left="0"/>
              <w:jc w:val="center"/>
              <w:rPr>
                <w:rFonts w:ascii="Times New Roman" w:hAnsi="Times New Roman" w:cs="Times New Roman"/>
                <w:sz w:val="18"/>
                <w:szCs w:val="18"/>
              </w:rPr>
            </w:pPr>
            <w:r w:rsidRPr="00192BD2">
              <w:rPr>
                <w:rFonts w:ascii="Times New Roman" w:hAnsi="Times New Roman" w:cs="Times New Roman"/>
                <w:sz w:val="18"/>
                <w:szCs w:val="18"/>
              </w:rPr>
              <w:t>3</w:t>
            </w:r>
          </w:p>
        </w:tc>
      </w:tr>
    </w:tbl>
    <w:p w14:paraId="058DF6BD" w14:textId="77777777" w:rsidR="0062175F" w:rsidRDefault="0062175F" w:rsidP="00A92BCC">
      <w:pPr>
        <w:pBdr>
          <w:top w:val="nil"/>
          <w:left w:val="nil"/>
          <w:bottom w:val="nil"/>
          <w:right w:val="nil"/>
          <w:between w:val="nil"/>
        </w:pBdr>
        <w:spacing w:after="0"/>
        <w:jc w:val="both"/>
        <w:rPr>
          <w:rFonts w:ascii="Constantia" w:eastAsia="Constantia" w:hAnsi="Constantia" w:cs="Constantia"/>
          <w:color w:val="000000"/>
          <w:sz w:val="20"/>
          <w:szCs w:val="20"/>
        </w:rPr>
      </w:pPr>
    </w:p>
    <w:p w14:paraId="31EA132D" w14:textId="132A4D62" w:rsidR="007836B0" w:rsidRPr="0082780A" w:rsidRDefault="007836B0" w:rsidP="007836B0">
      <w:pPr>
        <w:pBdr>
          <w:top w:val="nil"/>
          <w:left w:val="nil"/>
          <w:bottom w:val="nil"/>
          <w:right w:val="nil"/>
          <w:between w:val="nil"/>
        </w:pBdr>
        <w:ind w:firstLine="720"/>
        <w:jc w:val="both"/>
        <w:rPr>
          <w:rFonts w:ascii="Constantia" w:eastAsia="Constantia" w:hAnsi="Constantia" w:cs="Constantia"/>
          <w:color w:val="000000"/>
          <w:sz w:val="20"/>
          <w:szCs w:val="20"/>
        </w:rPr>
      </w:pPr>
      <w:r w:rsidRPr="00D268AD">
        <w:rPr>
          <w:rFonts w:ascii="Constantia" w:eastAsia="Constantia" w:hAnsi="Constantia" w:cs="Constantia"/>
          <w:color w:val="000000"/>
          <w:sz w:val="20"/>
          <w:szCs w:val="20"/>
        </w:rPr>
        <w:t>The compressive strength specimens without glass fibers were cast in cube molds measuring 5 × 5 × 5 cm and tested at the ages of 7 and 28 days, in accordance with ASTM C39. The flexural strength specimens were cast in molds measuring 62 × 46 × 1 cm. The curing process was carried out using the wet curing method for 28 days, following ASTM C945.</w:t>
      </w:r>
      <w:r>
        <w:rPr>
          <w:rFonts w:ascii="Constantia" w:eastAsia="Constantia" w:hAnsi="Constantia" w:cs="Constantia"/>
          <w:color w:val="000000"/>
          <w:sz w:val="20"/>
          <w:szCs w:val="20"/>
        </w:rPr>
        <w:t xml:space="preserve"> </w:t>
      </w:r>
      <w:r w:rsidRPr="00D268AD">
        <w:rPr>
          <w:rFonts w:ascii="Constantia" w:eastAsia="Constantia" w:hAnsi="Constantia" w:cs="Constantia"/>
          <w:color w:val="000000"/>
          <w:sz w:val="20"/>
          <w:szCs w:val="20"/>
        </w:rPr>
        <w:t>After curing, the flexural strength specimens were cut into dimensions of 47 × 5 × 1 cm for testing in accordance with ASTM C1228-96. The flexural strength test was conducted at 28 days of age, following ASTM C947-03, while the water absorption test was performed based on ASTM C948-81. The dry and wet density tests were also carried out in accordance with ASTM C948-81.</w:t>
      </w:r>
    </w:p>
    <w:p w14:paraId="51A91993" w14:textId="60FC04B5" w:rsidR="002339BB" w:rsidRPr="00053FAD" w:rsidRDefault="004234C6" w:rsidP="00053FAD">
      <w:pPr>
        <w:numPr>
          <w:ilvl w:val="0"/>
          <w:numId w:val="2"/>
        </w:numPr>
        <w:pBdr>
          <w:top w:val="nil"/>
          <w:left w:val="nil"/>
          <w:bottom w:val="nil"/>
          <w:right w:val="nil"/>
          <w:between w:val="nil"/>
        </w:pBdr>
        <w:spacing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Result and Discussion</w:t>
      </w:r>
    </w:p>
    <w:p w14:paraId="76A042EE" w14:textId="03CFD252" w:rsidR="003104A8" w:rsidRPr="00D268AD" w:rsidRDefault="003104A8" w:rsidP="003104A8">
      <w:pPr>
        <w:pStyle w:val="ListParagraph"/>
        <w:numPr>
          <w:ilvl w:val="1"/>
          <w:numId w:val="5"/>
        </w:numPr>
        <w:pBdr>
          <w:top w:val="nil"/>
          <w:left w:val="nil"/>
          <w:bottom w:val="nil"/>
          <w:right w:val="nil"/>
          <w:between w:val="nil"/>
        </w:pBdr>
        <w:tabs>
          <w:tab w:val="left" w:pos="567"/>
        </w:tabs>
        <w:spacing w:after="0"/>
        <w:ind w:left="709" w:hanging="709"/>
        <w:jc w:val="both"/>
        <w:rPr>
          <w:rFonts w:ascii="Constantia" w:eastAsia="Constantia" w:hAnsi="Constantia" w:cs="Constantia"/>
          <w:b/>
          <w:bCs/>
          <w:color w:val="000000"/>
          <w:sz w:val="20"/>
          <w:szCs w:val="20"/>
        </w:rPr>
      </w:pPr>
      <w:r>
        <w:rPr>
          <w:rFonts w:ascii="Constantia" w:eastAsia="Constantia" w:hAnsi="Constantia" w:cs="Constantia"/>
          <w:b/>
          <w:bCs/>
          <w:color w:val="000000"/>
          <w:sz w:val="20"/>
          <w:szCs w:val="20"/>
        </w:rPr>
        <w:t>C</w:t>
      </w:r>
      <w:r w:rsidRPr="00D268AD">
        <w:rPr>
          <w:rFonts w:ascii="Constantia" w:eastAsia="Constantia" w:hAnsi="Constantia" w:cs="Constantia"/>
          <w:b/>
          <w:bCs/>
          <w:color w:val="000000"/>
          <w:sz w:val="20"/>
          <w:szCs w:val="20"/>
        </w:rPr>
        <w:t xml:space="preserve">ompressive </w:t>
      </w:r>
      <w:r>
        <w:rPr>
          <w:rFonts w:ascii="Constantia" w:eastAsia="Constantia" w:hAnsi="Constantia" w:cs="Constantia"/>
          <w:b/>
          <w:bCs/>
          <w:color w:val="000000"/>
          <w:sz w:val="20"/>
          <w:szCs w:val="20"/>
        </w:rPr>
        <w:t>S</w:t>
      </w:r>
      <w:r w:rsidRPr="00D268AD">
        <w:rPr>
          <w:rFonts w:ascii="Constantia" w:eastAsia="Constantia" w:hAnsi="Constantia" w:cs="Constantia"/>
          <w:b/>
          <w:bCs/>
          <w:color w:val="000000"/>
          <w:sz w:val="20"/>
          <w:szCs w:val="20"/>
        </w:rPr>
        <w:t>trength</w:t>
      </w:r>
    </w:p>
    <w:p w14:paraId="2A831898" w14:textId="2023AD41" w:rsidR="00F32816" w:rsidRPr="00256309" w:rsidRDefault="00B669AD" w:rsidP="00D0505C">
      <w:pPr>
        <w:pBdr>
          <w:top w:val="nil"/>
          <w:left w:val="nil"/>
          <w:bottom w:val="nil"/>
          <w:right w:val="nil"/>
          <w:between w:val="nil"/>
        </w:pBdr>
        <w:spacing w:after="0"/>
        <w:ind w:right="-62" w:firstLine="360"/>
        <w:jc w:val="both"/>
        <w:rPr>
          <w:rFonts w:ascii="Constantia" w:eastAsia="Constantia" w:hAnsi="Constantia" w:cs="Constantia"/>
          <w:color w:val="000000"/>
          <w:sz w:val="20"/>
          <w:szCs w:val="20"/>
        </w:rPr>
      </w:pPr>
      <w:r w:rsidRPr="000165A1">
        <w:rPr>
          <w:rFonts w:ascii="Constantia" w:eastAsia="Constantia" w:hAnsi="Constantia" w:cs="Constantia"/>
          <w:color w:val="000000"/>
          <w:sz w:val="20"/>
          <w:szCs w:val="20"/>
        </w:rPr>
        <w:t>This test aimed to analyze the effect of variations in the composition of constituent materials, particularly the proportion of ferric oxide waste used as a filler. The results of the compressive strength test for mixtures containing ferric oxide waste are presented in</w:t>
      </w:r>
      <w:r w:rsidRPr="000165A1">
        <w:rPr>
          <w:rFonts w:ascii="Constantia" w:eastAsia="Constantia" w:hAnsi="Constantia" w:cs="Constantia"/>
          <w:b/>
          <w:bCs/>
          <w:color w:val="000000"/>
          <w:sz w:val="20"/>
          <w:szCs w:val="20"/>
        </w:rPr>
        <w:t xml:space="preserve"> Figure </w:t>
      </w:r>
      <w:r>
        <w:rPr>
          <w:rFonts w:ascii="Constantia" w:eastAsia="Constantia" w:hAnsi="Constantia" w:cs="Constantia"/>
          <w:b/>
          <w:bCs/>
          <w:color w:val="000000"/>
          <w:sz w:val="20"/>
          <w:szCs w:val="20"/>
        </w:rPr>
        <w:t>3</w:t>
      </w:r>
    </w:p>
    <w:p w14:paraId="1A43D9FF" w14:textId="016C5554" w:rsidR="00806ACD" w:rsidRDefault="00C602F3" w:rsidP="00B33672">
      <w:pPr>
        <w:pStyle w:val="ListParagraph"/>
        <w:pBdr>
          <w:top w:val="nil"/>
          <w:left w:val="nil"/>
          <w:bottom w:val="nil"/>
          <w:right w:val="nil"/>
          <w:between w:val="nil"/>
        </w:pBdr>
        <w:tabs>
          <w:tab w:val="left" w:pos="567"/>
        </w:tabs>
        <w:spacing w:after="0"/>
        <w:ind w:left="360"/>
        <w:jc w:val="center"/>
        <w:rPr>
          <w:rFonts w:ascii="Constantia" w:eastAsia="Constantia" w:hAnsi="Constantia" w:cs="Constantia"/>
          <w:b/>
          <w:color w:val="000000"/>
          <w:sz w:val="20"/>
          <w:szCs w:val="20"/>
        </w:rPr>
      </w:pPr>
      <w:r>
        <w:rPr>
          <w:rFonts w:ascii="Constantia" w:eastAsia="Constantia" w:hAnsi="Constantia" w:cs="Constantia"/>
          <w:b/>
          <w:noProof/>
          <w:color w:val="000000"/>
          <w:sz w:val="20"/>
          <w:szCs w:val="20"/>
        </w:rPr>
        <w:lastRenderedPageBreak/>
        <w:drawing>
          <wp:inline distT="0" distB="0" distL="0" distR="0" wp14:anchorId="782BDFC5" wp14:editId="55275E2D">
            <wp:extent cx="4625989" cy="3240000"/>
            <wp:effectExtent l="19050" t="19050" r="22225" b="17780"/>
            <wp:docPr id="590196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5989" cy="3240000"/>
                    </a:xfrm>
                    <a:prstGeom prst="rect">
                      <a:avLst/>
                    </a:prstGeom>
                    <a:noFill/>
                    <a:ln>
                      <a:solidFill>
                        <a:schemeClr val="tx1"/>
                      </a:solidFill>
                    </a:ln>
                  </pic:spPr>
                </pic:pic>
              </a:graphicData>
            </a:graphic>
          </wp:inline>
        </w:drawing>
      </w:r>
    </w:p>
    <w:p w14:paraId="36CDB230" w14:textId="44E155F2" w:rsidR="00526000" w:rsidRDefault="000F7F51" w:rsidP="00210940">
      <w:pPr>
        <w:pBdr>
          <w:top w:val="nil"/>
          <w:left w:val="nil"/>
          <w:bottom w:val="nil"/>
          <w:right w:val="nil"/>
          <w:between w:val="nil"/>
        </w:pBdr>
        <w:tabs>
          <w:tab w:val="left" w:pos="567"/>
          <w:tab w:val="left" w:pos="1418"/>
        </w:tabs>
        <w:spacing w:after="0"/>
        <w:ind w:left="1701" w:right="662" w:hanging="142"/>
        <w:rPr>
          <w:rFonts w:ascii="Constantia" w:hAnsi="Constantia"/>
        </w:rPr>
      </w:pPr>
      <w:r>
        <w:rPr>
          <w:rFonts w:ascii="Constantia" w:hAnsi="Constantia"/>
          <w:b/>
          <w:bCs/>
        </w:rPr>
        <w:tab/>
      </w:r>
      <w:r w:rsidR="00210940" w:rsidRPr="00210940">
        <w:rPr>
          <w:rFonts w:ascii="Constantia" w:hAnsi="Constantia"/>
          <w:b/>
          <w:bCs/>
        </w:rPr>
        <w:t xml:space="preserve">Figure </w:t>
      </w:r>
      <w:r w:rsidR="00210940">
        <w:rPr>
          <w:rFonts w:ascii="Constantia" w:hAnsi="Constantia"/>
          <w:b/>
          <w:bCs/>
        </w:rPr>
        <w:t>3</w:t>
      </w:r>
      <w:r w:rsidR="00210940" w:rsidRPr="00210940">
        <w:rPr>
          <w:rFonts w:ascii="Constantia" w:hAnsi="Constantia"/>
          <w:b/>
          <w:bCs/>
        </w:rPr>
        <w:t xml:space="preserve">. </w:t>
      </w:r>
      <w:r w:rsidR="00210940" w:rsidRPr="00210940">
        <w:rPr>
          <w:rFonts w:ascii="Constantia" w:hAnsi="Constantia"/>
        </w:rPr>
        <w:t>Compressive Strength Graph of Ferric Oxide Waste</w:t>
      </w:r>
    </w:p>
    <w:p w14:paraId="04B1A7D1" w14:textId="77777777" w:rsidR="003B2C29" w:rsidRDefault="003B2C29" w:rsidP="000F7F51">
      <w:pPr>
        <w:pBdr>
          <w:top w:val="nil"/>
          <w:left w:val="nil"/>
          <w:bottom w:val="nil"/>
          <w:right w:val="nil"/>
          <w:between w:val="nil"/>
        </w:pBdr>
        <w:tabs>
          <w:tab w:val="left" w:pos="567"/>
        </w:tabs>
        <w:spacing w:after="0"/>
        <w:ind w:left="1843" w:right="1938"/>
        <w:rPr>
          <w:rFonts w:ascii="Constantia" w:hAnsi="Constantia"/>
        </w:rPr>
      </w:pPr>
    </w:p>
    <w:p w14:paraId="27D95B7B" w14:textId="5ED4BB10" w:rsidR="00F43D22" w:rsidRDefault="00FE64D5" w:rsidP="008D6F0E">
      <w:pPr>
        <w:pBdr>
          <w:top w:val="nil"/>
          <w:left w:val="nil"/>
          <w:bottom w:val="nil"/>
          <w:right w:val="nil"/>
          <w:between w:val="nil"/>
        </w:pBdr>
        <w:tabs>
          <w:tab w:val="left" w:pos="567"/>
        </w:tabs>
        <w:spacing w:after="0"/>
        <w:jc w:val="both"/>
        <w:rPr>
          <w:rFonts w:ascii="Constantia" w:eastAsia="Constantia" w:hAnsi="Constantia" w:cs="Constantia"/>
          <w:bCs/>
          <w:color w:val="000000"/>
          <w:sz w:val="20"/>
          <w:szCs w:val="20"/>
        </w:rPr>
      </w:pPr>
      <w:r>
        <w:rPr>
          <w:rFonts w:ascii="Constantia" w:eastAsia="Constantia" w:hAnsi="Constantia" w:cs="Constantia"/>
          <w:bCs/>
          <w:color w:val="000000"/>
          <w:sz w:val="20"/>
          <w:szCs w:val="20"/>
        </w:rPr>
        <w:tab/>
      </w:r>
      <w:r w:rsidR="00720635" w:rsidRPr="00F87F2B">
        <w:rPr>
          <w:rFonts w:ascii="Constantia" w:eastAsia="Constantia" w:hAnsi="Constantia" w:cs="Constantia"/>
          <w:bCs/>
          <w:color w:val="000000"/>
          <w:sz w:val="20"/>
          <w:szCs w:val="20"/>
        </w:rPr>
        <w:t xml:space="preserve">Based on </w:t>
      </w:r>
      <w:r w:rsidR="00720635" w:rsidRPr="00720635">
        <w:rPr>
          <w:rFonts w:ascii="Constantia" w:eastAsia="Constantia" w:hAnsi="Constantia" w:cs="Constantia"/>
          <w:b/>
          <w:color w:val="000000"/>
          <w:sz w:val="20"/>
          <w:szCs w:val="20"/>
        </w:rPr>
        <w:t>Figure 3</w:t>
      </w:r>
      <w:r w:rsidR="00720635" w:rsidRPr="00F87F2B">
        <w:rPr>
          <w:rFonts w:ascii="Constantia" w:eastAsia="Constantia" w:hAnsi="Constantia" w:cs="Constantia"/>
          <w:bCs/>
          <w:color w:val="000000"/>
          <w:sz w:val="20"/>
          <w:szCs w:val="20"/>
        </w:rPr>
        <w:t>, the compressive strength of the mortar decreased as the ferric oxide waste content increased. The highest compressive strength was obtained in the FO0 variation at 65.87 MPa, which then decreased to 55.87 MPa in the FO0.2 variation, and further declined to 39.73 MPa in both the FO0.3 and FO0.4 variations. Although a reduction was observed, all variations still exceeded the design strength value of 17.2 MPa. The test results indicated that the obtained compressive strength values surpassed the requirements of ASTM C270-80a, in which Type M mortar is required to have a minimum compressive strength of 175 kg/cm² (equivalent to 17.2 MPa). This type of mortar was classified as a high-strength mortar, commonly applied in reinforced brick wall construction, foundations, retaining walls, and sewer pipe masonry</w:t>
      </w:r>
      <w:r w:rsidR="00720635">
        <w:rPr>
          <w:rFonts w:ascii="Constantia" w:eastAsia="Constantia" w:hAnsi="Constantia" w:cs="Constantia"/>
          <w:bCs/>
          <w:color w:val="000000"/>
          <w:sz w:val="20"/>
          <w:szCs w:val="20"/>
        </w:rPr>
        <w:t xml:space="preserve"> </w:t>
      </w:r>
      <w:r w:rsidR="00E7086C">
        <w:rPr>
          <w:rFonts w:ascii="Constantia" w:eastAsia="Constantia" w:hAnsi="Constantia" w:cs="Constantia"/>
          <w:bCs/>
          <w:color w:val="000000"/>
          <w:sz w:val="20"/>
          <w:szCs w:val="20"/>
        </w:rPr>
        <w:fldChar w:fldCharType="begin" w:fldLock="1"/>
      </w:r>
      <w:r w:rsidR="000A5038">
        <w:rPr>
          <w:rFonts w:ascii="Constantia" w:eastAsia="Constantia" w:hAnsi="Constantia" w:cs="Constantia"/>
          <w:bCs/>
          <w:color w:val="000000"/>
          <w:sz w:val="20"/>
          <w:szCs w:val="20"/>
        </w:rPr>
        <w:instrText>ADDIN CSL_CITATION {"citationItems":[{"id":"ITEM-1","itemData":{"DOI":"10.33369/ijts.10.1.31-38","ISSN":"2086-9045","abstract":"Mortar is a mixture of adhesives (portland and lime cement), sand and water with certain compositions. Use of adhesive materials on building construction in general still use portland cement, but in terms of portland cement costs are required a greater cost. This study aims to determine the behavior of the compressive strength of mortar using Coconut Shell Charcoal (CCS) as a substitute for cement. The method of manufacture and testing of mortar compressive strength refers to SNI 03-6825-2002 with mortar 1Pc: 3Ps mortar. Range of initial flow values used is 105% - 115%. CCS used is pass No. 200 which utilizes combustion results from coconut shells. Variations of mortar test specimens were 0%, 2.5%, 5%, 7.5%, 10% and 12.5% respectively each variation had 10 sample specimens. Test sample was immersed for 27 days and compressive strength mortar test was performed at 28 days. Value compressive strength of mortar on variations of 0%, 2.5%, 5%, 7.5%, 10%, 12.5% are 25.11 MPa, 25.65 MPa, 26.07 MPa,27.00 MPa, 26.40 MPa and 25.98 MPa. The highest increase of mortar compressive value was variation of 7.5% by 7.51%.","author":[{"dropping-particle":"","family":"Sihombing","given":"Adi Putra","non-dropping-particle":"","parse-names":false,"suffix":""},{"dropping-particle":"","family":"Afrizal","given":"Yuzuar","non-dropping-particle":"","parse-names":false,"suffix":""},{"dropping-particle":"","family":"Gunawan","given":"Agustin","non-dropping-particle":"","parse-names":false,"suffix":""}],"container-title":"Inersia, Jurnal Teknik Sipil","id":"ITEM-1","issue":"1","issued":{"date-parts":[["2019"]]},"page":"31-38","title":"Pengaruh Penambahan Arang Batok Kelapa Terhadap Kuat Tekan Mortar","type":"article-journal","volume":"10"},"uris":["http://www.mendeley.com/documents/?uuid=8cf7a1be-ba2e-4ccb-995b-5e4a2c1a4f96"]}],"mendeley":{"formattedCitation":"(Sihombing et al., 2019)","plainTextFormattedCitation":"(Sihombing et al., 2019)","previouslyFormattedCitation":"(Sihombing et al., 2019)"},"properties":{"noteIndex":0},"schema":"https://github.com/citation-style-language/schema/raw/master/csl-citation.json"}</w:instrText>
      </w:r>
      <w:r w:rsidR="00E7086C">
        <w:rPr>
          <w:rFonts w:ascii="Constantia" w:eastAsia="Constantia" w:hAnsi="Constantia" w:cs="Constantia"/>
          <w:bCs/>
          <w:color w:val="000000"/>
          <w:sz w:val="20"/>
          <w:szCs w:val="20"/>
        </w:rPr>
        <w:fldChar w:fldCharType="separate"/>
      </w:r>
      <w:r w:rsidR="00E7086C" w:rsidRPr="00E7086C">
        <w:rPr>
          <w:rFonts w:ascii="Constantia" w:eastAsia="Constantia" w:hAnsi="Constantia" w:cs="Constantia"/>
          <w:bCs/>
          <w:noProof/>
          <w:color w:val="000000"/>
          <w:sz w:val="20"/>
          <w:szCs w:val="20"/>
        </w:rPr>
        <w:t>(Sihombing et al., 2019)</w:t>
      </w:r>
      <w:r w:rsidR="00E7086C">
        <w:rPr>
          <w:rFonts w:ascii="Constantia" w:eastAsia="Constantia" w:hAnsi="Constantia" w:cs="Constantia"/>
          <w:bCs/>
          <w:color w:val="000000"/>
          <w:sz w:val="20"/>
          <w:szCs w:val="20"/>
        </w:rPr>
        <w:fldChar w:fldCharType="end"/>
      </w:r>
      <w:r w:rsidR="00E7086C">
        <w:rPr>
          <w:rFonts w:ascii="Constantia" w:eastAsia="Constantia" w:hAnsi="Constantia" w:cs="Constantia"/>
          <w:bCs/>
          <w:color w:val="000000"/>
          <w:sz w:val="20"/>
          <w:szCs w:val="20"/>
        </w:rPr>
        <w:t>.</w:t>
      </w:r>
      <w:r w:rsidR="008D6F0E">
        <w:rPr>
          <w:rFonts w:ascii="Constantia" w:eastAsia="Constantia" w:hAnsi="Constantia" w:cs="Constantia"/>
          <w:bCs/>
          <w:color w:val="000000"/>
          <w:sz w:val="20"/>
          <w:szCs w:val="20"/>
        </w:rPr>
        <w:t xml:space="preserve"> </w:t>
      </w:r>
      <w:r w:rsidR="00F50B73" w:rsidRPr="00F50B73">
        <w:rPr>
          <w:rFonts w:ascii="Constantia" w:eastAsia="Constantia" w:hAnsi="Constantia" w:cs="Constantia"/>
          <w:bCs/>
          <w:color w:val="000000"/>
          <w:sz w:val="20"/>
          <w:szCs w:val="20"/>
        </w:rPr>
        <w:t>Thus, the results indicated that all variations of GRC mixtures with the addition of ferric oxide waste still met the required compressive strength standards, making them suitable for use in both structural and non-structural construction applications</w:t>
      </w:r>
      <w:r w:rsidR="00825A4F" w:rsidRPr="00825A4F">
        <w:rPr>
          <w:rFonts w:ascii="Constantia" w:eastAsia="Constantia" w:hAnsi="Constantia" w:cs="Constantia"/>
          <w:bCs/>
          <w:color w:val="000000"/>
          <w:sz w:val="20"/>
          <w:szCs w:val="20"/>
        </w:rPr>
        <w:t>.</w:t>
      </w:r>
      <w:r w:rsidR="00562182">
        <w:rPr>
          <w:rFonts w:ascii="Constantia" w:eastAsia="Constantia" w:hAnsi="Constantia" w:cs="Constantia"/>
          <w:bCs/>
          <w:color w:val="000000"/>
          <w:sz w:val="20"/>
          <w:szCs w:val="20"/>
        </w:rPr>
        <w:t xml:space="preserve"> </w:t>
      </w:r>
    </w:p>
    <w:p w14:paraId="54824D74" w14:textId="7F73BA28" w:rsidR="00E80E67" w:rsidRPr="00DB356B" w:rsidRDefault="00F43D22" w:rsidP="008D6F0E">
      <w:pPr>
        <w:pBdr>
          <w:top w:val="nil"/>
          <w:left w:val="nil"/>
          <w:bottom w:val="nil"/>
          <w:right w:val="nil"/>
          <w:between w:val="nil"/>
        </w:pBdr>
        <w:tabs>
          <w:tab w:val="left" w:pos="567"/>
        </w:tabs>
        <w:spacing w:after="0"/>
        <w:jc w:val="both"/>
      </w:pPr>
      <w:r>
        <w:rPr>
          <w:rFonts w:ascii="Constantia" w:eastAsia="Constantia" w:hAnsi="Constantia" w:cs="Constantia"/>
          <w:bCs/>
          <w:color w:val="000000"/>
          <w:sz w:val="20"/>
          <w:szCs w:val="20"/>
        </w:rPr>
        <w:tab/>
      </w:r>
      <w:r w:rsidR="00E93455" w:rsidRPr="00E93455">
        <w:rPr>
          <w:rFonts w:ascii="Constantia" w:eastAsia="Constantia" w:hAnsi="Constantia" w:cs="Constantia"/>
          <w:bCs/>
          <w:color w:val="000000"/>
          <w:sz w:val="20"/>
          <w:szCs w:val="20"/>
        </w:rPr>
        <w:t>The clay content in aggregates significantly influenced the compressive strength of concrete. A lower clay content in the aggregates generally resulted in higher concrete quality. Consequently, the increase in compressive strength was closely related to the reduction of clay content in the aggregates used. Based on the data, the compressive strength of concrete decreased as the proportion of ferric oxide used as a substitute increased. This phenomenon was attributed to the high Fe₂O₃ content in the waste, particularly when combined with high cement content. Fe₂O₃ contributed to the formation of C₄AF (tetracalcium aluminoferrite, 4CaO·Al₂O₃·Fe₂O₃), which did not adversely affect cement properties in moderate amounts. However, an excess of this compound potentially slowed the setting and hardening processes of concrete</w:t>
      </w:r>
      <w:r w:rsidR="00E93455">
        <w:rPr>
          <w:rFonts w:ascii="Constantia" w:eastAsia="Constantia" w:hAnsi="Constantia" w:cs="Constantia"/>
          <w:bCs/>
          <w:color w:val="000000"/>
          <w:sz w:val="20"/>
          <w:szCs w:val="20"/>
        </w:rPr>
        <w:t xml:space="preserve"> </w:t>
      </w:r>
      <w:r w:rsidR="00D66D1B">
        <w:rPr>
          <w:rFonts w:ascii="Constantia" w:eastAsia="Constantia" w:hAnsi="Constantia" w:cs="Constantia"/>
          <w:bCs/>
          <w:color w:val="000000"/>
          <w:sz w:val="20"/>
          <w:szCs w:val="20"/>
        </w:rPr>
        <w:fldChar w:fldCharType="begin" w:fldLock="1"/>
      </w:r>
      <w:r w:rsidR="000464B2">
        <w:rPr>
          <w:rFonts w:ascii="Constantia" w:eastAsia="Constantia" w:hAnsi="Constantia" w:cs="Constantia"/>
          <w:bCs/>
          <w:color w:val="000000"/>
          <w:sz w:val="20"/>
          <w:szCs w:val="20"/>
        </w:rPr>
        <w:instrText>ADDIN CSL_CITATION {"citationItems":[{"id":"ITEM-1","itemData":{"author":[{"dropping-particle":"","family":"Amalia","given":"","non-dropping-particle":"","parse-names":false,"suffix":""}],"container-title":"Program Magister Teknik Sipil","id":"ITEM-1","issued":{"date-parts":[["2009"]]},"page":"56","title":"Studi Eksperimental Perilaku Mekanik Beton Normal dengan Substitusi Limbah Debu Pengolahan Baja (Dry Dust Collector)","type":"article-journal"},"uris":["http://www.mendeley.com/documents/?uuid=9728a613-35d0-4e6c-a65b-b1d372bd0c54"]}],"mendeley":{"formattedCitation":"(Amalia, 2009)","plainTextFormattedCitation":"(Amalia, 2009)","previouslyFormattedCitation":"(Amalia, 2009)"},"properties":{"noteIndex":0},"schema":"https://github.com/citation-style-language/schema/raw/master/csl-citation.json"}</w:instrText>
      </w:r>
      <w:r w:rsidR="00D66D1B">
        <w:rPr>
          <w:rFonts w:ascii="Constantia" w:eastAsia="Constantia" w:hAnsi="Constantia" w:cs="Constantia"/>
          <w:bCs/>
          <w:color w:val="000000"/>
          <w:sz w:val="20"/>
          <w:szCs w:val="20"/>
        </w:rPr>
        <w:fldChar w:fldCharType="separate"/>
      </w:r>
      <w:r w:rsidR="00D66D1B" w:rsidRPr="00D66D1B">
        <w:rPr>
          <w:rFonts w:ascii="Constantia" w:eastAsia="Constantia" w:hAnsi="Constantia" w:cs="Constantia"/>
          <w:bCs/>
          <w:noProof/>
          <w:color w:val="000000"/>
          <w:sz w:val="20"/>
          <w:szCs w:val="20"/>
        </w:rPr>
        <w:t>(Amalia, 2009)</w:t>
      </w:r>
      <w:r w:rsidR="00D66D1B">
        <w:rPr>
          <w:rFonts w:ascii="Constantia" w:eastAsia="Constantia" w:hAnsi="Constantia" w:cs="Constantia"/>
          <w:bCs/>
          <w:color w:val="000000"/>
          <w:sz w:val="20"/>
          <w:szCs w:val="20"/>
        </w:rPr>
        <w:fldChar w:fldCharType="end"/>
      </w:r>
      <w:r w:rsidR="00D66D1B">
        <w:rPr>
          <w:rFonts w:ascii="Constantia" w:eastAsia="Constantia" w:hAnsi="Constantia" w:cs="Constantia"/>
          <w:bCs/>
          <w:color w:val="000000"/>
          <w:sz w:val="20"/>
          <w:szCs w:val="20"/>
        </w:rPr>
        <w:t>.</w:t>
      </w:r>
      <w:r w:rsidR="000464B2">
        <w:rPr>
          <w:rFonts w:ascii="Constantia" w:eastAsia="Constantia" w:hAnsi="Constantia" w:cs="Constantia"/>
          <w:bCs/>
          <w:color w:val="000000"/>
          <w:sz w:val="20"/>
          <w:szCs w:val="20"/>
        </w:rPr>
        <w:t xml:space="preserve"> </w:t>
      </w:r>
      <w:r w:rsidR="00E93455" w:rsidRPr="00E93455">
        <w:rPr>
          <w:rFonts w:ascii="Constantia" w:eastAsia="Constantia" w:hAnsi="Constantia" w:cs="Constantia"/>
          <w:bCs/>
          <w:color w:val="000000"/>
          <w:sz w:val="20"/>
          <w:szCs w:val="20"/>
        </w:rPr>
        <w:t>The reduction in compressive strength was also caused by the use of fine particles beyond the optimum level, which increased the mixture's porosity and decreased the matrix density, thereby directly reducing the mortar strength</w:t>
      </w:r>
      <w:r w:rsidR="00E93455">
        <w:rPr>
          <w:rFonts w:ascii="Constantia" w:eastAsia="Constantia" w:hAnsi="Constantia" w:cs="Constantia"/>
          <w:bCs/>
          <w:color w:val="000000"/>
          <w:sz w:val="20"/>
          <w:szCs w:val="20"/>
        </w:rPr>
        <w:t xml:space="preserve"> </w:t>
      </w:r>
      <w:r w:rsidR="000464B2">
        <w:rPr>
          <w:rFonts w:ascii="Constantia" w:eastAsia="Constantia" w:hAnsi="Constantia" w:cs="Constantia"/>
          <w:bCs/>
          <w:color w:val="000000"/>
          <w:sz w:val="20"/>
          <w:szCs w:val="20"/>
        </w:rPr>
        <w:fldChar w:fldCharType="begin" w:fldLock="1"/>
      </w:r>
      <w:r w:rsidR="000464B2">
        <w:rPr>
          <w:rFonts w:ascii="Constantia" w:eastAsia="Constantia" w:hAnsi="Constantia" w:cs="Constantia"/>
          <w:bCs/>
          <w:color w:val="000000"/>
          <w:sz w:val="20"/>
          <w:szCs w:val="20"/>
        </w:rPr>
        <w:instrText>ADDIN CSL_CITATION {"citationItems":[{"id":"ITEM-1","itemData":{"DOI":"10.1016/j.matpr.2023.04.062","ISSN":"22147853","abstract":"Modern society is witnessing rapid advancement in science and technology, which increases the natural resource demand. Due to these advancements, an extra burden comes on such resources. Due to this, an alternative approach requires to fulfill these demands. In the same context, concrete is one of the world's most widely used building materials. So, in present study aims to provide a sustainable alternative to one of the principal constituents of concrete, i.e., sand. Natural river sand is typically used as a fine aggregate in concrete. The water table is lowered due to the extraction of natural river sand from the river bed, posing another environmental concern. Thus, it is essential to find a substitute for river sand. The present study attempts to find an alternative in the form of the Steel Mill Scale (SMS), which is obtained as a byproduct of the Steel industry. For the study, the fine aggregate was replaced partially by the SMS in various weight-based proportions such as 5%, 10%, 15%, 20%, and 25%. Super-plasticizers were added in varying amounts to keep the Constant workability. Due to its higher water absorption rate, SMS was used in surface-saturated dry condition. All concrete properties, including compressive strength, split tensile strength, flexural strength, density, abrasion resistance, water absorption, and porosity, were tested using M30-grade concrete. Strength tests were conducted at the age of 7, 28, and 56 days, while all the other tests were done at 28 days only. In addition to all of these, XRF was performed on SMS to know the different oxides present in the material. Due to iron availability in SMS, compressive strength results were desirable up to 15% replacement, and in split tensile strength increment was clearly visible up to 15% replacement. Based on the all results, 15% replacement gives an encouraging result.","author":[{"dropping-particle":"","family":"Rasikbhai Thoriya","given":"Kuldipkumar","non-dropping-particle":"","parse-names":false,"suffix":""},{"dropping-particle":"","family":"Singh","given":"Anubhav","non-dropping-particle":"","parse-names":false,"suffix":""},{"dropping-particle":"","family":"Agrawal","given":"Vinay","non-dropping-particle":"","parse-names":false,"suffix":""},{"dropping-particle":"","family":"Chandra Gupta","given":"Ramesh","non-dropping-particle":"","parse-names":false,"suffix":""}],"container-title":"Materials Today: Proceedings","id":"ITEM-1","issue":"xxxx","issued":{"date-parts":[["2023"]]},"publisher":"Elsevier Ltd","title":"Preliminary study on utilization of steel mill scale in concrete","type":"article-journal"},"uris":["http://www.mendeley.com/documents/?uuid=9a24e4c2-a22c-4167-af91-44611ec63e5a"]}],"mendeley":{"formattedCitation":"(Rasikbhai Thoriya et al., 2023)","plainTextFormattedCitation":"(Rasikbhai Thoriya et al., 2023)","previouslyFormattedCitation":"(Rasikbhai Thoriya et al., 2023)"},"properties":{"noteIndex":0},"schema":"https://github.com/citation-style-language/schema/raw/master/csl-citation.json"}</w:instrText>
      </w:r>
      <w:r w:rsidR="000464B2">
        <w:rPr>
          <w:rFonts w:ascii="Constantia" w:eastAsia="Constantia" w:hAnsi="Constantia" w:cs="Constantia"/>
          <w:bCs/>
          <w:color w:val="000000"/>
          <w:sz w:val="20"/>
          <w:szCs w:val="20"/>
        </w:rPr>
        <w:fldChar w:fldCharType="separate"/>
      </w:r>
      <w:r w:rsidR="000464B2" w:rsidRPr="000464B2">
        <w:rPr>
          <w:rFonts w:ascii="Constantia" w:eastAsia="Constantia" w:hAnsi="Constantia" w:cs="Constantia"/>
          <w:bCs/>
          <w:noProof/>
          <w:color w:val="000000"/>
          <w:sz w:val="20"/>
          <w:szCs w:val="20"/>
        </w:rPr>
        <w:t>(Rasikbhai Thoriya et al., 2023)</w:t>
      </w:r>
      <w:r w:rsidR="000464B2">
        <w:rPr>
          <w:rFonts w:ascii="Constantia" w:eastAsia="Constantia" w:hAnsi="Constantia" w:cs="Constantia"/>
          <w:bCs/>
          <w:color w:val="000000"/>
          <w:sz w:val="20"/>
          <w:szCs w:val="20"/>
        </w:rPr>
        <w:fldChar w:fldCharType="end"/>
      </w:r>
      <w:r w:rsidR="000464B2" w:rsidRPr="000464B2">
        <w:rPr>
          <w:rFonts w:ascii="Constantia" w:eastAsia="Constantia" w:hAnsi="Constantia" w:cs="Constantia"/>
          <w:bCs/>
          <w:color w:val="000000"/>
          <w:sz w:val="20"/>
          <w:szCs w:val="20"/>
        </w:rPr>
        <w:t>.</w:t>
      </w:r>
    </w:p>
    <w:p w14:paraId="65B5F031" w14:textId="77777777" w:rsidR="00E7086C" w:rsidRPr="008D6F0E" w:rsidRDefault="00E7086C" w:rsidP="008D6F0E">
      <w:pPr>
        <w:pBdr>
          <w:top w:val="nil"/>
          <w:left w:val="nil"/>
          <w:bottom w:val="nil"/>
          <w:right w:val="nil"/>
          <w:between w:val="nil"/>
        </w:pBdr>
        <w:tabs>
          <w:tab w:val="left" w:pos="567"/>
        </w:tabs>
        <w:spacing w:after="0"/>
        <w:jc w:val="both"/>
        <w:rPr>
          <w:rFonts w:ascii="Constantia" w:eastAsia="Constantia" w:hAnsi="Constantia" w:cs="Constantia"/>
          <w:bCs/>
          <w:color w:val="000000"/>
          <w:sz w:val="20"/>
          <w:szCs w:val="20"/>
        </w:rPr>
      </w:pPr>
    </w:p>
    <w:p w14:paraId="5BD11F32" w14:textId="68C76D39" w:rsidR="007C0F32" w:rsidRPr="00A724E5" w:rsidRDefault="00E93455" w:rsidP="007C0F32">
      <w:pPr>
        <w:pStyle w:val="ListParagraph"/>
        <w:numPr>
          <w:ilvl w:val="1"/>
          <w:numId w:val="5"/>
        </w:numPr>
        <w:pBdr>
          <w:top w:val="nil"/>
          <w:left w:val="nil"/>
          <w:bottom w:val="nil"/>
          <w:right w:val="nil"/>
          <w:between w:val="nil"/>
        </w:pBdr>
        <w:tabs>
          <w:tab w:val="left" w:pos="567"/>
        </w:tabs>
        <w:spacing w:after="0"/>
        <w:ind w:left="709" w:hanging="709"/>
        <w:jc w:val="both"/>
        <w:rPr>
          <w:rFonts w:ascii="Constantia" w:eastAsia="Constantia" w:hAnsi="Constantia" w:cs="Constantia"/>
          <w:b/>
          <w:color w:val="000000"/>
          <w:sz w:val="20"/>
          <w:szCs w:val="20"/>
        </w:rPr>
      </w:pPr>
      <w:r w:rsidRPr="00E93455">
        <w:rPr>
          <w:rFonts w:ascii="Constantia" w:eastAsia="Constantia" w:hAnsi="Constantia" w:cs="Constantia"/>
          <w:b/>
          <w:bCs/>
          <w:color w:val="000000"/>
          <w:sz w:val="20"/>
        </w:rPr>
        <w:t>Flexural Strength</w:t>
      </w:r>
    </w:p>
    <w:p w14:paraId="3F5AE0DE" w14:textId="50A847A6" w:rsidR="00C714D6" w:rsidRDefault="00F739FA" w:rsidP="008679C1">
      <w:pPr>
        <w:pBdr>
          <w:top w:val="nil"/>
          <w:left w:val="nil"/>
          <w:bottom w:val="nil"/>
          <w:right w:val="nil"/>
          <w:between w:val="nil"/>
        </w:pBdr>
        <w:spacing w:after="0"/>
        <w:ind w:right="-62" w:firstLine="720"/>
        <w:jc w:val="both"/>
        <w:rPr>
          <w:rFonts w:ascii="Constantia" w:eastAsia="Constantia" w:hAnsi="Constantia" w:cs="Constantia"/>
          <w:color w:val="000000"/>
          <w:sz w:val="20"/>
          <w:szCs w:val="20"/>
        </w:rPr>
      </w:pPr>
      <w:r w:rsidRPr="00F739FA">
        <w:rPr>
          <w:rFonts w:ascii="Constantia" w:eastAsia="Constantia" w:hAnsi="Constantia" w:cs="Constantia"/>
          <w:color w:val="000000"/>
          <w:sz w:val="20"/>
          <w:szCs w:val="20"/>
        </w:rPr>
        <w:t xml:space="preserve">This test aimed to analyze the effect of variations in the composition of the constituent materials, particularly the proportion of ferric oxide waste used as a filler. The results of the flexural strength tests with ferric oxide waste mixtures are presented in </w:t>
      </w:r>
      <w:r w:rsidRPr="00F739FA">
        <w:rPr>
          <w:rFonts w:ascii="Constantia" w:eastAsia="Constantia" w:hAnsi="Constantia" w:cs="Constantia"/>
          <w:b/>
          <w:bCs/>
          <w:color w:val="000000"/>
          <w:sz w:val="20"/>
          <w:szCs w:val="20"/>
        </w:rPr>
        <w:t>Figure 4.</w:t>
      </w:r>
    </w:p>
    <w:p w14:paraId="6AC28FB0" w14:textId="5A1CFD41" w:rsidR="00516372" w:rsidRDefault="005C150F" w:rsidP="000464B2">
      <w:pPr>
        <w:pStyle w:val="Caption"/>
        <w:ind w:left="993" w:right="2080"/>
        <w:jc w:val="center"/>
        <w:rPr>
          <w:rFonts w:ascii="Constantia" w:hAnsi="Constantia"/>
          <w:noProof/>
        </w:rPr>
      </w:pPr>
      <w:r>
        <w:rPr>
          <w:rFonts w:ascii="Constantia" w:hAnsi="Constantia"/>
          <w:noProof/>
        </w:rPr>
        <w:lastRenderedPageBreak/>
        <w:drawing>
          <wp:inline distT="0" distB="0" distL="0" distR="0" wp14:anchorId="74A180E6" wp14:editId="4811DF09">
            <wp:extent cx="4163195" cy="3240000"/>
            <wp:effectExtent l="19050" t="19050" r="27940" b="17780"/>
            <wp:docPr id="6915309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42" b="1"/>
                    <a:stretch>
                      <a:fillRect/>
                    </a:stretch>
                  </pic:blipFill>
                  <pic:spPr bwMode="auto">
                    <a:xfrm>
                      <a:off x="0" y="0"/>
                      <a:ext cx="4163195" cy="32400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6E0C2B0" w14:textId="4CD7C23F" w:rsidR="008E2EA7" w:rsidRDefault="008E2EA7" w:rsidP="00F75113">
      <w:pPr>
        <w:pStyle w:val="Caption"/>
        <w:ind w:left="1701" w:right="2080"/>
        <w:jc w:val="center"/>
        <w:rPr>
          <w:rFonts w:ascii="Constantia" w:hAnsi="Constantia"/>
          <w:b w:val="0"/>
          <w:bCs w:val="0"/>
        </w:rPr>
      </w:pPr>
      <w:r w:rsidRPr="008E2EA7">
        <w:rPr>
          <w:rFonts w:ascii="Constantia" w:hAnsi="Constantia"/>
        </w:rPr>
        <w:t xml:space="preserve"> </w:t>
      </w:r>
      <w:r w:rsidR="00F75113" w:rsidRPr="00F75113">
        <w:rPr>
          <w:rFonts w:ascii="Constantia" w:hAnsi="Constantia"/>
          <w:lang w:val="id-ID"/>
        </w:rPr>
        <w:t>Figure 4.</w:t>
      </w:r>
      <w:r w:rsidR="00F75113" w:rsidRPr="00F75113">
        <w:rPr>
          <w:rFonts w:ascii="Constantia" w:hAnsi="Constantia"/>
          <w:b w:val="0"/>
          <w:bCs w:val="0"/>
          <w:lang w:val="id-ID"/>
        </w:rPr>
        <w:t xml:space="preserve"> Flexural Strength of Ferric Oxide Waste Mixtures</w:t>
      </w:r>
    </w:p>
    <w:p w14:paraId="43E8196B" w14:textId="77777777" w:rsidR="00E94D4D" w:rsidRPr="00E94D4D" w:rsidRDefault="00E94D4D" w:rsidP="00E94D4D">
      <w:pPr>
        <w:rPr>
          <w:lang w:val="fr-FR" w:eastAsia="zh-CN"/>
        </w:rPr>
      </w:pPr>
    </w:p>
    <w:p w14:paraId="4FFEFFE6" w14:textId="50FBAA37" w:rsidR="00634376" w:rsidRDefault="007A2FAA" w:rsidP="00130CB4">
      <w:pPr>
        <w:ind w:firstLine="567"/>
        <w:jc w:val="both"/>
        <w:rPr>
          <w:rFonts w:ascii="Constantia" w:hAnsi="Constantia"/>
          <w:sz w:val="20"/>
          <w:szCs w:val="20"/>
          <w:lang w:eastAsia="zh-CN"/>
        </w:rPr>
      </w:pPr>
      <w:bookmarkStart w:id="3" w:name="_Hlk204893225"/>
      <w:r w:rsidRPr="007A2FAA">
        <w:rPr>
          <w:rFonts w:ascii="Constantia" w:hAnsi="Constantia"/>
          <w:sz w:val="20"/>
          <w:szCs w:val="20"/>
          <w:lang w:eastAsia="zh-CN"/>
        </w:rPr>
        <w:t xml:space="preserve">Based on </w:t>
      </w:r>
      <w:r w:rsidRPr="007A2FAA">
        <w:rPr>
          <w:rFonts w:ascii="Constantia" w:hAnsi="Constantia"/>
          <w:b/>
          <w:bCs/>
          <w:sz w:val="20"/>
          <w:szCs w:val="20"/>
          <w:lang w:eastAsia="zh-CN"/>
        </w:rPr>
        <w:t>Figure 4</w:t>
      </w:r>
      <w:r w:rsidRPr="007A2FAA">
        <w:rPr>
          <w:rFonts w:ascii="Constantia" w:hAnsi="Constantia"/>
          <w:sz w:val="20"/>
          <w:szCs w:val="20"/>
          <w:lang w:eastAsia="zh-CN"/>
        </w:rPr>
        <w:t>, the flexural strength test results showed that the highest values were obtained for the FO0 and FO0.2 variations, both reaching 9 MPa. In the FO0.3 variation, the flexural strength decreased to 7.92 MPa, and in the FO0.4 variation, it further declined to 5.4 MPa. The results indicated that increasing the proportion of ferric oxide waste in the GRC mixture was generally accompanied by a reduction in flexural strength. In other words, the flexural strength of the concrete decreased as the proportion of ferric oxide waste increased.</w:t>
      </w:r>
      <w:r>
        <w:rPr>
          <w:rFonts w:ascii="Constantia" w:hAnsi="Constantia"/>
          <w:sz w:val="20"/>
          <w:szCs w:val="20"/>
          <w:lang w:eastAsia="zh-CN"/>
        </w:rPr>
        <w:t xml:space="preserve"> </w:t>
      </w:r>
      <w:r w:rsidR="008F6EE7" w:rsidRPr="008F6EE7">
        <w:rPr>
          <w:rFonts w:ascii="Constantia" w:hAnsi="Constantia"/>
          <w:sz w:val="20"/>
          <w:szCs w:val="20"/>
          <w:lang w:eastAsia="zh-CN"/>
        </w:rPr>
        <w:t>The study also showed that the addition of ferric oxide up to 20% (FO0.2) maintained a flexural strength comparable to the mixture without substitution (FO0), at 9 MPa. This indicated that the use of ferric oxide at this proportion did not significantly reduce the mechanical performance of the material. Therefore, the FO0.2 composition could be categorized as the optimum variation for producing GRC with high flexural strength while supporting sustainable utilization of industrial waste</w:t>
      </w:r>
      <w:r w:rsidR="00130CB4">
        <w:rPr>
          <w:rFonts w:ascii="Constantia" w:hAnsi="Constantia"/>
          <w:sz w:val="20"/>
          <w:szCs w:val="20"/>
          <w:lang w:eastAsia="zh-CN"/>
        </w:rPr>
        <w:t xml:space="preserve">. </w:t>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130CB4">
        <w:rPr>
          <w:rFonts w:ascii="Constantia" w:hAnsi="Constantia"/>
          <w:sz w:val="20"/>
          <w:szCs w:val="20"/>
          <w:lang w:eastAsia="zh-CN"/>
        </w:rPr>
        <w:tab/>
      </w:r>
      <w:r w:rsidR="008F6EE7">
        <w:rPr>
          <w:rFonts w:ascii="Constantia" w:hAnsi="Constantia"/>
          <w:sz w:val="20"/>
          <w:szCs w:val="20"/>
          <w:lang w:eastAsia="zh-CN"/>
        </w:rPr>
        <w:tab/>
      </w:r>
      <w:r w:rsidR="008F6EE7">
        <w:rPr>
          <w:rFonts w:ascii="Constantia" w:hAnsi="Constantia"/>
          <w:sz w:val="20"/>
          <w:szCs w:val="20"/>
          <w:lang w:eastAsia="zh-CN"/>
        </w:rPr>
        <w:tab/>
      </w:r>
      <w:r w:rsidR="008F6EE7">
        <w:rPr>
          <w:rFonts w:ascii="Constantia" w:hAnsi="Constantia"/>
          <w:sz w:val="20"/>
          <w:szCs w:val="20"/>
          <w:lang w:eastAsia="zh-CN"/>
        </w:rPr>
        <w:tab/>
      </w:r>
      <w:r w:rsidR="008F6EE7" w:rsidRPr="008F6EE7">
        <w:rPr>
          <w:rFonts w:ascii="Constantia" w:hAnsi="Constantia"/>
          <w:sz w:val="20"/>
          <w:szCs w:val="20"/>
          <w:lang w:eastAsia="zh-CN"/>
        </w:rPr>
        <w:t>The increase in flexural strength was attributed to the incorporation of glass fibers (</w:t>
      </w:r>
      <w:r w:rsidR="008F6EE7" w:rsidRPr="008F6EE7">
        <w:rPr>
          <w:rFonts w:ascii="Constantia" w:hAnsi="Constantia"/>
          <w:i/>
          <w:iCs/>
          <w:sz w:val="20"/>
          <w:szCs w:val="20"/>
          <w:lang w:eastAsia="zh-CN"/>
        </w:rPr>
        <w:t>fiberglass</w:t>
      </w:r>
      <w:r w:rsidR="008F6EE7" w:rsidRPr="008F6EE7">
        <w:rPr>
          <w:rFonts w:ascii="Constantia" w:hAnsi="Constantia"/>
          <w:sz w:val="20"/>
          <w:szCs w:val="20"/>
          <w:lang w:eastAsia="zh-CN"/>
        </w:rPr>
        <w:t>), which reinforced the internal structure of the concrete. The presence of glass powder in the mixture filled the pores within the concrete, resulting in a denser matrix. This densification positively affected the concrete's ability to withstand flexural loads</w:t>
      </w:r>
      <w:r w:rsidR="008F6EE7">
        <w:rPr>
          <w:rFonts w:ascii="Constantia" w:hAnsi="Constantia"/>
          <w:sz w:val="20"/>
          <w:szCs w:val="20"/>
          <w:lang w:eastAsia="zh-CN"/>
        </w:rPr>
        <w:t xml:space="preserve"> </w:t>
      </w:r>
      <w:r w:rsidR="00130CB4">
        <w:rPr>
          <w:rFonts w:ascii="Constantia" w:hAnsi="Constantia"/>
          <w:sz w:val="20"/>
          <w:szCs w:val="20"/>
          <w:lang w:eastAsia="zh-CN"/>
        </w:rPr>
        <w:fldChar w:fldCharType="begin" w:fldLock="1"/>
      </w:r>
      <w:r w:rsidR="00130CB4">
        <w:rPr>
          <w:rFonts w:ascii="Constantia" w:hAnsi="Constantia"/>
          <w:sz w:val="20"/>
          <w:szCs w:val="20"/>
          <w:lang w:eastAsia="zh-CN"/>
        </w:rPr>
        <w:instrText>ADDIN CSL_CITATION {"citationItems":[{"id":"ITEM-1","itemData":{"abstract":"Di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Line","author":[{"dropping-particle":"","family":"Wijaya","given":"Sigit Prasetyo Indra","non-dropping-particle":"","parse-names":false,"suffix":""},{"dropping-particle":"","family":"Sudjatmiko","given":"Aliem","non-dropping-particle":"","parse-names":false,"suffix":""}],"container-title":"Universitas Muhammadiyah Surakarta","id":"ITEM-1","issue":"1","issued":{"date-parts":[["2023"]]},"page":"53-54","title":"Analisis pengaruh limbah serbuk kaca pada beton terhadap kuat tekan, kuat lentur dan absorbsi","type":"article-journal","volume":"1"},"uris":["http://www.mendeley.com/documents/?uuid=130762ba-90fc-462d-ac45-248d71275d92"]}],"mendeley":{"formattedCitation":"(Wijaya &amp; Sudjatmiko, 2023)","plainTextFormattedCitation":"(Wijaya &amp; Sudjatmiko, 2023)","previouslyFormattedCitation":"(Wijaya &amp; Sudjatmiko, 2023)"},"properties":{"noteIndex":0},"schema":"https://github.com/citation-style-language/schema/raw/master/csl-citation.json"}</w:instrText>
      </w:r>
      <w:r w:rsidR="00130CB4">
        <w:rPr>
          <w:rFonts w:ascii="Constantia" w:hAnsi="Constantia"/>
          <w:sz w:val="20"/>
          <w:szCs w:val="20"/>
          <w:lang w:eastAsia="zh-CN"/>
        </w:rPr>
        <w:fldChar w:fldCharType="separate"/>
      </w:r>
      <w:r w:rsidR="00130CB4" w:rsidRPr="00130CB4">
        <w:rPr>
          <w:rFonts w:ascii="Constantia" w:hAnsi="Constantia"/>
          <w:noProof/>
          <w:sz w:val="20"/>
          <w:szCs w:val="20"/>
          <w:lang w:eastAsia="zh-CN"/>
        </w:rPr>
        <w:t>(Wijaya &amp; Sudjatmiko, 2023)</w:t>
      </w:r>
      <w:r w:rsidR="00130CB4">
        <w:rPr>
          <w:rFonts w:ascii="Constantia" w:hAnsi="Constantia"/>
          <w:sz w:val="20"/>
          <w:szCs w:val="20"/>
          <w:lang w:eastAsia="zh-CN"/>
        </w:rPr>
        <w:fldChar w:fldCharType="end"/>
      </w:r>
      <w:r w:rsidR="00130CB4">
        <w:rPr>
          <w:rFonts w:ascii="Constantia" w:hAnsi="Constantia"/>
          <w:sz w:val="20"/>
          <w:szCs w:val="20"/>
          <w:lang w:eastAsia="zh-CN"/>
        </w:rPr>
        <w:t xml:space="preserve">. </w:t>
      </w:r>
      <w:r w:rsidR="008F6EE7" w:rsidRPr="008F6EE7">
        <w:rPr>
          <w:rFonts w:ascii="Constantia" w:hAnsi="Constantia"/>
          <w:sz w:val="20"/>
          <w:szCs w:val="20"/>
          <w:lang w:eastAsia="zh-CN"/>
        </w:rPr>
        <w:t>The glass fibers acted as bridging elements between cracked concrete portions, further enhancing overall structural integrity. Additionally, the fibers functioned as micro-reinforcements within the concrete matrix, effectively minimizing the effects of non-uniform loading and external disturbances such as temperature and moisture variations</w:t>
      </w:r>
      <w:r w:rsidR="008F6EE7">
        <w:rPr>
          <w:rFonts w:ascii="Constantia" w:hAnsi="Constantia"/>
          <w:sz w:val="20"/>
          <w:szCs w:val="20"/>
          <w:lang w:eastAsia="zh-CN"/>
        </w:rPr>
        <w:t xml:space="preserve"> </w:t>
      </w:r>
      <w:r w:rsidR="00130CB4">
        <w:rPr>
          <w:rFonts w:ascii="Constantia" w:hAnsi="Constantia"/>
          <w:sz w:val="20"/>
          <w:szCs w:val="20"/>
          <w:lang w:eastAsia="zh-CN"/>
        </w:rPr>
        <w:fldChar w:fldCharType="begin" w:fldLock="1"/>
      </w:r>
      <w:r w:rsidR="00130CB4">
        <w:rPr>
          <w:rFonts w:ascii="Constantia" w:hAnsi="Constantia"/>
          <w:sz w:val="20"/>
          <w:szCs w:val="20"/>
          <w:lang w:eastAsia="zh-CN"/>
        </w:rPr>
        <w:instrText>ADDIN CSL_CITATION {"citationItems":[{"id":"ITEM-1","itemData":{"author":[{"dropping-particle":"","family":"Kurniati","given":"Dwi","non-dropping-particle":"","parse-names":false,"suffix":""}],"id":"ITEM-1","issue":"2","issued":{"date-parts":[["2024"]]},"title":"KETAHANAN KUAT TEKAN BETON SERAT FIBER GLASS","type":"article-journal","volume":"10"},"uris":["http://www.mendeley.com/documents/?uuid=c848d492-aa05-46f1-8367-f5a9439e6d6a"]}],"mendeley":{"formattedCitation":"(Kurniati, 2024)","plainTextFormattedCitation":"(Kurniati, 2024)","previouslyFormattedCitation":"(Kurniati, 2024)"},"properties":{"noteIndex":0},"schema":"https://github.com/citation-style-language/schema/raw/master/csl-citation.json"}</w:instrText>
      </w:r>
      <w:r w:rsidR="00130CB4">
        <w:rPr>
          <w:rFonts w:ascii="Constantia" w:hAnsi="Constantia"/>
          <w:sz w:val="20"/>
          <w:szCs w:val="20"/>
          <w:lang w:eastAsia="zh-CN"/>
        </w:rPr>
        <w:fldChar w:fldCharType="separate"/>
      </w:r>
      <w:r w:rsidR="00130CB4" w:rsidRPr="00130CB4">
        <w:rPr>
          <w:rFonts w:ascii="Constantia" w:hAnsi="Constantia"/>
          <w:noProof/>
          <w:sz w:val="20"/>
          <w:szCs w:val="20"/>
          <w:lang w:eastAsia="zh-CN"/>
        </w:rPr>
        <w:t>(Kurniati, 2024)</w:t>
      </w:r>
      <w:r w:rsidR="00130CB4">
        <w:rPr>
          <w:rFonts w:ascii="Constantia" w:hAnsi="Constantia"/>
          <w:sz w:val="20"/>
          <w:szCs w:val="20"/>
          <w:lang w:eastAsia="zh-CN"/>
        </w:rPr>
        <w:fldChar w:fldCharType="end"/>
      </w:r>
      <w:r w:rsidR="00130CB4">
        <w:rPr>
          <w:rFonts w:ascii="Constantia" w:hAnsi="Constantia"/>
          <w:sz w:val="20"/>
          <w:szCs w:val="20"/>
          <w:lang w:eastAsia="zh-CN"/>
        </w:rPr>
        <w:t xml:space="preserve">. </w:t>
      </w:r>
      <w:r w:rsidR="003D72EE" w:rsidRPr="003D72EE">
        <w:rPr>
          <w:rFonts w:ascii="Constantia" w:hAnsi="Constantia"/>
          <w:sz w:val="20"/>
          <w:szCs w:val="20"/>
          <w:lang w:eastAsia="zh-CN"/>
        </w:rPr>
        <w:t>These findings were consistent with</w:t>
      </w:r>
      <w:r w:rsidR="003D72EE">
        <w:rPr>
          <w:rFonts w:ascii="Constantia" w:hAnsi="Constantia"/>
          <w:sz w:val="20"/>
          <w:szCs w:val="20"/>
          <w:lang w:eastAsia="zh-CN"/>
        </w:rPr>
        <w:t xml:space="preserve"> </w:t>
      </w:r>
      <w:r w:rsidR="00130CB4">
        <w:rPr>
          <w:rFonts w:ascii="Constantia" w:hAnsi="Constantia"/>
          <w:sz w:val="20"/>
          <w:szCs w:val="20"/>
          <w:lang w:eastAsia="zh-CN"/>
        </w:rPr>
        <w:fldChar w:fldCharType="begin" w:fldLock="1"/>
      </w:r>
      <w:r w:rsidR="00CD5CE2">
        <w:rPr>
          <w:rFonts w:ascii="Constantia" w:hAnsi="Constantia"/>
          <w:sz w:val="20"/>
          <w:szCs w:val="20"/>
          <w:lang w:eastAsia="zh-CN"/>
        </w:rPr>
        <w:instrText>ADDIN CSL_CITATION {"citationItems":[{"id":"ITEM-1","itemData":{"DOI":"10.56521/teknika.v8i2.798","ISSN":"2460-1608","abstract":"Penerapan komposit pada berbagai bidang telah berkembang dengan pesat, hal ini ditunjukkan dengan industri dirgantara dan pesawat, juga mengaplikasikan komposit canggih yang diperkuat serat, seperti fiberglass. Contoh penerapan komposit pada industri pesawat, antara lain pada bagian fairings, komponen interior, dan lain-lain. Komposit yang diperkuat serat akan mampu meningkatkan keuletan komposit. Distribusi normal pada data beban terhadap defleksi, data tegangan lentur terhadap regangan lentur, dan data slope atau modulus elastis pada komposit fiberglass memenuhi 99,7% populasi berada dalam 3 standar deviasi rata-rata. Komposit fiberglass dalam penelitian ini mempunyai kekuatan material atau sifat mekanik berupa sifat lentur yang baik. Hal ini disebabkan dengan adanya fiberglass di dalam komposit mampu meningkatkan keuletan komposit, di mana beban yang diterima komposit kemudian ditransmisikan dan didistribusikan diantara serat-serat melalui fase matriks. Selain itu, adanya fiberglass dapat meningkatkan kekuatan, kekakuan, dan ketahanan tanpa menambah berat komposit.","author":[{"dropping-particle":"","family":"Utami","given":"Noviana","non-dropping-particle":"","parse-names":false,"suffix":""},{"dropping-particle":"","family":"Cahyo","given":"Ervanda","non-dropping-particle":"","parse-names":false,"suffix":""}],"container-title":"Teknika STTKD: Jurnal Teknik, Elektronik, Engine","id":"ITEM-1","issue":"2","issued":{"date-parts":[["2022"]]},"page":"322-329","title":"Sifat Mekanik Komposit Fiberglass Melalui Uji Lentur","type":"article-journal","volume":"8"},"uris":["http://www.mendeley.com/documents/?uuid=a559d954-7e35-4251-a5d7-5f4556c48d86"]}],"mendeley":{"formattedCitation":"(Utami &amp; Cahyo, 2022)","manualFormatting":"Utami &amp; Cahyo (2022)","plainTextFormattedCitation":"(Utami &amp; Cahyo, 2022)","previouslyFormattedCitation":"(Utami &amp; Cahyo, 2022)"},"properties":{"noteIndex":0},"schema":"https://github.com/citation-style-language/schema/raw/master/csl-citation.json"}</w:instrText>
      </w:r>
      <w:r w:rsidR="00130CB4">
        <w:rPr>
          <w:rFonts w:ascii="Constantia" w:hAnsi="Constantia"/>
          <w:sz w:val="20"/>
          <w:szCs w:val="20"/>
          <w:lang w:eastAsia="zh-CN"/>
        </w:rPr>
        <w:fldChar w:fldCharType="separate"/>
      </w:r>
      <w:r w:rsidR="00130CB4" w:rsidRPr="00130CB4">
        <w:rPr>
          <w:rFonts w:ascii="Constantia" w:hAnsi="Constantia"/>
          <w:noProof/>
          <w:sz w:val="20"/>
          <w:szCs w:val="20"/>
          <w:lang w:eastAsia="zh-CN"/>
        </w:rPr>
        <w:t xml:space="preserve">Utami &amp; Cahyo </w:t>
      </w:r>
      <w:r w:rsidR="00130CB4">
        <w:rPr>
          <w:rFonts w:ascii="Constantia" w:hAnsi="Constantia"/>
          <w:noProof/>
          <w:sz w:val="20"/>
          <w:szCs w:val="20"/>
          <w:lang w:eastAsia="zh-CN"/>
        </w:rPr>
        <w:t>(</w:t>
      </w:r>
      <w:r w:rsidR="00130CB4" w:rsidRPr="00130CB4">
        <w:rPr>
          <w:rFonts w:ascii="Constantia" w:hAnsi="Constantia"/>
          <w:noProof/>
          <w:sz w:val="20"/>
          <w:szCs w:val="20"/>
          <w:lang w:eastAsia="zh-CN"/>
        </w:rPr>
        <w:t>2022)</w:t>
      </w:r>
      <w:r w:rsidR="00130CB4">
        <w:rPr>
          <w:rFonts w:ascii="Constantia" w:hAnsi="Constantia"/>
          <w:sz w:val="20"/>
          <w:szCs w:val="20"/>
          <w:lang w:eastAsia="zh-CN"/>
        </w:rPr>
        <w:fldChar w:fldCharType="end"/>
      </w:r>
      <w:r w:rsidR="00130CB4">
        <w:rPr>
          <w:rFonts w:ascii="Constantia" w:hAnsi="Constantia"/>
          <w:sz w:val="20"/>
          <w:szCs w:val="20"/>
          <w:lang w:eastAsia="zh-CN"/>
        </w:rPr>
        <w:t xml:space="preserve">, </w:t>
      </w:r>
      <w:r w:rsidR="003D72EE" w:rsidRPr="003D72EE">
        <w:rPr>
          <w:rFonts w:ascii="Constantia" w:hAnsi="Constantia"/>
          <w:sz w:val="20"/>
          <w:szCs w:val="20"/>
          <w:lang w:eastAsia="zh-CN"/>
        </w:rPr>
        <w:t>who reported that in fiber-reinforced composite materials, applied loads were transferred and distributed from the matrix phase to the fibers, thereby improving the material's toughness. The presence of fiberglass also enhanced mechanical properties such as strength, stiffness, and durability without increasing the overall mass of the concrete. Overall, the addition of glass fibers contributed significantly to improving the mechanical performance of the concrete, particularly in resisting flexural loads and controlling crack propagation. The combination of glass powder and fibers not only increased matrix density but also improved internal cohesion, resulting in concrete with higher durability and toughness.</w:t>
      </w:r>
    </w:p>
    <w:p w14:paraId="72A788FB" w14:textId="77777777" w:rsidR="003D72EE" w:rsidRDefault="003D72EE" w:rsidP="00130CB4">
      <w:pPr>
        <w:ind w:firstLine="567"/>
        <w:jc w:val="both"/>
        <w:rPr>
          <w:rFonts w:ascii="Constantia" w:hAnsi="Constantia"/>
          <w:sz w:val="20"/>
          <w:szCs w:val="20"/>
          <w:lang w:eastAsia="zh-CN"/>
        </w:rPr>
      </w:pPr>
    </w:p>
    <w:bookmarkEnd w:id="3"/>
    <w:p w14:paraId="07B8B667" w14:textId="43CB520C" w:rsidR="00712F13" w:rsidRDefault="003D72EE" w:rsidP="00712F13">
      <w:pPr>
        <w:pStyle w:val="ListParagraph"/>
        <w:numPr>
          <w:ilvl w:val="1"/>
          <w:numId w:val="5"/>
        </w:numPr>
        <w:pBdr>
          <w:top w:val="nil"/>
          <w:left w:val="nil"/>
          <w:bottom w:val="nil"/>
          <w:right w:val="nil"/>
          <w:between w:val="nil"/>
        </w:pBdr>
        <w:tabs>
          <w:tab w:val="left" w:pos="567"/>
        </w:tabs>
        <w:spacing w:after="0"/>
        <w:ind w:left="709" w:hanging="709"/>
        <w:jc w:val="both"/>
        <w:rPr>
          <w:rFonts w:ascii="Constantia" w:eastAsia="Constantia" w:hAnsi="Constantia" w:cs="Constantia"/>
          <w:b/>
          <w:color w:val="000000"/>
          <w:sz w:val="20"/>
          <w:szCs w:val="20"/>
        </w:rPr>
      </w:pPr>
      <w:r w:rsidRPr="003D72EE">
        <w:rPr>
          <w:rFonts w:ascii="Constantia" w:eastAsia="Constantia" w:hAnsi="Constantia" w:cs="Constantia"/>
          <w:b/>
          <w:color w:val="000000"/>
          <w:sz w:val="20"/>
          <w:szCs w:val="20"/>
        </w:rPr>
        <w:lastRenderedPageBreak/>
        <w:t>Water Absorption</w:t>
      </w:r>
    </w:p>
    <w:p w14:paraId="2A2146DA" w14:textId="77777777" w:rsidR="00560BFD" w:rsidRDefault="00560BFD" w:rsidP="00560BFD">
      <w:pPr>
        <w:spacing w:after="0"/>
        <w:ind w:firstLine="720"/>
        <w:jc w:val="both"/>
        <w:rPr>
          <w:rFonts w:ascii="Constantia" w:hAnsi="Constantia"/>
          <w:sz w:val="20"/>
          <w:szCs w:val="20"/>
          <w:lang w:eastAsia="zh-CN"/>
        </w:rPr>
      </w:pPr>
      <w:r w:rsidRPr="00560BFD">
        <w:rPr>
          <w:rFonts w:ascii="Constantia" w:hAnsi="Constantia"/>
          <w:sz w:val="20"/>
          <w:szCs w:val="20"/>
          <w:lang w:eastAsia="zh-CN"/>
        </w:rPr>
        <w:t xml:space="preserve">This test aimed to analyze the effect of variations in the composition of constituent materials, particularly the proportion of ferric oxide waste used as a filler. According to the Glassfibre Reinforced Concrete Association International (2017), the water absorption value was between 5% and 11%. The results of the water absorption test for mixtures containing ferric oxide waste are presented in </w:t>
      </w:r>
      <w:r w:rsidRPr="00560BFD">
        <w:rPr>
          <w:rFonts w:ascii="Constantia" w:hAnsi="Constantia"/>
          <w:b/>
          <w:bCs/>
          <w:sz w:val="20"/>
          <w:szCs w:val="20"/>
          <w:lang w:eastAsia="zh-CN"/>
        </w:rPr>
        <w:t>Figure 5.</w:t>
      </w:r>
    </w:p>
    <w:p w14:paraId="17ED56EE" w14:textId="77777777" w:rsidR="00560BFD" w:rsidRDefault="00560BFD" w:rsidP="00560BFD">
      <w:pPr>
        <w:spacing w:after="0"/>
        <w:ind w:firstLine="720"/>
        <w:jc w:val="both"/>
        <w:rPr>
          <w:rFonts w:ascii="Constantia" w:hAnsi="Constantia"/>
          <w:sz w:val="20"/>
          <w:szCs w:val="20"/>
          <w:lang w:eastAsia="zh-CN"/>
        </w:rPr>
      </w:pPr>
    </w:p>
    <w:p w14:paraId="714A0FFB" w14:textId="094B55A5" w:rsidR="00017E22" w:rsidRPr="00017E22" w:rsidRDefault="008C5A88" w:rsidP="00560BFD">
      <w:pPr>
        <w:spacing w:after="0"/>
        <w:jc w:val="center"/>
        <w:rPr>
          <w:rFonts w:ascii="Constantia" w:hAnsi="Constantia"/>
          <w:sz w:val="20"/>
          <w:szCs w:val="20"/>
          <w:lang w:eastAsia="zh-CN"/>
        </w:rPr>
      </w:pPr>
      <w:r>
        <w:rPr>
          <w:rFonts w:ascii="Constantia" w:hAnsi="Constantia"/>
          <w:noProof/>
          <w:sz w:val="20"/>
          <w:szCs w:val="20"/>
          <w:lang w:eastAsia="zh-CN"/>
        </w:rPr>
        <w:drawing>
          <wp:inline distT="0" distB="0" distL="0" distR="0" wp14:anchorId="24531E2D" wp14:editId="0201DCB2">
            <wp:extent cx="4222995" cy="3240000"/>
            <wp:effectExtent l="19050" t="19050" r="14605" b="13970"/>
            <wp:docPr id="107359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9837"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2995" cy="3240000"/>
                    </a:xfrm>
                    <a:prstGeom prst="rect">
                      <a:avLst/>
                    </a:prstGeom>
                    <a:ln>
                      <a:solidFill>
                        <a:schemeClr val="tx1"/>
                      </a:solidFill>
                    </a:ln>
                  </pic:spPr>
                </pic:pic>
              </a:graphicData>
            </a:graphic>
          </wp:inline>
        </w:drawing>
      </w:r>
    </w:p>
    <w:p w14:paraId="4953C95E" w14:textId="75A47863" w:rsidR="00852516" w:rsidRDefault="009E0760" w:rsidP="00702C41">
      <w:pPr>
        <w:pStyle w:val="Caption"/>
        <w:ind w:left="1843" w:right="1655" w:hanging="283"/>
        <w:jc w:val="center"/>
        <w:rPr>
          <w:rFonts w:ascii="Constantia" w:hAnsi="Constantia"/>
          <w:b w:val="0"/>
          <w:bCs w:val="0"/>
          <w:lang w:val="id-ID"/>
        </w:rPr>
      </w:pPr>
      <w:r w:rsidRPr="009E0760">
        <w:rPr>
          <w:rFonts w:ascii="Constantia" w:hAnsi="Constantia"/>
          <w:lang w:val="id-ID"/>
        </w:rPr>
        <w:t>Figure 5.</w:t>
      </w:r>
      <w:r w:rsidRPr="009E0760">
        <w:rPr>
          <w:rFonts w:ascii="Constantia" w:hAnsi="Constantia"/>
          <w:b w:val="0"/>
          <w:bCs w:val="0"/>
          <w:lang w:val="id-ID"/>
        </w:rPr>
        <w:t xml:space="preserve"> Water Absorption of Ferric Oxide Waste Mixtures</w:t>
      </w:r>
    </w:p>
    <w:p w14:paraId="6791A618" w14:textId="77777777" w:rsidR="00702C41" w:rsidRPr="00702C41" w:rsidRDefault="00702C41" w:rsidP="00702C41">
      <w:pPr>
        <w:rPr>
          <w:lang w:eastAsia="zh-CN"/>
        </w:rPr>
      </w:pPr>
    </w:p>
    <w:p w14:paraId="6490B4A2" w14:textId="5D9D6ECC" w:rsidR="0078289B" w:rsidRDefault="003974E9" w:rsidP="0078289B">
      <w:pPr>
        <w:ind w:firstLine="720"/>
        <w:jc w:val="both"/>
        <w:rPr>
          <w:rFonts w:ascii="Constantia" w:hAnsi="Constantia"/>
          <w:sz w:val="20"/>
          <w:szCs w:val="20"/>
          <w:lang w:eastAsia="zh-CN"/>
        </w:rPr>
      </w:pPr>
      <w:r w:rsidRPr="003974E9">
        <w:rPr>
          <w:rFonts w:ascii="Constantia" w:hAnsi="Constantia"/>
          <w:sz w:val="20"/>
          <w:szCs w:val="20"/>
          <w:lang w:eastAsia="zh-CN"/>
        </w:rPr>
        <w:t xml:space="preserve">Based on </w:t>
      </w:r>
      <w:r w:rsidRPr="003974E9">
        <w:rPr>
          <w:rFonts w:ascii="Constantia" w:hAnsi="Constantia"/>
          <w:b/>
          <w:bCs/>
          <w:sz w:val="20"/>
          <w:szCs w:val="20"/>
          <w:lang w:eastAsia="zh-CN"/>
        </w:rPr>
        <w:t>Figure 5</w:t>
      </w:r>
      <w:r w:rsidRPr="003974E9">
        <w:rPr>
          <w:rFonts w:ascii="Constantia" w:hAnsi="Constantia"/>
          <w:sz w:val="20"/>
          <w:szCs w:val="20"/>
          <w:lang w:eastAsia="zh-CN"/>
        </w:rPr>
        <w:t>, the water absorption test results showed that the water absorption values increased with the rising proportion of ferric oxide waste in the GRC mixtures. The FO0 variation exhibited a water absorption value of 5.2%, which increased to 6.7% in the FO0.2 mixture. In the FO0.3 variation, the water absorption reached 7.6%, while the FO0.4 mixture recorded the highest value of 9.3%. All measured water absorption values remained within the range specified by the Glassfibre Reinforced Concrete Association International (2017), which is between 5% and 11%. These results indicated that all mixture variations met the water absorption criteria required for Glassfibre Reinforced Concrete (GRC) materials. According to the standard, water absorption values within this range reflected a porosity and density level suitable for construction applications, both as lightweight structural elements and non-structural panels. Therefore, all GRC variations containing ferric oxide waste were considered acceptable from the water absorption perspective. The obtained values also suggested that the produced GRC possessed adequate durability against environmental influences, in accordance with quality standards.</w:t>
      </w:r>
      <w:r w:rsidR="00520D20">
        <w:rPr>
          <w:rFonts w:ascii="Constantia" w:hAnsi="Constantia"/>
          <w:sz w:val="20"/>
          <w:szCs w:val="20"/>
          <w:lang w:eastAsia="zh-CN"/>
        </w:rPr>
        <w:tab/>
      </w:r>
      <w:r w:rsidRPr="003974E9">
        <w:rPr>
          <w:rFonts w:ascii="Constantia" w:hAnsi="Constantia"/>
          <w:sz w:val="20"/>
          <w:szCs w:val="20"/>
          <w:lang w:eastAsia="zh-CN"/>
        </w:rPr>
        <w:t>The incorporation of high proportions of ferric oxide resulted in less homogeneous GRC mixtures with more porous structures, thereby increasing the material’s water absorption capacity</w:t>
      </w:r>
      <w:r w:rsidR="00277A6A" w:rsidRPr="00277A6A">
        <w:rPr>
          <w:rFonts w:ascii="Constantia" w:hAnsi="Constantia"/>
          <w:sz w:val="20"/>
          <w:szCs w:val="20"/>
          <w:lang w:eastAsia="zh-CN"/>
        </w:rPr>
        <w:t xml:space="preserve"> </w:t>
      </w:r>
      <w:r w:rsidR="00277A6A">
        <w:rPr>
          <w:rFonts w:ascii="Constantia" w:hAnsi="Constantia"/>
          <w:sz w:val="20"/>
          <w:szCs w:val="20"/>
          <w:lang w:eastAsia="zh-CN"/>
        </w:rPr>
        <w:fldChar w:fldCharType="begin" w:fldLock="1"/>
      </w:r>
      <w:r w:rsidR="00A3164B">
        <w:rPr>
          <w:rFonts w:ascii="Constantia" w:hAnsi="Constantia"/>
          <w:sz w:val="20"/>
          <w:szCs w:val="20"/>
          <w:lang w:eastAsia="zh-CN"/>
        </w:rPr>
        <w:instrText>ADDIN CSL_CITATION {"citationItems":[{"id":"ITEM-1","itemData":{"author":[{"dropping-particle":"","family":"Pereira","given":"Fernanda Macedo","non-dropping-particle":"","parse-names":false,"suffix":""},{"dropping-particle":"","family":"Carlos","given":"José","non-dropping-particle":"","parse-names":false,"suffix":""},{"dropping-particle":"De","family":"Verney","given":"Krause","non-dropping-particle":"","parse-names":false,"suffix":""},{"dropping-particle":"","family":"Lenz","given":"Denise Maria","non-dropping-particle":"","parse-names":false,"suffix":""}],"id":"ITEM-1","issue":"4","issued":{"date-parts":[["2011"]]},"page":"463-469","title":"Evaluation of the Use of Mill Scale as Fine As Fine Aggregate in Concrete","type":"article-journal","volume":"64"},"uris":["http://www.mendeley.com/documents/?uuid=8f4f4011-6c47-4f0a-b567-00bdb284376a"]}],"mendeley":{"formattedCitation":"(Pereira et al., 2011)","plainTextFormattedCitation":"(Pereira et al., 2011)","previouslyFormattedCitation":"(Pereira et al., 2011)"},"properties":{"noteIndex":0},"schema":"https://github.com/citation-style-language/schema/raw/master/csl-citation.json"}</w:instrText>
      </w:r>
      <w:r w:rsidR="00277A6A">
        <w:rPr>
          <w:rFonts w:ascii="Constantia" w:hAnsi="Constantia"/>
          <w:sz w:val="20"/>
          <w:szCs w:val="20"/>
          <w:lang w:eastAsia="zh-CN"/>
        </w:rPr>
        <w:fldChar w:fldCharType="separate"/>
      </w:r>
      <w:r w:rsidR="00277A6A" w:rsidRPr="00277A6A">
        <w:rPr>
          <w:rFonts w:ascii="Constantia" w:hAnsi="Constantia"/>
          <w:noProof/>
          <w:sz w:val="20"/>
          <w:szCs w:val="20"/>
          <w:lang w:eastAsia="zh-CN"/>
        </w:rPr>
        <w:t>(Pereira et al., 2011)</w:t>
      </w:r>
      <w:r w:rsidR="00277A6A">
        <w:rPr>
          <w:rFonts w:ascii="Constantia" w:hAnsi="Constantia"/>
          <w:sz w:val="20"/>
          <w:szCs w:val="20"/>
          <w:lang w:eastAsia="zh-CN"/>
        </w:rPr>
        <w:fldChar w:fldCharType="end"/>
      </w:r>
      <w:r w:rsidR="00277A6A">
        <w:rPr>
          <w:rFonts w:ascii="Constantia" w:hAnsi="Constantia"/>
          <w:sz w:val="20"/>
          <w:szCs w:val="20"/>
          <w:lang w:eastAsia="zh-CN"/>
        </w:rPr>
        <w:t xml:space="preserve">. </w:t>
      </w:r>
      <w:r w:rsidR="00425C00" w:rsidRPr="00425C00">
        <w:rPr>
          <w:rFonts w:ascii="Constantia" w:hAnsi="Constantia"/>
          <w:sz w:val="20"/>
          <w:szCs w:val="20"/>
          <w:lang w:eastAsia="zh-CN"/>
        </w:rPr>
        <w:t>The non-reactive nature of ferric oxide with cement hydration also contributed to limited formation of dense interparticle bonds, which are crucial for resisting water penetration into the matrix</w:t>
      </w:r>
      <w:r w:rsidR="00277A6A" w:rsidRPr="00277A6A">
        <w:rPr>
          <w:rFonts w:ascii="Constantia" w:hAnsi="Constantia"/>
          <w:sz w:val="20"/>
          <w:szCs w:val="20"/>
          <w:lang w:eastAsia="zh-CN"/>
        </w:rPr>
        <w:t xml:space="preserve"> </w:t>
      </w:r>
      <w:r w:rsidR="00A3164B">
        <w:rPr>
          <w:rFonts w:ascii="Constantia" w:hAnsi="Constantia"/>
          <w:sz w:val="20"/>
          <w:szCs w:val="20"/>
          <w:lang w:eastAsia="zh-CN"/>
        </w:rPr>
        <w:fldChar w:fldCharType="begin" w:fldLock="1"/>
      </w:r>
      <w:r w:rsidR="00E45A9D">
        <w:rPr>
          <w:rFonts w:ascii="Constantia" w:hAnsi="Constantia"/>
          <w:sz w:val="20"/>
          <w:szCs w:val="20"/>
          <w:lang w:eastAsia="zh-CN"/>
        </w:rPr>
        <w:instrText>ADDIN CSL_CITATION {"citationItems":[{"id":"ITEM-1","itemData":{"DOI":"10.1016/j.cscm.2024.e03609","ISSN":"2214-5095","author":[{"dropping-particle":"","family":"Hassani","given":"Abolfazl","non-dropping-particle":"","parse-names":false,"suffix":""},{"dropping-particle":"","family":"Kazemian","given":"Farbod","non-dropping-particle":"","parse-names":false,"suffix":""}],"container-title":"Case Studies in Construction Materials","id":"ITEM-1","issue":"May","issued":{"date-parts":[["2024"]]},"page":"e03609","publisher":"Elsevier Ltd","title":"Case Studies in Construction Materials Investigating geopolymer mortar incorporating industrial waste using response surface methodology : A sustainable approach for construction materials","type":"article-journal","volume":"21"},"uris":["http://www.mendeley.com/documents/?uuid=444157b7-c214-48be-8bf4-525f6b468195"]}],"mendeley":{"formattedCitation":"(Hassani &amp; Kazemian, 2024)","plainTextFormattedCitation":"(Hassani &amp; Kazemian, 2024)","previouslyFormattedCitation":"(Hassani &amp; Kazemian, 2024)"},"properties":{"noteIndex":0},"schema":"https://github.com/citation-style-language/schema/raw/master/csl-citation.json"}</w:instrText>
      </w:r>
      <w:r w:rsidR="00A3164B">
        <w:rPr>
          <w:rFonts w:ascii="Constantia" w:hAnsi="Constantia"/>
          <w:sz w:val="20"/>
          <w:szCs w:val="20"/>
          <w:lang w:eastAsia="zh-CN"/>
        </w:rPr>
        <w:fldChar w:fldCharType="separate"/>
      </w:r>
      <w:r w:rsidR="00A3164B" w:rsidRPr="00A3164B">
        <w:rPr>
          <w:rFonts w:ascii="Constantia" w:hAnsi="Constantia"/>
          <w:noProof/>
          <w:sz w:val="20"/>
          <w:szCs w:val="20"/>
          <w:lang w:eastAsia="zh-CN"/>
        </w:rPr>
        <w:t>(Hassani &amp; Kazemian, 2024)</w:t>
      </w:r>
      <w:r w:rsidR="00A3164B">
        <w:rPr>
          <w:rFonts w:ascii="Constantia" w:hAnsi="Constantia"/>
          <w:sz w:val="20"/>
          <w:szCs w:val="20"/>
          <w:lang w:eastAsia="zh-CN"/>
        </w:rPr>
        <w:fldChar w:fldCharType="end"/>
      </w:r>
      <w:r w:rsidR="00277A6A" w:rsidRPr="00277A6A">
        <w:rPr>
          <w:rFonts w:ascii="Constantia" w:hAnsi="Constantia"/>
          <w:sz w:val="20"/>
          <w:szCs w:val="20"/>
          <w:lang w:eastAsia="zh-CN"/>
        </w:rPr>
        <w:t xml:space="preserve">. </w:t>
      </w:r>
      <w:r w:rsidR="00425C00" w:rsidRPr="00425C00">
        <w:rPr>
          <w:rFonts w:ascii="Constantia" w:hAnsi="Constantia"/>
          <w:sz w:val="20"/>
          <w:szCs w:val="20"/>
          <w:lang w:eastAsia="zh-CN"/>
        </w:rPr>
        <w:t>Consequently, increasing the proportion of ferric oxide as a partial cement replacement directly led to higher open porosity and weaker interparticle bonding, ultimately resulting in increased water absorption in both mortar and concrete structures</w:t>
      </w:r>
      <w:r w:rsidR="00277A6A" w:rsidRPr="00277A6A">
        <w:rPr>
          <w:rFonts w:ascii="Constantia" w:hAnsi="Constantia"/>
          <w:sz w:val="20"/>
          <w:szCs w:val="20"/>
          <w:lang w:eastAsia="zh-CN"/>
        </w:rPr>
        <w:t>.</w:t>
      </w:r>
      <w:r w:rsidR="00277A6A">
        <w:rPr>
          <w:rFonts w:ascii="Constantia" w:hAnsi="Constantia"/>
          <w:sz w:val="20"/>
          <w:szCs w:val="20"/>
          <w:lang w:eastAsia="zh-CN"/>
        </w:rPr>
        <w:t xml:space="preserve"> </w:t>
      </w:r>
    </w:p>
    <w:p w14:paraId="3D78C199" w14:textId="77777777" w:rsidR="00425C00" w:rsidRDefault="00425C00" w:rsidP="0078289B">
      <w:pPr>
        <w:ind w:firstLine="720"/>
        <w:jc w:val="both"/>
        <w:rPr>
          <w:rFonts w:ascii="Constantia" w:hAnsi="Constantia"/>
          <w:sz w:val="20"/>
          <w:szCs w:val="20"/>
          <w:lang w:eastAsia="zh-CN"/>
        </w:rPr>
      </w:pPr>
    </w:p>
    <w:p w14:paraId="3009D3DF" w14:textId="77777777" w:rsidR="00425C00" w:rsidRPr="00A832E7" w:rsidRDefault="00425C00" w:rsidP="0078289B">
      <w:pPr>
        <w:ind w:firstLine="720"/>
        <w:jc w:val="both"/>
        <w:rPr>
          <w:rFonts w:ascii="Constantia" w:hAnsi="Constantia"/>
          <w:sz w:val="20"/>
          <w:szCs w:val="20"/>
          <w:lang w:eastAsia="zh-CN"/>
        </w:rPr>
      </w:pPr>
    </w:p>
    <w:p w14:paraId="3503C5A3" w14:textId="25D3BECB" w:rsidR="00C13539" w:rsidRPr="00A724E5" w:rsidRDefault="00360148" w:rsidP="00712F13">
      <w:pPr>
        <w:pStyle w:val="ListParagraph"/>
        <w:numPr>
          <w:ilvl w:val="1"/>
          <w:numId w:val="5"/>
        </w:numPr>
        <w:pBdr>
          <w:top w:val="nil"/>
          <w:left w:val="nil"/>
          <w:bottom w:val="nil"/>
          <w:right w:val="nil"/>
          <w:between w:val="nil"/>
        </w:pBdr>
        <w:tabs>
          <w:tab w:val="left" w:pos="567"/>
        </w:tabs>
        <w:spacing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rPr>
        <w:lastRenderedPageBreak/>
        <w:t>Dry and Wet Bulk Density</w:t>
      </w:r>
    </w:p>
    <w:p w14:paraId="26A8D461" w14:textId="01159ECF" w:rsidR="00F32816" w:rsidRDefault="00425C00" w:rsidP="00A37334">
      <w:pPr>
        <w:pBdr>
          <w:top w:val="nil"/>
          <w:left w:val="nil"/>
          <w:bottom w:val="nil"/>
          <w:right w:val="nil"/>
          <w:between w:val="nil"/>
        </w:pBdr>
        <w:spacing w:after="0"/>
        <w:ind w:firstLine="709"/>
        <w:jc w:val="both"/>
        <w:rPr>
          <w:rFonts w:ascii="Constantia" w:eastAsia="Constantia" w:hAnsi="Constantia" w:cs="Constantia"/>
          <w:iCs/>
          <w:sz w:val="20"/>
          <w:szCs w:val="20"/>
        </w:rPr>
      </w:pPr>
      <w:r w:rsidRPr="00425C00">
        <w:rPr>
          <w:rFonts w:ascii="Constantia" w:eastAsia="Constantia" w:hAnsi="Constantia" w:cs="Constantia"/>
          <w:iCs/>
          <w:sz w:val="20"/>
          <w:szCs w:val="20"/>
        </w:rPr>
        <w:t xml:space="preserve">This test aimed to determine the bulk density of the material in both dry and wet conditions. The minimum values for dry and wet bulk density, according to the Glassfibre Reinforced Concrete Association International (2017), were 1800 kg/m³ and 2000 kg/m³, respectively. The results of the dry and wet bulk density tests for mixtures containing ferric oxide waste are presented in </w:t>
      </w:r>
      <w:r w:rsidRPr="00425C00">
        <w:rPr>
          <w:rFonts w:ascii="Constantia" w:eastAsia="Constantia" w:hAnsi="Constantia" w:cs="Constantia"/>
          <w:b/>
          <w:bCs/>
          <w:iCs/>
          <w:sz w:val="20"/>
          <w:szCs w:val="20"/>
        </w:rPr>
        <w:t>Figure 6</w:t>
      </w:r>
      <w:r w:rsidRPr="00425C00">
        <w:rPr>
          <w:rFonts w:ascii="Constantia" w:eastAsia="Constantia" w:hAnsi="Constantia" w:cs="Constantia"/>
          <w:iCs/>
          <w:sz w:val="20"/>
          <w:szCs w:val="20"/>
        </w:rPr>
        <w:t>.</w:t>
      </w:r>
    </w:p>
    <w:p w14:paraId="06E170E0" w14:textId="77777777" w:rsidR="00425C00" w:rsidRDefault="00425C00" w:rsidP="00A37334">
      <w:pPr>
        <w:pBdr>
          <w:top w:val="nil"/>
          <w:left w:val="nil"/>
          <w:bottom w:val="nil"/>
          <w:right w:val="nil"/>
          <w:between w:val="nil"/>
        </w:pBdr>
        <w:spacing w:after="0"/>
        <w:ind w:firstLine="709"/>
        <w:jc w:val="both"/>
        <w:rPr>
          <w:rFonts w:ascii="Constantia" w:eastAsia="Constantia" w:hAnsi="Constantia" w:cs="Constantia"/>
          <w:b/>
          <w:bCs/>
          <w:iCs/>
          <w:sz w:val="20"/>
          <w:szCs w:val="20"/>
        </w:rPr>
      </w:pPr>
    </w:p>
    <w:p w14:paraId="524DA4D1" w14:textId="5C2F113C" w:rsidR="00712F13" w:rsidRDefault="00674D23" w:rsidP="00674D23">
      <w:pPr>
        <w:ind w:left="567"/>
        <w:jc w:val="center"/>
        <w:rPr>
          <w:rFonts w:ascii="Constantia" w:hAnsi="Constantia"/>
          <w:sz w:val="20"/>
          <w:szCs w:val="20"/>
          <w:lang w:eastAsia="zh-CN"/>
        </w:rPr>
      </w:pPr>
      <w:r>
        <w:rPr>
          <w:rFonts w:ascii="Constantia" w:hAnsi="Constantia"/>
          <w:noProof/>
          <w:sz w:val="20"/>
          <w:szCs w:val="20"/>
          <w:lang w:eastAsia="zh-CN"/>
        </w:rPr>
        <w:drawing>
          <wp:inline distT="0" distB="0" distL="0" distR="0" wp14:anchorId="48FAB236" wp14:editId="5ABAB72B">
            <wp:extent cx="4223218" cy="3240000"/>
            <wp:effectExtent l="19050" t="19050" r="25400" b="17780"/>
            <wp:docPr id="11987850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3218" cy="3240000"/>
                    </a:xfrm>
                    <a:prstGeom prst="rect">
                      <a:avLst/>
                    </a:prstGeom>
                    <a:noFill/>
                    <a:ln>
                      <a:solidFill>
                        <a:schemeClr val="tx1"/>
                      </a:solidFill>
                    </a:ln>
                  </pic:spPr>
                </pic:pic>
              </a:graphicData>
            </a:graphic>
          </wp:inline>
        </w:drawing>
      </w:r>
      <w:r>
        <w:rPr>
          <w:noProof/>
        </w:rPr>
        <mc:AlternateContent>
          <mc:Choice Requires="wps">
            <w:drawing>
              <wp:inline distT="0" distB="0" distL="0" distR="0" wp14:anchorId="2E6EAB62" wp14:editId="2C11E69D">
                <wp:extent cx="307340" cy="307340"/>
                <wp:effectExtent l="0" t="0" r="0" b="0"/>
                <wp:docPr id="166264844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7C3E5" id="Rectangle 6"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C9F6A8F" w14:textId="6CDDAA1B" w:rsidR="00DE59D0" w:rsidRDefault="00C91EFD" w:rsidP="00702C41">
      <w:pPr>
        <w:pStyle w:val="Caption"/>
        <w:spacing w:line="276" w:lineRule="auto"/>
        <w:ind w:left="1418" w:right="1371"/>
        <w:contextualSpacing/>
        <w:jc w:val="center"/>
        <w:rPr>
          <w:rFonts w:ascii="Constantia" w:hAnsi="Constantia"/>
          <w:b w:val="0"/>
          <w:bCs w:val="0"/>
          <w:i/>
          <w:iCs/>
        </w:rPr>
      </w:pPr>
      <w:bookmarkStart w:id="4" w:name="_Hlk209880560"/>
      <w:r w:rsidRPr="00C91EFD">
        <w:rPr>
          <w:rFonts w:ascii="Constantia" w:hAnsi="Constantia"/>
          <w:lang w:val="id-ID"/>
        </w:rPr>
        <w:t>Figure 6.</w:t>
      </w:r>
      <w:r w:rsidRPr="00C91EFD">
        <w:rPr>
          <w:rFonts w:ascii="Constantia" w:hAnsi="Constantia"/>
          <w:b w:val="0"/>
          <w:bCs w:val="0"/>
          <w:lang w:val="id-ID"/>
        </w:rPr>
        <w:t xml:space="preserve"> Dry and Wet Bulk Density of Ferric Oxide Waste Mixtures</w:t>
      </w:r>
    </w:p>
    <w:p w14:paraId="09EB2D28" w14:textId="77777777" w:rsidR="00C60843" w:rsidRPr="00C60843" w:rsidRDefault="00C60843" w:rsidP="00702C41">
      <w:pPr>
        <w:spacing w:after="0"/>
        <w:contextualSpacing/>
        <w:rPr>
          <w:lang w:val="fr-FR" w:eastAsia="zh-CN"/>
        </w:rPr>
      </w:pPr>
    </w:p>
    <w:bookmarkEnd w:id="4"/>
    <w:p w14:paraId="1A776C2B" w14:textId="22FC1CE2" w:rsidR="009A62DA" w:rsidRDefault="001F4B18" w:rsidP="00702C41">
      <w:pPr>
        <w:spacing w:after="0"/>
        <w:ind w:firstLine="709"/>
        <w:contextualSpacing/>
        <w:jc w:val="both"/>
        <w:rPr>
          <w:rFonts w:ascii="Constantia" w:hAnsi="Constantia"/>
          <w:sz w:val="20"/>
          <w:szCs w:val="20"/>
          <w:lang w:eastAsia="zh-CN"/>
        </w:rPr>
      </w:pPr>
      <w:r w:rsidRPr="001F4B18">
        <w:rPr>
          <w:rFonts w:ascii="Constantia" w:hAnsi="Constantia"/>
          <w:sz w:val="20"/>
          <w:szCs w:val="20"/>
          <w:lang w:eastAsia="zh-CN"/>
        </w:rPr>
        <w:t xml:space="preserve">Based on </w:t>
      </w:r>
      <w:r w:rsidRPr="001F4B18">
        <w:rPr>
          <w:rFonts w:ascii="Constantia" w:hAnsi="Constantia"/>
          <w:b/>
          <w:bCs/>
          <w:sz w:val="20"/>
          <w:szCs w:val="20"/>
          <w:lang w:eastAsia="zh-CN"/>
        </w:rPr>
        <w:t>Figure 6,</w:t>
      </w:r>
      <w:r w:rsidRPr="001F4B18">
        <w:rPr>
          <w:rFonts w:ascii="Constantia" w:hAnsi="Constantia"/>
          <w:sz w:val="20"/>
          <w:szCs w:val="20"/>
          <w:lang w:eastAsia="zh-CN"/>
        </w:rPr>
        <w:t xml:space="preserve"> the dry bulk density test results showed a gradual decrease with changes in the material composition across each GRC mixture variation. The FO0 variation exhibited a dry bulk density of 2512 kg/m³, which decreased to 2166 kg/m³ in the FO0.2 mixture. Subsequently, the FO0.3 variation recorded a value of 2129 kg/m³, and the FO0.4 mixture reached the lowest value of 1907 kg/m³. All obtained values met the requirements of the Glassfibre Reinforced Concrete Association International (2017), which specified a minimum dry density of 1800 kg/m³. These results indicated that all mixture variations produced GRC with adequate dry density in accordance with the quality standards. The compliance with the dry density criteria suggested that the produced material possessed sufficient compactness and volumetric stability for construction applications, demonstrating that all mixtures met the applicable standard requirements.</w:t>
      </w:r>
      <w:r w:rsidR="009A62DA">
        <w:rPr>
          <w:rFonts w:ascii="Constantia" w:hAnsi="Constantia"/>
          <w:sz w:val="20"/>
          <w:szCs w:val="20"/>
          <w:lang w:eastAsia="zh-CN"/>
        </w:rPr>
        <w:tab/>
      </w:r>
      <w:r w:rsidR="009A62DA">
        <w:rPr>
          <w:rFonts w:ascii="Constantia" w:hAnsi="Constantia"/>
          <w:sz w:val="20"/>
          <w:szCs w:val="20"/>
          <w:lang w:eastAsia="zh-CN"/>
        </w:rPr>
        <w:tab/>
      </w:r>
      <w:r w:rsidR="009A62DA">
        <w:rPr>
          <w:rFonts w:ascii="Constantia" w:hAnsi="Constantia"/>
          <w:sz w:val="20"/>
          <w:szCs w:val="20"/>
          <w:lang w:eastAsia="zh-CN"/>
        </w:rPr>
        <w:tab/>
      </w:r>
      <w:r w:rsidR="009A62DA">
        <w:rPr>
          <w:rFonts w:ascii="Constantia" w:hAnsi="Constantia"/>
          <w:sz w:val="20"/>
          <w:szCs w:val="20"/>
          <w:lang w:eastAsia="zh-CN"/>
        </w:rPr>
        <w:tab/>
      </w:r>
      <w:r w:rsidR="009A62DA">
        <w:rPr>
          <w:rFonts w:ascii="Constantia" w:hAnsi="Constantia"/>
          <w:sz w:val="20"/>
          <w:szCs w:val="20"/>
          <w:lang w:eastAsia="zh-CN"/>
        </w:rPr>
        <w:tab/>
      </w:r>
      <w:r w:rsidR="00855C51">
        <w:rPr>
          <w:rFonts w:ascii="Constantia" w:hAnsi="Constantia"/>
          <w:sz w:val="20"/>
          <w:szCs w:val="20"/>
          <w:lang w:eastAsia="zh-CN"/>
        </w:rPr>
        <w:tab/>
      </w:r>
      <w:r w:rsidR="00855C51">
        <w:rPr>
          <w:rFonts w:ascii="Constantia" w:hAnsi="Constantia"/>
          <w:sz w:val="20"/>
          <w:szCs w:val="20"/>
          <w:lang w:eastAsia="zh-CN"/>
        </w:rPr>
        <w:tab/>
      </w:r>
      <w:r w:rsidR="00855C51">
        <w:rPr>
          <w:rFonts w:ascii="Constantia" w:hAnsi="Constantia"/>
          <w:sz w:val="20"/>
          <w:szCs w:val="20"/>
          <w:lang w:eastAsia="zh-CN"/>
        </w:rPr>
        <w:tab/>
      </w:r>
      <w:r w:rsidR="00855C51">
        <w:rPr>
          <w:rFonts w:ascii="Constantia" w:hAnsi="Constantia"/>
          <w:sz w:val="20"/>
          <w:szCs w:val="20"/>
          <w:lang w:eastAsia="zh-CN"/>
        </w:rPr>
        <w:tab/>
      </w:r>
      <w:r w:rsidR="00BE4257" w:rsidRPr="00BE4257">
        <w:rPr>
          <w:rFonts w:ascii="Constantia" w:hAnsi="Constantia"/>
          <w:sz w:val="20"/>
          <w:szCs w:val="20"/>
          <w:lang w:eastAsia="zh-CN"/>
        </w:rPr>
        <w:t>Regarding wet bulk density, the results also showed a decreasing trend with increasing proportions of ferric oxide. The FO0 mixture exhibited a wet density of 2703 kg/m³, which decreased to 2341 kg/m³ for FO0.2, 2247 kg/m³ for FO0.3, and reached the lowest value of 2098 kg/m³ for FO0.4. According to the Glassfibre Reinforced Concrete Association International (2017), the minimum required wet density for GRC products was 2000 kg/m³. The test results indicated that all mixture variations met the minimum requirement. Therefore, all GRC mixtures satisfied the wet density criteria, making them suitable for various GRC elements that require strength, durability, and dimensional stability.</w:t>
      </w:r>
      <w:r w:rsidR="00BE4257">
        <w:rPr>
          <w:rFonts w:ascii="Constantia" w:hAnsi="Constantia"/>
          <w:sz w:val="20"/>
          <w:szCs w:val="20"/>
          <w:lang w:eastAsia="zh-CN"/>
        </w:rPr>
        <w:t xml:space="preserve"> </w:t>
      </w:r>
      <w:r w:rsidR="004C4D55" w:rsidRPr="004C4D55">
        <w:rPr>
          <w:rFonts w:ascii="Constantia" w:hAnsi="Constantia"/>
          <w:sz w:val="20"/>
          <w:szCs w:val="20"/>
          <w:lang w:eastAsia="zh-CN"/>
        </w:rPr>
        <w:t>These findings confirmed that the addition of ferric oxide contributed to an increase in both dry and wet bulk density. All tested variations remained within the range specified by the Glassfibre Reinforced Concrete Association International (2017), indicating that the produced material complied with the established standards. According to</w:t>
      </w:r>
      <w:r w:rsidR="004C4D55">
        <w:rPr>
          <w:rFonts w:ascii="Constantia" w:hAnsi="Constantia"/>
          <w:sz w:val="20"/>
          <w:szCs w:val="20"/>
          <w:lang w:eastAsia="zh-CN"/>
        </w:rPr>
        <w:t xml:space="preserve"> </w:t>
      </w:r>
      <w:r w:rsidR="00DC1F1B">
        <w:rPr>
          <w:rFonts w:ascii="Constantia" w:hAnsi="Constantia"/>
          <w:sz w:val="20"/>
          <w:szCs w:val="20"/>
          <w:lang w:eastAsia="zh-CN"/>
        </w:rPr>
        <w:fldChar w:fldCharType="begin" w:fldLock="1"/>
      </w:r>
      <w:r w:rsidR="0015379D">
        <w:rPr>
          <w:rFonts w:ascii="Constantia" w:hAnsi="Constantia"/>
          <w:sz w:val="20"/>
          <w:szCs w:val="20"/>
          <w:lang w:eastAsia="zh-CN"/>
        </w:rPr>
        <w:instrText>ADDIN CSL_CITATION {"citationItems":[{"id":"ITEM-1","itemData":{"ISBN":"012683900X","ISSN":"09589465","PMID":"23132921","abstract":"This book deals with the chemistry of the principal silicate and aluminate cements used in building and civil engineering. It is a completely re-written successor to the two volumes on 'The Chemistry of Cements' that I edited in 1964, and, like them, is directed primarily to those whose background is in chemistry, materials science or related disciplines. Emphasis is placed throughout on the underlying science rather than on practical applications, which are well covered in other works. The earlier volumes are outdated. Since 1964, several major areas pre- viously unknown or neglected have been widely studied due to changes in the ways in which cement is made or used, or to increased awareness of the problems encountered in producing concrete of adequate durability. Along- side this, much information has accrued from the introduction of new and powerful experimental techniques, of which scanning electron microscopy and X-ray microanalysis have proved especially important. In 1964, some topics, though practically important, were so imperfectly understood from the standpoint of basic chemistry that I did not consider it useful to deal with them. Increased understanding now makes it possible, and indeed essential, to include them. On the other hand, descriptions of standard experimental techniques, included in the earlier book, have been omitted, except for some matters of specialist relevance to cement chemistry, as good textbooks on all of them are available. All the cements considered in this book fall into the category of hydraulic cements; they set and harden as a result of chemical reactions with water, and if mixed with water in appropriate proportions continue to harden even if stored under water after they have set. Much the most important is Portland cement. Chapters I to 4 of the present work deal mainly with the chemistry of manufacture of Portland cement and with the nature of the resulting product. Chapters 5 to 8 deal mainly with the processes that occur when this product is mixed with water and with the nature of the hardened material. Chapters 9 to II deal with the chemistry of other types of cement, of admixtures for concrete and of special uses of cements. Chapter 12 deals with chemical and microstructural aspects of concrete, including ones rel- evant to processes that affect its durability or limit its service life. The literature of cement chemistry is voluminous; the abstracting journal, Cements Research Progress has latterly listed …","author":[{"dropping-particle":"","family":"Taylor","given":"Harold F. W.","non-dropping-particle":"","parse-names":false,"suffix":""}],"container-title":"Academic Press","id":"ITEM-1","issue":"4","issued":{"date-parts":[["1997"]]},"page":"335","title":"Cement chemistry. 2nd ed.","type":"article-journal","volume":"20"},"uris":["http://www.mendeley.com/documents/?uuid=5c68dda1-a5e9-4896-a423-412cc6b4b98f"]}],"mendeley":{"formattedCitation":"(Taylor, 1997)","manualFormatting":"Taylor (1997)","plainTextFormattedCitation":"(Taylor, 1997)","previouslyFormattedCitation":"(Taylor, 1997)"},"properties":{"noteIndex":0},"schema":"https://github.com/citation-style-language/schema/raw/master/csl-citation.json"}</w:instrText>
      </w:r>
      <w:r w:rsidR="00DC1F1B">
        <w:rPr>
          <w:rFonts w:ascii="Constantia" w:hAnsi="Constantia"/>
          <w:sz w:val="20"/>
          <w:szCs w:val="20"/>
          <w:lang w:eastAsia="zh-CN"/>
        </w:rPr>
        <w:fldChar w:fldCharType="separate"/>
      </w:r>
      <w:r w:rsidR="00DC1F1B" w:rsidRPr="00DC1F1B">
        <w:rPr>
          <w:rFonts w:ascii="Constantia" w:hAnsi="Constantia"/>
          <w:noProof/>
          <w:sz w:val="20"/>
          <w:szCs w:val="20"/>
          <w:lang w:eastAsia="zh-CN"/>
        </w:rPr>
        <w:t xml:space="preserve">Taylor </w:t>
      </w:r>
      <w:r w:rsidR="00DC1F1B">
        <w:rPr>
          <w:rFonts w:ascii="Constantia" w:hAnsi="Constantia"/>
          <w:noProof/>
          <w:sz w:val="20"/>
          <w:szCs w:val="20"/>
          <w:lang w:eastAsia="zh-CN"/>
        </w:rPr>
        <w:t>(</w:t>
      </w:r>
      <w:r w:rsidR="00DC1F1B" w:rsidRPr="00DC1F1B">
        <w:rPr>
          <w:rFonts w:ascii="Constantia" w:hAnsi="Constantia"/>
          <w:noProof/>
          <w:sz w:val="20"/>
          <w:szCs w:val="20"/>
          <w:lang w:eastAsia="zh-CN"/>
        </w:rPr>
        <w:t>1997)</w:t>
      </w:r>
      <w:r w:rsidR="00DC1F1B">
        <w:rPr>
          <w:rFonts w:ascii="Constantia" w:hAnsi="Constantia"/>
          <w:sz w:val="20"/>
          <w:szCs w:val="20"/>
          <w:lang w:eastAsia="zh-CN"/>
        </w:rPr>
        <w:fldChar w:fldCharType="end"/>
      </w:r>
      <w:r w:rsidR="00DC1F1B">
        <w:rPr>
          <w:rFonts w:ascii="Constantia" w:hAnsi="Constantia"/>
          <w:sz w:val="20"/>
          <w:szCs w:val="20"/>
          <w:lang w:eastAsia="zh-CN"/>
        </w:rPr>
        <w:t>,</w:t>
      </w:r>
      <w:r w:rsidR="0015379D">
        <w:rPr>
          <w:rFonts w:ascii="Constantia" w:hAnsi="Constantia"/>
          <w:sz w:val="20"/>
          <w:szCs w:val="20"/>
          <w:lang w:eastAsia="zh-CN"/>
        </w:rPr>
        <w:t xml:space="preserve"> </w:t>
      </w:r>
      <w:r w:rsidR="004C4D55" w:rsidRPr="004C4D55">
        <w:rPr>
          <w:rFonts w:ascii="Constantia" w:hAnsi="Constantia"/>
          <w:sz w:val="20"/>
          <w:szCs w:val="20"/>
          <w:lang w:eastAsia="zh-CN"/>
        </w:rPr>
        <w:t xml:space="preserve">fine particles played an important role in enhancing the material's microstructure through a pore-filling mechanism, thereby increasing matrix density. The results also </w:t>
      </w:r>
      <w:r w:rsidR="004C4D55" w:rsidRPr="004C4D55">
        <w:rPr>
          <w:rFonts w:ascii="Constantia" w:hAnsi="Constantia"/>
          <w:sz w:val="20"/>
          <w:szCs w:val="20"/>
          <w:lang w:eastAsia="zh-CN"/>
        </w:rPr>
        <w:lastRenderedPageBreak/>
        <w:t>demonstrated a positive correlation between compressive strength and density, where an increase in compressive strength corresponded with higher material density. These findings were consistent with the study conducted by</w:t>
      </w:r>
      <w:r w:rsidR="004C4D55">
        <w:rPr>
          <w:rFonts w:ascii="Constantia" w:hAnsi="Constantia"/>
          <w:sz w:val="20"/>
          <w:szCs w:val="20"/>
          <w:lang w:eastAsia="zh-CN"/>
        </w:rPr>
        <w:t xml:space="preserve"> </w:t>
      </w:r>
      <w:r w:rsidR="0015379D">
        <w:rPr>
          <w:rFonts w:ascii="Constantia" w:hAnsi="Constantia"/>
          <w:sz w:val="20"/>
          <w:szCs w:val="20"/>
          <w:lang w:eastAsia="zh-CN"/>
        </w:rPr>
        <w:fldChar w:fldCharType="begin" w:fldLock="1"/>
      </w:r>
      <w:r w:rsidR="0068163A">
        <w:rPr>
          <w:rFonts w:ascii="Constantia" w:hAnsi="Constantia"/>
          <w:sz w:val="20"/>
          <w:szCs w:val="20"/>
          <w:lang w:eastAsia="zh-CN"/>
        </w:rPr>
        <w:instrText>ADDIN CSL_CITATION {"citationItems":[{"id":"ITEM-1","itemData":{"abstract":"Concrete must has to ensure satisfactory compressive strength and durability. The mechanical properties of concrete are highly influenced by its density. A denser concrete generally provides higher strength and fewer amount of voids and porosity. Smaller the voids in concrete, it becomes less permeable to water and soluble elements. So water absorption will also be less and better durability is expected from this type of concrete. In this paper an experimental program conducting on compressive strength, density, absorption capacity and percent voids of hardened concrete is described. The variation of these properties with maturity of concrete was main focus of this experiment. Comparison is made between two types of concrete’s property test results. One of them is lightweight concrete made with crushed brick (BC) as primary coarse aggregate. Crushed brick is a locally available construction material in Indian subcontinent. Another type of concrete is a denser one, made with crushed stone (SC) as primary coarse aggregate. The comparisons on test results are presented with respect to time. It was observed from the experiment that, strength and density increases with maturity of concrete and percent void and absorption capacity decreases with time. Better results were obtained from stone aggregate concrete than brick aggregate concrete in cases of all of the tests.","author":[{"dropping-particle":"","family":"Iffat","given":"S.","non-dropping-particle":"","parse-names":false,"suffix":""}],"container-title":"Concrete Research Letters","id":"ITEM-1","issue":"4","issued":{"date-parts":[["2015"]]},"page":"182-189","title":"Relation between density and compressive strength of hardened concrete relation between density and compressive strength of hardened concrete","type":"article-journal","volume":"6"},"uris":["http://www.mendeley.com/documents/?uuid=d4fc9280-e8b3-418f-a090-382b28516fa2"]}],"mendeley":{"formattedCitation":"(Iffat, 2015)","manualFormatting":"Iffat (2015)","plainTextFormattedCitation":"(Iffat, 2015)","previouslyFormattedCitation":"(Iffat, 2015)"},"properties":{"noteIndex":0},"schema":"https://github.com/citation-style-language/schema/raw/master/csl-citation.json"}</w:instrText>
      </w:r>
      <w:r w:rsidR="0015379D">
        <w:rPr>
          <w:rFonts w:ascii="Constantia" w:hAnsi="Constantia"/>
          <w:sz w:val="20"/>
          <w:szCs w:val="20"/>
          <w:lang w:eastAsia="zh-CN"/>
        </w:rPr>
        <w:fldChar w:fldCharType="separate"/>
      </w:r>
      <w:r w:rsidR="0015379D" w:rsidRPr="0015379D">
        <w:rPr>
          <w:rFonts w:ascii="Constantia" w:hAnsi="Constantia"/>
          <w:noProof/>
          <w:sz w:val="20"/>
          <w:szCs w:val="20"/>
          <w:lang w:eastAsia="zh-CN"/>
        </w:rPr>
        <w:t xml:space="preserve">Iffat </w:t>
      </w:r>
      <w:r w:rsidR="0015379D">
        <w:rPr>
          <w:rFonts w:ascii="Constantia" w:hAnsi="Constantia"/>
          <w:noProof/>
          <w:sz w:val="20"/>
          <w:szCs w:val="20"/>
          <w:lang w:eastAsia="zh-CN"/>
        </w:rPr>
        <w:t>(</w:t>
      </w:r>
      <w:r w:rsidR="0015379D" w:rsidRPr="0015379D">
        <w:rPr>
          <w:rFonts w:ascii="Constantia" w:hAnsi="Constantia"/>
          <w:noProof/>
          <w:sz w:val="20"/>
          <w:szCs w:val="20"/>
          <w:lang w:eastAsia="zh-CN"/>
        </w:rPr>
        <w:t>2015)</w:t>
      </w:r>
      <w:r w:rsidR="0015379D">
        <w:rPr>
          <w:rFonts w:ascii="Constantia" w:hAnsi="Constantia"/>
          <w:sz w:val="20"/>
          <w:szCs w:val="20"/>
          <w:lang w:eastAsia="zh-CN"/>
        </w:rPr>
        <w:fldChar w:fldCharType="end"/>
      </w:r>
      <w:r w:rsidR="0015379D" w:rsidRPr="0015379D">
        <w:rPr>
          <w:rFonts w:ascii="Constantia" w:hAnsi="Constantia"/>
          <w:sz w:val="20"/>
          <w:szCs w:val="20"/>
          <w:lang w:eastAsia="zh-CN"/>
        </w:rPr>
        <w:t xml:space="preserve">, </w:t>
      </w:r>
      <w:r w:rsidR="00A30DA0" w:rsidRPr="00A30DA0">
        <w:rPr>
          <w:rFonts w:ascii="Constantia" w:hAnsi="Constantia"/>
          <w:sz w:val="20"/>
          <w:szCs w:val="20"/>
          <w:lang w:eastAsia="zh-CN"/>
        </w:rPr>
        <w:t>which reported that concrete with higher density tended to exhibit greater compressive strength due to reduced porosity and water absorption within the material structure.</w:t>
      </w:r>
    </w:p>
    <w:p w14:paraId="38AE1AD6" w14:textId="77777777" w:rsidR="009051C5" w:rsidRDefault="009051C5" w:rsidP="00702C41">
      <w:pPr>
        <w:spacing w:after="0"/>
        <w:contextualSpacing/>
        <w:jc w:val="both"/>
        <w:rPr>
          <w:rFonts w:ascii="Constantia" w:hAnsi="Constantia"/>
          <w:b/>
          <w:bCs/>
          <w:sz w:val="20"/>
          <w:szCs w:val="20"/>
          <w:lang w:eastAsia="zh-CN"/>
        </w:rPr>
      </w:pPr>
    </w:p>
    <w:p w14:paraId="01797C1B" w14:textId="0A48503F" w:rsidR="00A30DA0" w:rsidRPr="009051C5" w:rsidRDefault="009051C5" w:rsidP="00702C41">
      <w:pPr>
        <w:spacing w:after="0"/>
        <w:contextualSpacing/>
        <w:jc w:val="both"/>
        <w:rPr>
          <w:rFonts w:ascii="Constantia" w:hAnsi="Constantia"/>
          <w:b/>
          <w:bCs/>
          <w:sz w:val="20"/>
          <w:szCs w:val="20"/>
          <w:lang w:eastAsia="zh-CN"/>
        </w:rPr>
      </w:pPr>
      <w:r>
        <w:rPr>
          <w:rFonts w:ascii="Constantia" w:hAnsi="Constantia"/>
          <w:b/>
          <w:bCs/>
          <w:sz w:val="20"/>
          <w:szCs w:val="20"/>
          <w:lang w:eastAsia="zh-CN"/>
        </w:rPr>
        <w:t xml:space="preserve">3.5 </w:t>
      </w:r>
      <w:r w:rsidRPr="009051C5">
        <w:rPr>
          <w:rFonts w:ascii="Constantia" w:eastAsia="Constantia" w:hAnsi="Constantia" w:cs="Constantia"/>
          <w:b/>
          <w:bCs/>
          <w:color w:val="000000"/>
          <w:sz w:val="20"/>
          <w:szCs w:val="20"/>
        </w:rPr>
        <w:t>Glassfibre Reinforced Concrete (GRC)</w:t>
      </w:r>
    </w:p>
    <w:p w14:paraId="7C206DC8" w14:textId="31B01A8D" w:rsidR="0090142B" w:rsidRDefault="0090142B" w:rsidP="00702C41">
      <w:pPr>
        <w:spacing w:after="0"/>
        <w:ind w:firstLine="720"/>
        <w:contextualSpacing/>
        <w:jc w:val="both"/>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The figure 7 showed that </w:t>
      </w:r>
      <w:r w:rsidRPr="00E04E68">
        <w:rPr>
          <w:rFonts w:ascii="Constantia" w:eastAsia="Constantia" w:hAnsi="Constantia" w:cs="Constantia"/>
          <w:color w:val="000000"/>
          <w:sz w:val="20"/>
          <w:szCs w:val="20"/>
        </w:rPr>
        <w:t xml:space="preserve">the </w:t>
      </w:r>
      <w:r w:rsidR="00E04E68" w:rsidRPr="00E04E68">
        <w:rPr>
          <w:rFonts w:ascii="Constantia" w:eastAsia="Constantia" w:hAnsi="Constantia" w:cs="Constantia"/>
          <w:color w:val="000000"/>
          <w:sz w:val="20"/>
          <w:szCs w:val="20"/>
        </w:rPr>
        <w:t>results indicated that the addition of ferric oxide (FO) waste significantly affected the compressive and flexural strength of the GRC. In the FO0 variation (control without FO waste), the compressive strength was 65.87 MPa with a flexural strength of 9.0 MPa. These values decreased progressively with the addition of FO, reaching 39.73 MPa for compressive strength and 5.4 MPa for flexural strength in the FO0.4 mixture. The sharpest reduction occurred in the FO0.3 and FO0.4 variations, where both mechanical parameters decreased by more than 30% compared to the control sample</w:t>
      </w:r>
      <w:r w:rsidR="00950306" w:rsidRPr="00950306">
        <w:rPr>
          <w:rFonts w:ascii="Constantia" w:eastAsia="Constantia" w:hAnsi="Constantia" w:cs="Constantia"/>
          <w:color w:val="000000"/>
          <w:sz w:val="20"/>
          <w:szCs w:val="20"/>
        </w:rPr>
        <w:t>.</w:t>
      </w:r>
      <w:r w:rsidR="00EC425D">
        <w:rPr>
          <w:rFonts w:ascii="Constantia" w:eastAsia="Constantia" w:hAnsi="Constantia" w:cs="Constantia"/>
          <w:color w:val="000000"/>
          <w:sz w:val="20"/>
          <w:szCs w:val="20"/>
        </w:rPr>
        <w:tab/>
      </w:r>
      <w:r w:rsidR="00E04E68" w:rsidRPr="00E04E68">
        <w:rPr>
          <w:rFonts w:ascii="Constantia" w:eastAsia="Constantia" w:hAnsi="Constantia" w:cs="Constantia"/>
          <w:color w:val="000000"/>
          <w:sz w:val="20"/>
          <w:szCs w:val="20"/>
        </w:rPr>
        <w:t>A positive correlation was observed between compressive and flexural strength: higher compressive strength was accompanied by higher flexural strength, and vice versa. However, the sensitivity of flexural strength reduction was more pronounced at FO0.3 and FO0.4 substitution levels, indicating that the material lost flexural toughness more readily than compressive strength when excessive FO was added.</w:t>
      </w:r>
    </w:p>
    <w:p w14:paraId="20C6991B" w14:textId="77777777" w:rsidR="0090142B" w:rsidRDefault="0090142B" w:rsidP="0090142B">
      <w:pPr>
        <w:jc w:val="center"/>
        <w:rPr>
          <w:rFonts w:ascii="Constantia" w:eastAsia="Constantia" w:hAnsi="Constantia" w:cs="Constantia"/>
          <w:b/>
          <w:bCs/>
          <w:color w:val="000000"/>
          <w:sz w:val="24"/>
          <w:szCs w:val="24"/>
        </w:rPr>
      </w:pPr>
      <w:r>
        <w:rPr>
          <w:noProof/>
        </w:rPr>
        <w:drawing>
          <wp:inline distT="0" distB="0" distL="0" distR="0" wp14:anchorId="6EE8C080" wp14:editId="70754B5C">
            <wp:extent cx="3018349" cy="2812681"/>
            <wp:effectExtent l="19050" t="19050" r="10795" b="26035"/>
            <wp:docPr id="1765513442" name="Picture 19" descr="A red square with circl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13442" name="Picture 19" descr="A red square with circles on it&#10;&#10;AI-generated content may be incorrec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936" b="13197"/>
                    <a:stretch>
                      <a:fillRect/>
                    </a:stretch>
                  </pic:blipFill>
                  <pic:spPr bwMode="auto">
                    <a:xfrm>
                      <a:off x="0" y="0"/>
                      <a:ext cx="3021292" cy="281542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DEC5794" w14:textId="77777777" w:rsidR="0090142B" w:rsidRDefault="0090142B" w:rsidP="00702C41">
      <w:pPr>
        <w:pStyle w:val="Caption"/>
        <w:spacing w:line="276" w:lineRule="auto"/>
        <w:ind w:left="993" w:right="1088"/>
        <w:contextualSpacing/>
        <w:jc w:val="center"/>
        <w:rPr>
          <w:rFonts w:ascii="Constantia" w:hAnsi="Constantia"/>
          <w:b w:val="0"/>
          <w:bCs w:val="0"/>
          <w:i/>
          <w:iCs/>
        </w:rPr>
      </w:pPr>
      <w:r w:rsidRPr="002F5DD0">
        <w:rPr>
          <w:rFonts w:ascii="Constantia" w:hAnsi="Constantia"/>
          <w:lang w:val="id-ID"/>
        </w:rPr>
        <w:t>Figure 7</w:t>
      </w:r>
      <w:r w:rsidRPr="002F5DD0">
        <w:rPr>
          <w:rFonts w:ascii="Constantia" w:hAnsi="Constantia"/>
          <w:b w:val="0"/>
          <w:bCs w:val="0"/>
          <w:lang w:val="id-ID"/>
        </w:rPr>
        <w:t>. Glassfibre Reinforced Concrete (GRC) Products from Krawangan</w:t>
      </w:r>
    </w:p>
    <w:p w14:paraId="2BD4E0F3" w14:textId="77777777" w:rsidR="0090142B" w:rsidRDefault="0090142B" w:rsidP="00702C41">
      <w:pPr>
        <w:spacing w:after="0"/>
        <w:ind w:firstLine="720"/>
        <w:contextualSpacing/>
        <w:jc w:val="both"/>
        <w:rPr>
          <w:rFonts w:ascii="Constantia" w:eastAsia="Constantia" w:hAnsi="Constantia" w:cs="Constantia"/>
          <w:color w:val="000000"/>
          <w:sz w:val="20"/>
          <w:szCs w:val="20"/>
        </w:rPr>
      </w:pPr>
    </w:p>
    <w:p w14:paraId="38B7AA23" w14:textId="05B3ACAE" w:rsidR="00724988" w:rsidRDefault="00FF0043" w:rsidP="00702C41">
      <w:pPr>
        <w:spacing w:after="0"/>
        <w:ind w:firstLine="720"/>
        <w:contextualSpacing/>
        <w:jc w:val="both"/>
        <w:rPr>
          <w:rFonts w:ascii="Constantia" w:hAnsi="Constantia"/>
          <w:sz w:val="20"/>
          <w:szCs w:val="20"/>
          <w:lang w:eastAsia="zh-CN"/>
        </w:rPr>
      </w:pPr>
      <w:r w:rsidRPr="00FF0043">
        <w:rPr>
          <w:rFonts w:ascii="Constantia" w:eastAsia="Constantia" w:hAnsi="Constantia" w:cs="Constantia"/>
          <w:color w:val="000000"/>
          <w:sz w:val="20"/>
          <w:szCs w:val="20"/>
        </w:rPr>
        <w:t>The interrelation of the test results suggested that mechanical and physical parameters influenced each other. In general, increases in compressive and flexural strength corresponded with decreases in water absorption. Higher dry and wet density values indicated denser materials, although at high FO contents, this effect did not always enhance strength, as material density also played a role</w:t>
      </w:r>
      <w:r>
        <w:rPr>
          <w:rFonts w:ascii="Constantia" w:eastAsia="Constantia" w:hAnsi="Constantia" w:cs="Constantia"/>
          <w:color w:val="000000"/>
          <w:sz w:val="20"/>
          <w:szCs w:val="20"/>
        </w:rPr>
        <w:t>.</w:t>
      </w:r>
      <w:r w:rsidR="00010E1A">
        <w:rPr>
          <w:rFonts w:ascii="Constantia" w:eastAsia="Constantia" w:hAnsi="Constantia" w:cs="Constantia"/>
          <w:color w:val="000000"/>
          <w:sz w:val="20"/>
          <w:szCs w:val="20"/>
        </w:rPr>
        <w:t xml:space="preserve"> </w:t>
      </w:r>
      <w:r w:rsidR="00011D75" w:rsidRPr="00011D75">
        <w:rPr>
          <w:rFonts w:ascii="Constantia" w:eastAsia="Constantia" w:hAnsi="Constantia" w:cs="Constantia"/>
          <w:color w:val="000000"/>
          <w:sz w:val="20"/>
          <w:szCs w:val="20"/>
        </w:rPr>
        <w:t xml:space="preserve">The reduction in compressive strength was attributed to the formation of voids between particles or uneven distribution of fillers, weakening the material’s load-bearing capacity </w:t>
      </w:r>
      <w:r w:rsidR="005D53A7">
        <w:rPr>
          <w:rFonts w:ascii="Constantia" w:eastAsia="Constantia" w:hAnsi="Constantia" w:cs="Constantia"/>
          <w:color w:val="000000"/>
          <w:sz w:val="20"/>
          <w:szCs w:val="20"/>
        </w:rPr>
        <w:fldChar w:fldCharType="begin" w:fldLock="1"/>
      </w:r>
      <w:r w:rsidR="005D53A7">
        <w:rPr>
          <w:rFonts w:ascii="Constantia" w:eastAsia="Constantia" w:hAnsi="Constantia" w:cs="Constantia"/>
          <w:color w:val="000000"/>
          <w:sz w:val="20"/>
          <w:szCs w:val="20"/>
        </w:rPr>
        <w:instrText>ADDIN CSL_CITATION {"citationItems":[{"id":"ITEM-1","itemData":{"DOI":"10.3390/ma13051168","ISSN":"19961944","abstract":"This study evaluates the mechanical, durability, and residual compressive strength (after being exposed to 20, 120, 250, 400 and 600 °C) of mortar that uses recycled iron powder (RIP) as a fine aggregate. Within this context, mechanical strength, shrinkage, durability, and residual strength tests were performed on mortar made with seven different percentages (0%, 5%, 10%, 15%, 20%, 30% and 50%) of replacement of natural sand (NS) by RIP. It was found that the mechanical strength of mortar increased when replaced with up to 30% NS by RIP. In addition, the increase was 30% for compressive, 18% for tensile, and 47% for flexural strength at 28 days, respectively, compared to the reference mortar (mortar made with 100% NS). Shrinkage was observed for the mortar made with 100% NS, while both shrinkage and expansion occurred in the mortar made with RIP, especially for RIP higher than 5%. Furthermore, significantly lower porosity and capillary water absorption were observed for mortar made with up to 30% RIP, compared to that made with 100% NS, which decreased by 36% for porosity and 48% for water absorption. As the temperature increased, the strength decreased for all mixes, and the drop was more pronounced for the temperatures above 250 °C and 50% RIP. This study demonstrates that up to 30% RIP can be utilized as a fine aggregate in mortar due to its better mechanical and durability performances.","author":[{"dropping-particle":"","family":"Miah","given":"Md Jihad","non-dropping-particle":"","parse-names":false,"suffix":""},{"dropping-particle":"","family":"Ali","given":"Md Kawsar","non-dropping-particle":"","parse-names":false,"suffix":""},{"dropping-particle":"","family":"Paul","given":"Suvash Chandra","non-dropping-particle":"","parse-names":false,"suffix":""},{"dropping-particle":"","family":"Babafemi","given":"Adewumi John","non-dropping-particle":"","parse-names":false,"suffix":""},{"dropping-particle":"","family":"Kong","given":"Sih Ying","non-dropping-particle":"","parse-names":false,"suffix":""},{"dropping-particle":"","family":"Šavija","given":"Branko","non-dropping-particle":"","parse-names":false,"suffix":""}],"container-title":"Materials","id":"ITEM-1","issue":"5","issued":{"date-parts":[["2020"]]},"page":"1-19","title":"Effect of recycled iron powder as fine aggregate on the mechanical, durability, and high temperature behavior of mortars","type":"article-journal","volume":"13"},"uris":["http://www.mendeley.com/documents/?uuid=b6805f99-bd82-446d-94e6-8c2b43b6adbd"]}],"mendeley":{"formattedCitation":"(Miah et al., 2020)","plainTextFormattedCitation":"(Miah et al., 2020)","previouslyFormattedCitation":"(Miah et al., 2020)"},"properties":{"noteIndex":0},"schema":"https://github.com/citation-style-language/schema/raw/master/csl-citation.json"}</w:instrText>
      </w:r>
      <w:r w:rsidR="005D53A7">
        <w:rPr>
          <w:rFonts w:ascii="Constantia" w:eastAsia="Constantia" w:hAnsi="Constantia" w:cs="Constantia"/>
          <w:color w:val="000000"/>
          <w:sz w:val="20"/>
          <w:szCs w:val="20"/>
        </w:rPr>
        <w:fldChar w:fldCharType="separate"/>
      </w:r>
      <w:r w:rsidR="005D53A7" w:rsidRPr="005D53A7">
        <w:rPr>
          <w:rFonts w:ascii="Constantia" w:eastAsia="Constantia" w:hAnsi="Constantia" w:cs="Constantia"/>
          <w:noProof/>
          <w:color w:val="000000"/>
          <w:sz w:val="20"/>
          <w:szCs w:val="20"/>
        </w:rPr>
        <w:t>(Miah et al., 2020)</w:t>
      </w:r>
      <w:r w:rsidR="005D53A7">
        <w:rPr>
          <w:rFonts w:ascii="Constantia" w:eastAsia="Constantia" w:hAnsi="Constantia" w:cs="Constantia"/>
          <w:color w:val="000000"/>
          <w:sz w:val="20"/>
          <w:szCs w:val="20"/>
        </w:rPr>
        <w:fldChar w:fldCharType="end"/>
      </w:r>
      <w:r w:rsidR="005D53A7">
        <w:rPr>
          <w:rFonts w:ascii="Constantia" w:eastAsia="Constantia" w:hAnsi="Constantia" w:cs="Constantia"/>
          <w:color w:val="000000"/>
          <w:sz w:val="20"/>
          <w:szCs w:val="20"/>
        </w:rPr>
        <w:t>.</w:t>
      </w:r>
      <w:r w:rsidR="00D75B95">
        <w:rPr>
          <w:rFonts w:ascii="Constantia" w:eastAsia="Constantia" w:hAnsi="Constantia" w:cs="Constantia"/>
          <w:color w:val="000000"/>
          <w:sz w:val="20"/>
          <w:szCs w:val="20"/>
        </w:rPr>
        <w:t xml:space="preserve"> </w:t>
      </w:r>
      <w:r w:rsidR="00011D75" w:rsidRPr="00011D75">
        <w:rPr>
          <w:rFonts w:ascii="Constantia" w:eastAsia="Constantia" w:hAnsi="Constantia" w:cs="Constantia"/>
          <w:color w:val="000000"/>
          <w:sz w:val="20"/>
          <w:szCs w:val="20"/>
        </w:rPr>
        <w:t xml:space="preserve">The use of ferric oxide as partial cement replacement reduced the availability of active binding material, limiting the formation of hydration products, particularly C–S–H gel and portlandite, which reinforced the mortar structure. Consequently, compressive strength tended to decrease because the replacement material did not reactively contribute to the matrix </w:t>
      </w:r>
      <w:r w:rsidR="005D53A7">
        <w:rPr>
          <w:rFonts w:ascii="Constantia" w:eastAsia="Constantia" w:hAnsi="Constantia" w:cs="Constantia"/>
          <w:color w:val="000000"/>
          <w:sz w:val="20"/>
          <w:szCs w:val="20"/>
        </w:rPr>
        <w:fldChar w:fldCharType="begin" w:fldLock="1"/>
      </w:r>
      <w:r w:rsidR="005D53A7">
        <w:rPr>
          <w:rFonts w:ascii="Constantia" w:eastAsia="Constantia" w:hAnsi="Constantia" w:cs="Constantia"/>
          <w:color w:val="000000"/>
          <w:sz w:val="20"/>
          <w:szCs w:val="20"/>
        </w:rPr>
        <w:instrText>ADDIN CSL_CITATION {"citationItems":[{"id":"ITEM-1","itemData":{"DOI":"10.3390/buildings15173067","ISSN":"20755309","abstract":"The integration of recycled materials into cementitious systems presents a sustainable path to reducing environmental impact in construction. This study investigates the mechanical and durability performance of self-compacting mortars (SCMs) incorporating finely ground mortar waste powder (MWP) as a partial cement substitute, reinforced with aluminum oxide (Al2O3) and iron oxide (Fe2O3). Eleven mixes were designed with MWP replacing cement at 0–50% by volume. Fresh-state tests showed that slump flow decreased moderately (from 259 mm to 240 mm), while V-funnel times improved (from 10.51 s to 7.01 s), indicating acceptable flowability. The optimum performance was observed in SCM2 (5% MWP + oxides), which achieved 75.62 MPa compressive and 13.74 MPa flexural strength at 28 days, outperforming the control mix. Durability under high temperature and freeze–thaw cycling revealed that oxide-reinforced mixes exhibited superior strength retention, with SCM2 maintaining over 87 MPa after 300 °C exposure and minimal degradation after 100 freeze–thaw cycles. Porosity remained low (16.1%) at optimal replacement levels but increased significantly beyond 25% MWP. The results confirm that low-level MWP replacement, when reinforced with reactive oxides, provides a viable strategy for producing durable, high-performance, and eco-efficient SCMs.","author":[{"dropping-particle":"","family":"Hansu","given":"Osman","non-dropping-particle":"","parse-names":false,"suffix":""},{"dropping-particle":"","family":"Etli","given":"Serkan","non-dropping-particle":"","parse-names":false,"suffix":""}],"container-title":"Buildings","id":"ITEM-1","issue":"17","issued":{"date-parts":[["2025"]]},"page":"1-25","title":"Evaluation of the Usability of SCMs Produced by Adding Aluminum and Iron Oxide to Mortar Waste Powder Under Different Conditions","type":"article-journal","volume":"15"},"uris":["http://www.mendeley.com/documents/?uuid=914c59db-374f-4126-b426-925e67eedad2"]}],"mendeley":{"formattedCitation":"(Hansu &amp; Etli, 2025)","plainTextFormattedCitation":"(Hansu &amp; Etli, 2025)","previouslyFormattedCitation":"(Hansu &amp; Etli, 2025)"},"properties":{"noteIndex":0},"schema":"https://github.com/citation-style-language/schema/raw/master/csl-citation.json"}</w:instrText>
      </w:r>
      <w:r w:rsidR="005D53A7">
        <w:rPr>
          <w:rFonts w:ascii="Constantia" w:eastAsia="Constantia" w:hAnsi="Constantia" w:cs="Constantia"/>
          <w:color w:val="000000"/>
          <w:sz w:val="20"/>
          <w:szCs w:val="20"/>
        </w:rPr>
        <w:fldChar w:fldCharType="separate"/>
      </w:r>
      <w:r w:rsidR="005D53A7" w:rsidRPr="005D53A7">
        <w:rPr>
          <w:rFonts w:ascii="Constantia" w:eastAsia="Constantia" w:hAnsi="Constantia" w:cs="Constantia"/>
          <w:noProof/>
          <w:color w:val="000000"/>
          <w:sz w:val="20"/>
          <w:szCs w:val="20"/>
        </w:rPr>
        <w:t>(Hansu &amp; Etli, 2025)</w:t>
      </w:r>
      <w:r w:rsidR="005D53A7">
        <w:rPr>
          <w:rFonts w:ascii="Constantia" w:eastAsia="Constantia" w:hAnsi="Constantia" w:cs="Constantia"/>
          <w:color w:val="000000"/>
          <w:sz w:val="20"/>
          <w:szCs w:val="20"/>
        </w:rPr>
        <w:fldChar w:fldCharType="end"/>
      </w:r>
      <w:r w:rsidR="00D157CE">
        <w:rPr>
          <w:rFonts w:ascii="Constantia" w:eastAsia="Constantia" w:hAnsi="Constantia" w:cs="Constantia"/>
          <w:color w:val="000000"/>
          <w:sz w:val="20"/>
          <w:szCs w:val="20"/>
        </w:rPr>
        <w:t xml:space="preserve">. </w:t>
      </w:r>
      <w:r w:rsidR="00011D75" w:rsidRPr="00011D75">
        <w:rPr>
          <w:rFonts w:ascii="Constantia" w:eastAsia="Constantia" w:hAnsi="Constantia" w:cs="Constantia"/>
          <w:color w:val="000000"/>
          <w:sz w:val="20"/>
          <w:szCs w:val="20"/>
        </w:rPr>
        <w:t>The effectiveness of fillers in improving mechanical properties applied only up to a certain limit. Beyond the optimal dosage, excessive filler caused disturbances such as reduced active binder content, micro-cracking, and inhibited interaction among cement particles</w:t>
      </w:r>
      <w:r w:rsidR="001C35EF">
        <w:rPr>
          <w:rFonts w:ascii="Constantia" w:eastAsia="Constantia" w:hAnsi="Constantia" w:cs="Constantia"/>
          <w:color w:val="000000"/>
          <w:sz w:val="20"/>
          <w:szCs w:val="20"/>
        </w:rPr>
        <w:t xml:space="preserve"> </w:t>
      </w:r>
      <w:r w:rsidR="005D53A7">
        <w:rPr>
          <w:rFonts w:ascii="Constantia" w:eastAsia="Constantia" w:hAnsi="Constantia" w:cs="Constantia"/>
          <w:color w:val="000000"/>
          <w:sz w:val="20"/>
          <w:szCs w:val="20"/>
        </w:rPr>
        <w:fldChar w:fldCharType="begin" w:fldLock="1"/>
      </w:r>
      <w:r w:rsidR="00CB2DD3">
        <w:rPr>
          <w:rFonts w:ascii="Constantia" w:eastAsia="Constantia" w:hAnsi="Constantia" w:cs="Constantia"/>
          <w:color w:val="000000"/>
          <w:sz w:val="20"/>
          <w:szCs w:val="20"/>
        </w:rPr>
        <w:instrText>ADDIN CSL_CITATION {"citationItems":[{"id":"ITEM-1","itemData":{"DOI":"10.23918/eajse.v3i3p75","ISSN":"24145629","abstract":"The utilising of iron waste in concrete as a partial replacement of sand is attaining enormous significance nowadays, mostly because of the improvement in the strength of concrete and environmental benefits. The aim of this study is to assess the possibility of applying iron waste in different percentages (6%, 12%, 18%, 24%, and 30%) as fine aggregate replacement of sand to increase the strength of concrete. For this purpose, the mix proportion was designed as (1:2.12:2.37) for giving 33 MPa of compressive strength of concrete at 28 days of curing. In order to achieve the goal of the study, laboratory experiments, compressive strength, and flexural tensile strength were conducted to determine the influence of iron waste on the strength of concrete. Thus, based on this study, the progress of strength with the percentages of iron waste in different time was plotted. According to the results, it can be found that 12% of iron waste is more efficient than the other percentages in both compressive and flexural strength because it obtains the maximum strength in the shortest time, and it seems that increasing iron waste more than 12% leading to decrease the strength of the concrete.","author":[{"dropping-particle":"","family":"Noori","given":"Krikar M-gharrib","non-dropping-particle":"","parse-names":false,"suffix":""},{"dropping-particle":"","family":"Ibrahim","given":"Hawkar Hashim","non-dropping-particle":"","parse-names":false,"suffix":""}],"container-title":"Eurasian Journal of Science and Engineering","id":"ITEM-1","issue":"3","issued":{"date-parts":[["2018"]]},"page":"75-82","title":"Mechanical Properties of Concrete Using Iron Waste as a Partial Replacement of Sand","type":"article-journal","volume":"3"},"uris":["http://www.mendeley.com/documents/?uuid=f1e824bd-a99f-4556-8ed8-09de397cc799"]}],"mendeley":{"formattedCitation":"(Noori &amp; Ibrahim, 2018)","plainTextFormattedCitation":"(Noori &amp; Ibrahim, 2018)","previouslyFormattedCitation":"(Noori &amp; Ibrahim, 2018)"},"properties":{"noteIndex":0},"schema":"https://github.com/citation-style-language/schema/raw/master/csl-citation.json"}</w:instrText>
      </w:r>
      <w:r w:rsidR="005D53A7">
        <w:rPr>
          <w:rFonts w:ascii="Constantia" w:eastAsia="Constantia" w:hAnsi="Constantia" w:cs="Constantia"/>
          <w:color w:val="000000"/>
          <w:sz w:val="20"/>
          <w:szCs w:val="20"/>
        </w:rPr>
        <w:fldChar w:fldCharType="separate"/>
      </w:r>
      <w:r w:rsidR="005D53A7" w:rsidRPr="005D53A7">
        <w:rPr>
          <w:rFonts w:ascii="Constantia" w:eastAsia="Constantia" w:hAnsi="Constantia" w:cs="Constantia"/>
          <w:noProof/>
          <w:color w:val="000000"/>
          <w:sz w:val="20"/>
          <w:szCs w:val="20"/>
        </w:rPr>
        <w:t>(Noori &amp; Ibrahim, 2018)</w:t>
      </w:r>
      <w:r w:rsidR="005D53A7">
        <w:rPr>
          <w:rFonts w:ascii="Constantia" w:eastAsia="Constantia" w:hAnsi="Constantia" w:cs="Constantia"/>
          <w:color w:val="000000"/>
          <w:sz w:val="20"/>
          <w:szCs w:val="20"/>
        </w:rPr>
        <w:fldChar w:fldCharType="end"/>
      </w:r>
      <w:r w:rsidR="00957107">
        <w:rPr>
          <w:rFonts w:ascii="Constantia" w:eastAsia="Constantia" w:hAnsi="Constantia" w:cs="Constantia"/>
          <w:color w:val="000000"/>
          <w:sz w:val="20"/>
          <w:szCs w:val="20"/>
        </w:rPr>
        <w:t>.</w:t>
      </w:r>
      <w:r w:rsidR="00957107">
        <w:rPr>
          <w:rFonts w:ascii="Constantia" w:eastAsia="Constantia" w:hAnsi="Constantia" w:cs="Constantia"/>
          <w:color w:val="000000"/>
          <w:sz w:val="20"/>
          <w:szCs w:val="20"/>
        </w:rPr>
        <w:tab/>
      </w:r>
      <w:r w:rsidR="00FC7DD4" w:rsidRPr="00FC7DD4">
        <w:rPr>
          <w:rFonts w:ascii="Constantia" w:hAnsi="Constantia"/>
          <w:sz w:val="20"/>
          <w:szCs w:val="20"/>
          <w:lang w:eastAsia="zh-CN"/>
        </w:rPr>
        <w:t xml:space="preserve">The increase in flexural strength was attributed to the </w:t>
      </w:r>
      <w:r w:rsidR="00FC7DD4" w:rsidRPr="00FC7DD4">
        <w:rPr>
          <w:rFonts w:ascii="Constantia" w:hAnsi="Constantia"/>
          <w:sz w:val="20"/>
          <w:szCs w:val="20"/>
          <w:lang w:eastAsia="zh-CN"/>
        </w:rPr>
        <w:lastRenderedPageBreak/>
        <w:t xml:space="preserve">role of glass fibers as effective crack-bridging elements and the contribution of fine Fe₂O₃ particles as micro-fillers and C–S–H nucleation sites, which improved matrix density and strengthened the interfacial transition zone (ITZ). The synergy of these mechanisms enhanced flexural deformation, crack resistance, and toughness </w:t>
      </w:r>
      <w:r w:rsidR="00FC7DD4">
        <w:rPr>
          <w:rFonts w:ascii="Constantia" w:hAnsi="Constantia"/>
          <w:sz w:val="20"/>
          <w:szCs w:val="20"/>
          <w:lang w:eastAsia="zh-CN"/>
        </w:rPr>
        <w:t xml:space="preserve"> </w:t>
      </w:r>
      <w:r w:rsidR="00956C81">
        <w:rPr>
          <w:rFonts w:ascii="Constantia" w:hAnsi="Constantia"/>
          <w:sz w:val="20"/>
          <w:szCs w:val="20"/>
          <w:lang w:eastAsia="zh-CN"/>
        </w:rPr>
        <w:fldChar w:fldCharType="begin" w:fldLock="1"/>
      </w:r>
      <w:r w:rsidR="004E4437">
        <w:rPr>
          <w:rFonts w:ascii="Constantia" w:hAnsi="Constantia"/>
          <w:sz w:val="20"/>
          <w:szCs w:val="20"/>
          <w:lang w:eastAsia="zh-CN"/>
        </w:rPr>
        <w:instrText>ADDIN CSL_CITATION {"citationItems":[{"id":"ITEM-1","itemData":{"DOI":"10.1186/s40069-023-00583-7","ISSN":"22341315","abstract":"Eco-friendly and durability of material has been the focuses of different researches; however, limited are considered both the nanomaterial and byproduct. Therefore, the aimed of this study is to investigate the influence of nano-Fe2O3 (NF) on various properties of cement mortar with marble powder (MP) as supplementary cementitious material (SCM). Fresh and hardened properties of each mix were examined. The microstructure of hydrated blended cement mortars was evaluated by scanning electron microscopy and X-ray energy-dispersive techniques. The effect was evaluated using flow table, compressive, split tensile, and durability tests. In general, the MP dosage mixes showed increase in water content due to high fineness and NF increased the workability and rate of hydration. The refined pores and enhanced C–S–H gel formation showing better strength with NF than MP. The mechanical properties result compared to control specimens showed that (MP + NF &gt; NF &gt; MP &gt; Control). The optimal value MP and NF in cement mortar's strength and durability is 10% MP and 1% NA. The findings showed that the use of MP and NF in concrete technology as partial replacement of cement is effective and enhance the properties of cementitious composites.","author":[{"dropping-particle":"","family":"Jose","given":"Prakash Arul","non-dropping-particle":"","parse-names":false,"suffix":""},{"dropping-particle":"","family":"Alex","given":"Alexander Gladwin","non-dropping-particle":"","parse-names":false,"suffix":""},{"dropping-particle":"","family":"Gebrehiwet","given":"Tsegay","non-dropping-particle":"","parse-names":false,"suffix":""},{"dropping-particle":"","family":"Murugan","given":"Srinivasan","non-dropping-particle":"","parse-names":false,"suffix":""}],"container-title":"International Journal of Concrete Structures and Materials","id":"ITEM-1","issue":"1","issued":{"date-parts":[["2023"]]},"publisher":"Springer Nature Singapore","title":"Influence of Fe2O3 Nanoparticles on the Characteristics of Waste Marble Powder Mixed Cement Mortars","type":"article-journal","volume":"17"},"uris":["http://www.mendeley.com/documents/?uuid=afce3767-7160-402b-be1a-e469e690d60a"]}],"mendeley":{"formattedCitation":"(Jose et al., 2023)","plainTextFormattedCitation":"(Jose et al., 2023)","previouslyFormattedCitation":"(Jose et al., 2023)"},"properties":{"noteIndex":0},"schema":"https://github.com/citation-style-language/schema/raw/master/csl-citation.json"}</w:instrText>
      </w:r>
      <w:r w:rsidR="00956C81">
        <w:rPr>
          <w:rFonts w:ascii="Constantia" w:hAnsi="Constantia"/>
          <w:sz w:val="20"/>
          <w:szCs w:val="20"/>
          <w:lang w:eastAsia="zh-CN"/>
        </w:rPr>
        <w:fldChar w:fldCharType="separate"/>
      </w:r>
      <w:r w:rsidR="00956C81" w:rsidRPr="00956C81">
        <w:rPr>
          <w:rFonts w:ascii="Constantia" w:hAnsi="Constantia"/>
          <w:noProof/>
          <w:sz w:val="20"/>
          <w:szCs w:val="20"/>
          <w:lang w:eastAsia="zh-CN"/>
        </w:rPr>
        <w:t>(Jose et al., 2023)</w:t>
      </w:r>
      <w:r w:rsidR="00956C81">
        <w:rPr>
          <w:rFonts w:ascii="Constantia" w:hAnsi="Constantia"/>
          <w:sz w:val="20"/>
          <w:szCs w:val="20"/>
          <w:lang w:eastAsia="zh-CN"/>
        </w:rPr>
        <w:fldChar w:fldCharType="end"/>
      </w:r>
      <w:r w:rsidR="00956C81">
        <w:rPr>
          <w:rFonts w:ascii="Constantia" w:hAnsi="Constantia"/>
          <w:sz w:val="20"/>
          <w:szCs w:val="20"/>
          <w:lang w:eastAsia="zh-CN"/>
        </w:rPr>
        <w:t xml:space="preserve">. </w:t>
      </w:r>
      <w:r w:rsidR="004E4437" w:rsidRPr="004E4437">
        <w:rPr>
          <w:rFonts w:ascii="Constantia" w:hAnsi="Constantia"/>
          <w:sz w:val="20"/>
          <w:szCs w:val="20"/>
          <w:lang w:eastAsia="zh-CN"/>
        </w:rPr>
        <w:t xml:space="preserve">Factors contributing to reduced flexural strength included non-uniform dispersion of glass fibers during GRC casting, resulting in suboptimal fiber orientation, clumping, or ineffective fibers, thereby reducing flexural performance and crack resistance </w:t>
      </w:r>
      <w:r w:rsidR="004E4437">
        <w:rPr>
          <w:rFonts w:ascii="Constantia" w:hAnsi="Constantia"/>
          <w:sz w:val="20"/>
          <w:szCs w:val="20"/>
          <w:lang w:eastAsia="zh-CN"/>
        </w:rPr>
        <w:fldChar w:fldCharType="begin" w:fldLock="1"/>
      </w:r>
      <w:r w:rsidR="00F81EBD">
        <w:rPr>
          <w:rFonts w:ascii="Constantia" w:hAnsi="Constantia"/>
          <w:sz w:val="20"/>
          <w:szCs w:val="20"/>
          <w:lang w:eastAsia="zh-CN"/>
        </w:rPr>
        <w:instrText>ADDIN CSL_CITATION {"citationItems":[{"id":"ITEM-1","itemData":{"DOI":"10.1177/15589250241230765","ISSN":"15589250","abstract":"Glass fiber reinforced cement (GRC) incorporating foam has good thermal insulation. Micro pores not only lowered the strength of the cement matrix but also changed the friction between the fiber and the matrix. It has an influence on modulus of rupture (MOR) and fracture energy of GRC. In this work, the effect of the glass fiber and foam contents of GRC on the MOR and fracture energy were evaluated using four-point flexural tests. The results show that glass fiber content has little influence on MOR of GRC. However, the MOR decreased significantly with increasing foam content. The empirical formula summarized by experiments can well characterize the relationship between the MOR and density of foamed GRC. The content of glass fiber and foam has a significant influence on the fracture energy of GRC. The fracture energy of foamed GRC decreased with the decrease of dry bulk density, and the decrease was fast and then slow.","author":[{"dropping-particle":"","family":"Cheng","given":"Congmi","non-dropping-particle":"","parse-names":false,"suffix":""},{"dropping-particle":"","family":"He","given":"Juan","non-dropping-particle":"","parse-names":false,"suffix":""},{"dropping-particle":"","family":"Li","given":"Xiaosen","non-dropping-particle":"","parse-names":false,"suffix":""},{"dropping-particle":"","family":"Hong","given":"Silei","non-dropping-particle":"","parse-names":false,"suffix":""}],"container-title":"Journal of Engineered Fibers and Fabrics","id":"ITEM-1","issued":{"date-parts":[["2024"]]},"title":"Flexural behavior of glass fiber reinforced cement incorporating foam","type":"article-journal","volume":"19"},"uris":["http://www.mendeley.com/documents/?uuid=8afac106-de21-4cc8-9ac6-f0e5747cf19b"]}],"mendeley":{"formattedCitation":"(Cheng et al., 2024)","plainTextFormattedCitation":"(Cheng et al., 2024)","previouslyFormattedCitation":"(Cheng et al., 2024)"},"properties":{"noteIndex":0},"schema":"https://github.com/citation-style-language/schema/raw/master/csl-citation.json"}</w:instrText>
      </w:r>
      <w:r w:rsidR="004E4437">
        <w:rPr>
          <w:rFonts w:ascii="Constantia" w:hAnsi="Constantia"/>
          <w:sz w:val="20"/>
          <w:szCs w:val="20"/>
          <w:lang w:eastAsia="zh-CN"/>
        </w:rPr>
        <w:fldChar w:fldCharType="separate"/>
      </w:r>
      <w:r w:rsidR="004E4437" w:rsidRPr="004E4437">
        <w:rPr>
          <w:rFonts w:ascii="Constantia" w:hAnsi="Constantia"/>
          <w:noProof/>
          <w:sz w:val="20"/>
          <w:szCs w:val="20"/>
          <w:lang w:eastAsia="zh-CN"/>
        </w:rPr>
        <w:t>(Cheng et al., 2024)</w:t>
      </w:r>
      <w:r w:rsidR="004E4437">
        <w:rPr>
          <w:rFonts w:ascii="Constantia" w:hAnsi="Constantia"/>
          <w:sz w:val="20"/>
          <w:szCs w:val="20"/>
          <w:lang w:eastAsia="zh-CN"/>
        </w:rPr>
        <w:fldChar w:fldCharType="end"/>
      </w:r>
      <w:r w:rsidR="004E4437">
        <w:rPr>
          <w:rFonts w:ascii="Constantia" w:hAnsi="Constantia"/>
          <w:sz w:val="20"/>
          <w:szCs w:val="20"/>
          <w:lang w:eastAsia="zh-CN"/>
        </w:rPr>
        <w:t>.</w:t>
      </w:r>
      <w:r w:rsidR="00A0727C">
        <w:rPr>
          <w:rFonts w:ascii="Constantia" w:eastAsia="Constantia" w:hAnsi="Constantia" w:cs="Constantia"/>
          <w:color w:val="000000"/>
          <w:sz w:val="20"/>
          <w:szCs w:val="20"/>
        </w:rPr>
        <w:tab/>
      </w:r>
      <w:r w:rsidR="004E4437" w:rsidRPr="004E4437">
        <w:rPr>
          <w:rFonts w:ascii="Constantia" w:eastAsia="Constantia" w:hAnsi="Constantia" w:cs="Constantia"/>
          <w:color w:val="000000"/>
          <w:sz w:val="20"/>
          <w:szCs w:val="20"/>
        </w:rPr>
        <w:t>The increase in water absorption in mortars or concrete containing FO as a filler was due to increased porosity and reduced structural density. High FO content made the mixtures less homogeneous and more porous, facilitating water penetration</w:t>
      </w:r>
      <w:r w:rsidR="004E4437">
        <w:rPr>
          <w:rFonts w:ascii="Constantia" w:eastAsia="Constantia" w:hAnsi="Constantia" w:cs="Constantia"/>
          <w:color w:val="000000"/>
          <w:sz w:val="20"/>
          <w:szCs w:val="20"/>
        </w:rPr>
        <w:t xml:space="preserve"> </w:t>
      </w:r>
      <w:r w:rsidR="009B36FB">
        <w:rPr>
          <w:rFonts w:ascii="Constantia" w:hAnsi="Constantia"/>
          <w:sz w:val="20"/>
          <w:szCs w:val="20"/>
          <w:lang w:eastAsia="zh-CN"/>
        </w:rPr>
        <w:fldChar w:fldCharType="begin" w:fldLock="1"/>
      </w:r>
      <w:r w:rsidR="009B36FB">
        <w:rPr>
          <w:rFonts w:ascii="Constantia" w:hAnsi="Constantia"/>
          <w:sz w:val="20"/>
          <w:szCs w:val="20"/>
          <w:lang w:eastAsia="zh-CN"/>
        </w:rPr>
        <w:instrText>ADDIN CSL_CITATION {"citationItems":[{"id":"ITEM-1","itemData":{"author":[{"dropping-particle":"","family":"Pereira","given":"Fernanda Macedo","non-dropping-particle":"","parse-names":false,"suffix":""},{"dropping-particle":"","family":"Carlos","given":"José","non-dropping-particle":"","parse-names":false,"suffix":""},{"dropping-particle":"De","family":"Verney","given":"Krause","non-dropping-particle":"","parse-names":false,"suffix":""},{"dropping-particle":"","family":"Lenz","given":"Denise Maria","non-dropping-particle":"","parse-names":false,"suffix":""}],"id":"ITEM-1","issue":"4","issued":{"date-parts":[["2011"]]},"page":"463-469","title":"Evaluation of the Use of Mill Scale as Fine As Fine Aggregate in Concrete","type":"article-journal","volume":"64"},"uris":["http://www.mendeley.com/documents/?uuid=8f4f4011-6c47-4f0a-b567-00bdb284376a"]}],"mendeley":{"formattedCitation":"(Pereira et al., 2011)","plainTextFormattedCitation":"(Pereira et al., 2011)","previouslyFormattedCitation":"(Pereira et al., 2011)"},"properties":{"noteIndex":0},"schema":"https://github.com/citation-style-language/schema/raw/master/csl-citation.json"}</w:instrText>
      </w:r>
      <w:r w:rsidR="009B36FB">
        <w:rPr>
          <w:rFonts w:ascii="Constantia" w:hAnsi="Constantia"/>
          <w:sz w:val="20"/>
          <w:szCs w:val="20"/>
          <w:lang w:eastAsia="zh-CN"/>
        </w:rPr>
        <w:fldChar w:fldCharType="separate"/>
      </w:r>
      <w:r w:rsidR="009B36FB" w:rsidRPr="00760DED">
        <w:rPr>
          <w:rFonts w:ascii="Constantia" w:hAnsi="Constantia"/>
          <w:noProof/>
          <w:sz w:val="20"/>
          <w:szCs w:val="20"/>
          <w:lang w:eastAsia="zh-CN"/>
        </w:rPr>
        <w:t>(Pereira et al., 2011)</w:t>
      </w:r>
      <w:r w:rsidR="009B36FB">
        <w:rPr>
          <w:rFonts w:ascii="Constantia" w:hAnsi="Constantia"/>
          <w:sz w:val="20"/>
          <w:szCs w:val="20"/>
          <w:lang w:eastAsia="zh-CN"/>
        </w:rPr>
        <w:fldChar w:fldCharType="end"/>
      </w:r>
      <w:r w:rsidR="009B36FB">
        <w:rPr>
          <w:rFonts w:ascii="Constantia" w:hAnsi="Constantia"/>
          <w:sz w:val="20"/>
          <w:szCs w:val="20"/>
          <w:lang w:eastAsia="zh-CN"/>
        </w:rPr>
        <w:t xml:space="preserve">. </w:t>
      </w:r>
      <w:r w:rsidR="0043512D" w:rsidRPr="0043512D">
        <w:rPr>
          <w:rFonts w:ascii="Constantia" w:hAnsi="Constantia"/>
          <w:sz w:val="20"/>
          <w:szCs w:val="20"/>
          <w:lang w:eastAsia="zh-CN"/>
        </w:rPr>
        <w:t>oreover, FO was non-reactive to cement hydration, limiting the formation of dense interparticle bonds required to resist water ingress</w:t>
      </w:r>
      <w:r w:rsidR="0043512D">
        <w:rPr>
          <w:rFonts w:ascii="Constantia" w:hAnsi="Constantia"/>
          <w:sz w:val="20"/>
          <w:szCs w:val="20"/>
          <w:lang w:eastAsia="zh-CN"/>
        </w:rPr>
        <w:t xml:space="preserve"> </w:t>
      </w:r>
      <w:r w:rsidR="009B36FB">
        <w:rPr>
          <w:rFonts w:ascii="Constantia" w:hAnsi="Constantia"/>
          <w:sz w:val="20"/>
          <w:szCs w:val="20"/>
          <w:lang w:eastAsia="zh-CN"/>
        </w:rPr>
        <w:fldChar w:fldCharType="begin" w:fldLock="1"/>
      </w:r>
      <w:r w:rsidR="009B36FB">
        <w:rPr>
          <w:rFonts w:ascii="Constantia" w:hAnsi="Constantia"/>
          <w:sz w:val="20"/>
          <w:szCs w:val="20"/>
          <w:lang w:eastAsia="zh-CN"/>
        </w:rPr>
        <w:instrText>ADDIN CSL_CITATION {"citationItems":[{"id":"ITEM-1","itemData":{"DOI":"10.1016/j.cscm.2024.e03609","ISSN":"2214-5095","author":[{"dropping-particle":"","family":"Hassani","given":"Abolfazl","non-dropping-particle":"","parse-names":false,"suffix":""},{"dropping-particle":"","family":"Kazemian","given":"Farbod","non-dropping-particle":"","parse-names":false,"suffix":""}],"container-title":"Case Studies in Construction Materials","id":"ITEM-1","issue":"May","issued":{"date-parts":[["2024"]]},"page":"e03609","publisher":"Elsevier Ltd","title":"Case Studies in Construction Materials Investigating geopolymer mortar incorporating industrial waste using response surface methodology : A sustainable approach for construction materials","type":"article-journal","volume":"21"},"uris":["http://www.mendeley.com/documents/?uuid=444157b7-c214-48be-8bf4-525f6b468195"]}],"mendeley":{"formattedCitation":"(Hassani &amp; Kazemian, 2024)","plainTextFormattedCitation":"(Hassani &amp; Kazemian, 2024)","previouslyFormattedCitation":"(Hassani &amp; Kazemian, 2024)"},"properties":{"noteIndex":0},"schema":"https://github.com/citation-style-language/schema/raw/master/csl-citation.json"}</w:instrText>
      </w:r>
      <w:r w:rsidR="009B36FB">
        <w:rPr>
          <w:rFonts w:ascii="Constantia" w:hAnsi="Constantia"/>
          <w:sz w:val="20"/>
          <w:szCs w:val="20"/>
          <w:lang w:eastAsia="zh-CN"/>
        </w:rPr>
        <w:fldChar w:fldCharType="separate"/>
      </w:r>
      <w:r w:rsidR="009B36FB" w:rsidRPr="004A0E69">
        <w:rPr>
          <w:rFonts w:ascii="Constantia" w:hAnsi="Constantia"/>
          <w:noProof/>
          <w:sz w:val="20"/>
          <w:szCs w:val="20"/>
          <w:lang w:eastAsia="zh-CN"/>
        </w:rPr>
        <w:t>(Hassani &amp; Kazemian, 2024)</w:t>
      </w:r>
      <w:r w:rsidR="009B36FB">
        <w:rPr>
          <w:rFonts w:ascii="Constantia" w:hAnsi="Constantia"/>
          <w:sz w:val="20"/>
          <w:szCs w:val="20"/>
          <w:lang w:eastAsia="zh-CN"/>
        </w:rPr>
        <w:fldChar w:fldCharType="end"/>
      </w:r>
      <w:r w:rsidR="009B36FB">
        <w:rPr>
          <w:rFonts w:ascii="Constantia" w:hAnsi="Constantia"/>
          <w:sz w:val="20"/>
          <w:szCs w:val="20"/>
          <w:lang w:eastAsia="zh-CN"/>
        </w:rPr>
        <w:t xml:space="preserve">. </w:t>
      </w:r>
      <w:r w:rsidR="0043512D" w:rsidRPr="0043512D">
        <w:rPr>
          <w:rFonts w:ascii="Constantia" w:hAnsi="Constantia"/>
          <w:sz w:val="20"/>
          <w:szCs w:val="20"/>
          <w:lang w:eastAsia="zh-CN"/>
        </w:rPr>
        <w:t>Consequently, higher FO percentages as a partial cement replacement resulted in increased water absorption due to higher porosity and weaker interparticle bonding within the mortar or concrete matrix</w:t>
      </w:r>
      <w:r w:rsidR="009B36FB">
        <w:rPr>
          <w:rFonts w:ascii="Constantia" w:hAnsi="Constantia"/>
          <w:sz w:val="20"/>
          <w:szCs w:val="20"/>
          <w:lang w:eastAsia="zh-CN"/>
        </w:rPr>
        <w:t>.</w:t>
      </w:r>
      <w:r w:rsidR="00724988">
        <w:rPr>
          <w:rFonts w:ascii="Constantia" w:hAnsi="Constantia"/>
          <w:sz w:val="20"/>
          <w:szCs w:val="20"/>
          <w:lang w:eastAsia="zh-CN"/>
        </w:rPr>
        <w:t xml:space="preserve"> </w:t>
      </w:r>
      <w:r w:rsidR="001E128A" w:rsidRPr="001E128A">
        <w:rPr>
          <w:rFonts w:ascii="Constantia" w:hAnsi="Constantia"/>
          <w:sz w:val="20"/>
          <w:szCs w:val="20"/>
          <w:lang w:eastAsia="zh-CN"/>
        </w:rPr>
        <w:t xml:space="preserve">This increase in density was accompanied by a rise in water absorption from 5.2% to 9.3%. </w:t>
      </w:r>
    </w:p>
    <w:p w14:paraId="75AE167D" w14:textId="3D839323" w:rsidR="00F415C0" w:rsidRPr="00724988" w:rsidRDefault="001E128A" w:rsidP="00702C41">
      <w:pPr>
        <w:spacing w:after="0"/>
        <w:ind w:firstLine="720"/>
        <w:contextualSpacing/>
        <w:jc w:val="both"/>
        <w:rPr>
          <w:rFonts w:ascii="Constantia" w:hAnsi="Constantia"/>
          <w:sz w:val="20"/>
          <w:szCs w:val="20"/>
          <w:lang w:eastAsia="zh-CN"/>
        </w:rPr>
      </w:pPr>
      <w:r w:rsidRPr="001E128A">
        <w:rPr>
          <w:rFonts w:ascii="Constantia" w:hAnsi="Constantia"/>
          <w:sz w:val="20"/>
          <w:szCs w:val="20"/>
          <w:lang w:eastAsia="zh-CN"/>
        </w:rPr>
        <w:t xml:space="preserve">This phenomenon indicated that although the total density increased, the open porosity also increased. The rise in open porosity was likely caused by agglomeration of ferric oxide particles at high contents, creating micro-voids between agglomerates and enhancing water absorption capacity </w:t>
      </w:r>
      <w:r w:rsidR="00B6101B">
        <w:rPr>
          <w:rFonts w:ascii="Constantia" w:hAnsi="Constantia"/>
          <w:sz w:val="20"/>
          <w:szCs w:val="20"/>
          <w:lang w:eastAsia="zh-CN"/>
        </w:rPr>
        <w:fldChar w:fldCharType="begin" w:fldLock="1"/>
      </w:r>
      <w:r w:rsidR="00854062">
        <w:rPr>
          <w:rFonts w:ascii="Constantia" w:hAnsi="Constantia"/>
          <w:sz w:val="20"/>
          <w:szCs w:val="20"/>
          <w:lang w:eastAsia="zh-CN"/>
        </w:rPr>
        <w:instrText>ADDIN CSL_CITATION {"citationItems":[{"id":"ITEM-1","itemData":{"DOI":"10.3390/app12042211","ISSN":"20763417","abstract":"The capillary absorption capacity exerts an important effect on the durability of cement-based materials and is closely related to the pore structure. In this study, a variety of cement-based specimens were examined. The capillary water absorption and pore structure of the samples were determined using a gravimetric method and mercury intrusion porosimetry (MIP), respectively. The capillary water absorption coefficients for different water–binder ratios, diverse types and dosages of mineral admixtures, and various preloads were measured. The experimental results were analyzed and compared with data available in the current literature. The test results showed that the capillary water absorption performance of cement-based materials increased with an increasing water–binder ratio, first decreased and then increased with an increasing fly ash dosage, decreased with an increasing mineral power dosage, and decreased when the preload was less than a critical value and increased rapidly when the preload was greater than the critical value. The relationship between the capillary absorption coefficient and porosity was nearly linear. Water absorption by cement-based materials mainly correlated with pore diameters in the range of 10~1000 nm. The capillary water absorption coefficient increased continuously with the increase of pore fractal dimension.","author":[{"dropping-particle":"","family":"Wang","given":"Yue","non-dropping-particle":"","parse-names":false,"suffix":""},{"dropping-particle":"","family":"Li","given":"Liangshun","non-dropping-particle":"","parse-names":false,"suffix":""},{"dropping-particle":"","family":"An","given":"Mingzhe","non-dropping-particle":"","parse-names":false,"suffix":""},{"dropping-particle":"","family":"Sun","given":"Yifan","non-dropping-particle":"","parse-names":false,"suffix":""},{"dropping-particle":"","family":"Yu","given":"Ziruo","non-dropping-particle":"","parse-names":false,"suffix":""},{"dropping-particle":"","family":"Huang","given":"Hanfeng","non-dropping-particle":"","parse-names":false,"suffix":""}],"container-title":"Applied Sciences (Switzerland)","id":"ITEM-1","issue":"4","issued":{"date-parts":[["2022"]]},"title":"Factors Influencing the Capillary Water Absorption Characteristics of Concrete and Their Relationship to Pore Structure","type":"article-journal","volume":"12"},"uris":["http://www.mendeley.com/documents/?uuid=44d0572e-b442-4733-884a-962d2f199790"]}],"mendeley":{"formattedCitation":"(Wang et al., 2022)","plainTextFormattedCitation":"(Wang et al., 2022)","previouslyFormattedCitation":"(Wang et al., 2022)"},"properties":{"noteIndex":0},"schema":"https://github.com/citation-style-language/schema/raw/master/csl-citation.json"}</w:instrText>
      </w:r>
      <w:r w:rsidR="00B6101B">
        <w:rPr>
          <w:rFonts w:ascii="Constantia" w:hAnsi="Constantia"/>
          <w:sz w:val="20"/>
          <w:szCs w:val="20"/>
          <w:lang w:eastAsia="zh-CN"/>
        </w:rPr>
        <w:fldChar w:fldCharType="separate"/>
      </w:r>
      <w:r w:rsidR="00B6101B" w:rsidRPr="00B6101B">
        <w:rPr>
          <w:rFonts w:ascii="Constantia" w:hAnsi="Constantia"/>
          <w:noProof/>
          <w:sz w:val="20"/>
          <w:szCs w:val="20"/>
          <w:lang w:eastAsia="zh-CN"/>
        </w:rPr>
        <w:t>(Wang et al., 2022)</w:t>
      </w:r>
      <w:r w:rsidR="00B6101B">
        <w:rPr>
          <w:rFonts w:ascii="Constantia" w:hAnsi="Constantia"/>
          <w:sz w:val="20"/>
          <w:szCs w:val="20"/>
          <w:lang w:eastAsia="zh-CN"/>
        </w:rPr>
        <w:fldChar w:fldCharType="end"/>
      </w:r>
      <w:r w:rsidR="00107D37" w:rsidRPr="00107D37">
        <w:rPr>
          <w:rFonts w:ascii="Constantia" w:hAnsi="Constantia"/>
          <w:sz w:val="20"/>
          <w:szCs w:val="20"/>
          <w:lang w:eastAsia="zh-CN"/>
        </w:rPr>
        <w:t xml:space="preserve">. </w:t>
      </w:r>
      <w:r w:rsidR="000344B2" w:rsidRPr="000344B2">
        <w:rPr>
          <w:rFonts w:ascii="Constantia" w:hAnsi="Constantia"/>
          <w:sz w:val="20"/>
          <w:szCs w:val="20"/>
          <w:lang w:eastAsia="zh-CN"/>
        </w:rPr>
        <w:t>In other words, high density in this system did not fully represent reduced capillary voids, but rather reflected the increased material bulk density due to high ferric oxide content</w:t>
      </w:r>
      <w:r w:rsidR="000344B2">
        <w:rPr>
          <w:rFonts w:ascii="Constantia" w:hAnsi="Constantia"/>
          <w:sz w:val="20"/>
          <w:szCs w:val="20"/>
          <w:lang w:eastAsia="zh-CN"/>
        </w:rPr>
        <w:t>.</w:t>
      </w:r>
      <w:r w:rsidR="00813E3A">
        <w:rPr>
          <w:rFonts w:ascii="Constantia" w:hAnsi="Constantia"/>
          <w:sz w:val="20"/>
          <w:szCs w:val="20"/>
          <w:lang w:eastAsia="zh-CN"/>
        </w:rPr>
        <w:tab/>
      </w:r>
      <w:r w:rsidR="00813E3A">
        <w:rPr>
          <w:rFonts w:ascii="Constantia" w:hAnsi="Constantia"/>
          <w:sz w:val="20"/>
          <w:szCs w:val="20"/>
          <w:lang w:eastAsia="zh-CN"/>
        </w:rPr>
        <w:tab/>
      </w:r>
      <w:r w:rsidR="00F415C0" w:rsidRPr="00F828F9">
        <w:rPr>
          <w:rFonts w:ascii="Constantia" w:hAnsi="Constantia"/>
          <w:sz w:val="20"/>
          <w:szCs w:val="20"/>
          <w:lang w:eastAsia="zh-CN"/>
        </w:rPr>
        <w:t xml:space="preserve"> </w:t>
      </w:r>
    </w:p>
    <w:p w14:paraId="2EC02EDA" w14:textId="474A71D2" w:rsidR="00C32259" w:rsidRPr="00C32259" w:rsidRDefault="00FA1D7C" w:rsidP="00C32259">
      <w:pPr>
        <w:ind w:firstLine="720"/>
        <w:jc w:val="center"/>
        <w:rPr>
          <w:rFonts w:ascii="Constantia" w:hAnsi="Constantia"/>
          <w:sz w:val="20"/>
          <w:szCs w:val="20"/>
          <w:lang w:eastAsia="zh-CN"/>
        </w:rPr>
      </w:pPr>
      <w:r>
        <w:rPr>
          <w:rFonts w:ascii="Constantia" w:hAnsi="Constantia"/>
          <w:noProof/>
          <w:sz w:val="20"/>
          <w:szCs w:val="20"/>
          <w:lang w:eastAsia="zh-CN"/>
        </w:rPr>
        <w:drawing>
          <wp:inline distT="0" distB="0" distL="0" distR="0" wp14:anchorId="4EE5EC5E" wp14:editId="6AAF9ECA">
            <wp:extent cx="4235291" cy="3240000"/>
            <wp:effectExtent l="19050" t="19050" r="13335" b="17780"/>
            <wp:docPr id="456299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35291" cy="3240000"/>
                    </a:xfrm>
                    <a:prstGeom prst="rect">
                      <a:avLst/>
                    </a:prstGeom>
                    <a:noFill/>
                    <a:ln>
                      <a:solidFill>
                        <a:schemeClr val="tx1"/>
                      </a:solidFill>
                    </a:ln>
                  </pic:spPr>
                </pic:pic>
              </a:graphicData>
            </a:graphic>
          </wp:inline>
        </w:drawing>
      </w:r>
    </w:p>
    <w:p w14:paraId="62E4917B" w14:textId="05160A97" w:rsidR="00F415C0" w:rsidRDefault="00423536" w:rsidP="00423536">
      <w:pPr>
        <w:ind w:firstLine="1985"/>
        <w:jc w:val="both"/>
        <w:rPr>
          <w:rFonts w:ascii="Constantia" w:hAnsi="Constantia"/>
          <w:sz w:val="20"/>
          <w:szCs w:val="20"/>
          <w:lang w:eastAsia="zh-CN"/>
        </w:rPr>
      </w:pPr>
      <w:r w:rsidRPr="00423536">
        <w:rPr>
          <w:rFonts w:ascii="Constantia" w:hAnsi="Constantia"/>
          <w:b/>
          <w:bCs/>
          <w:sz w:val="20"/>
          <w:szCs w:val="20"/>
          <w:lang w:eastAsia="zh-CN"/>
        </w:rPr>
        <w:t>Figure 7</w:t>
      </w:r>
      <w:r w:rsidRPr="00423536">
        <w:rPr>
          <w:rFonts w:ascii="Constantia" w:hAnsi="Constantia"/>
          <w:sz w:val="20"/>
          <w:szCs w:val="20"/>
          <w:lang w:eastAsia="zh-CN"/>
        </w:rPr>
        <w:t>. Particle Size Distribution (PSD) of Ferric Oxide and PCC</w:t>
      </w:r>
    </w:p>
    <w:p w14:paraId="7FE20219" w14:textId="77777777" w:rsidR="00724988" w:rsidRDefault="00F81EBD" w:rsidP="00702C41">
      <w:pPr>
        <w:spacing w:after="0"/>
        <w:ind w:firstLine="720"/>
        <w:contextualSpacing/>
        <w:jc w:val="both"/>
        <w:rPr>
          <w:rFonts w:ascii="Constantia" w:hAnsi="Constantia"/>
          <w:sz w:val="20"/>
          <w:szCs w:val="20"/>
          <w:lang w:eastAsia="zh-CN"/>
        </w:rPr>
      </w:pPr>
      <w:r w:rsidRPr="00F81EBD">
        <w:rPr>
          <w:rFonts w:ascii="Constantia" w:hAnsi="Constantia"/>
          <w:sz w:val="20"/>
          <w:szCs w:val="20"/>
          <w:lang w:eastAsia="zh-CN"/>
        </w:rPr>
        <w:t xml:space="preserve">The particle size distribution played a critical role in determining the mechanical and physical properties of GRC. The results showed that ferric oxide (FO) and PCC particles exhibited size variations capable of forming a more efficient packing density. Fine particles filled the voids between larger particles, thereby reducing the empty space within the matrix. This condition produced a denser microstructure and a stronger interfacial transition zone (ITZ), which enhanced flexural strength by making crack initiation more difficult and hindering crack propagation through a crack-bridging mechanism reinforced by glass fibers </w:t>
      </w:r>
      <w:r>
        <w:rPr>
          <w:rFonts w:ascii="Constantia" w:hAnsi="Constantia"/>
          <w:sz w:val="20"/>
          <w:szCs w:val="20"/>
          <w:lang w:eastAsia="zh-CN"/>
        </w:rPr>
        <w:fldChar w:fldCharType="begin" w:fldLock="1"/>
      </w:r>
      <w:r w:rsidR="00B6101B">
        <w:rPr>
          <w:rFonts w:ascii="Constantia" w:hAnsi="Constantia"/>
          <w:sz w:val="20"/>
          <w:szCs w:val="20"/>
          <w:lang w:eastAsia="zh-CN"/>
        </w:rPr>
        <w:instrText>ADDIN CSL_CITATION {"citationItems":[{"id":"ITEM-1","itemData":{"DOI":"10.1007/978-3-030-51485-3_31","ISBN":"9783030514846","ISSN":"22110852","abstract":"Concrete is a widely used construction material all over the world. Increasing the cement content in concrete leads to increase in the CO2 emission which ultimately contributes to global warming. In order to increase the strength and durability of concrete without increasing the cement content becomes important. The solution to this problem lies in the packing density. According to the previous researches, for reduction in voids, ultra-fine pozzolanic materials should be added to form a dense cement paste to achieve a higher packing density. Addition of mineral admixtures can minimize the porosity of concrete and improve the microstructure, which leads to improve the mechanical properties of concrete. This paper presents an experimental approach for packing density measurement of ternary, quaternary and quinary mix. Mixtures are made with the inclusion of rice husk ash, fly ash, metakaolin, and ultra-fine slag as a replacement of Ordinary Portland Cement. Packing density of the ternary, quaternary and quinary cementitious blends were studied using the Punkte test method, wet packing test method and Relative Density Index (β) method respectively. Results indicated maximum packing density obtained by the replacement of cement by mineral admixtures varied between 25 and 30% in ternary, quaternary and quinary mixtures.","author":[{"dropping-particle":"","family":"Singh","given":"Bhawani","non-dropping-particle":"","parse-names":false,"suffix":""},{"dropping-particle":"","family":"Pathania","given":"Akanksha","non-dropping-particle":"","parse-names":false,"suffix":""},{"dropping-particle":"","family":"Gupta","given":"Mitali","non-dropping-particle":"","parse-names":false,"suffix":""},{"dropping-particle":"","family":"Saini","given":"Ankush","non-dropping-particle":"","parse-names":false,"suffix":""},{"dropping-particle":"","family":"Shukla","given":"Abhilash","non-dropping-particle":"","parse-names":false,"suffix":""}],"container-title":"RILEM Bookseries","id":"ITEM-1","issue":"January","issued":{"date-parts":[["2021"]]},"page":"465-482","title":"Influence of the Packing Density of Fine Particles in Ternary, Quaternary and Quinary Blends on High Performance Concrete","type":"article-journal","volume":"29"},"uris":["http://www.mendeley.com/documents/?uuid=7cce71c5-cc66-4b4e-8764-7f7f14b9bcf9"]}],"mendeley":{"formattedCitation":"(Singh et al., 2021)","plainTextFormattedCitation":"(Singh et al., 2021)","previouslyFormattedCitation":"(Singh et al., 2021)"},"properties":{"noteIndex":0},"schema":"https://github.com/citation-style-language/schema/raw/master/csl-citation.json"}</w:instrText>
      </w:r>
      <w:r>
        <w:rPr>
          <w:rFonts w:ascii="Constantia" w:hAnsi="Constantia"/>
          <w:sz w:val="20"/>
          <w:szCs w:val="20"/>
          <w:lang w:eastAsia="zh-CN"/>
        </w:rPr>
        <w:fldChar w:fldCharType="separate"/>
      </w:r>
      <w:r w:rsidRPr="00F81EBD">
        <w:rPr>
          <w:rFonts w:ascii="Constantia" w:hAnsi="Constantia"/>
          <w:noProof/>
          <w:sz w:val="20"/>
          <w:szCs w:val="20"/>
          <w:lang w:eastAsia="zh-CN"/>
        </w:rPr>
        <w:t>(Singh et al., 2021)</w:t>
      </w:r>
      <w:r>
        <w:rPr>
          <w:rFonts w:ascii="Constantia" w:hAnsi="Constantia"/>
          <w:sz w:val="20"/>
          <w:szCs w:val="20"/>
          <w:lang w:eastAsia="zh-CN"/>
        </w:rPr>
        <w:fldChar w:fldCharType="end"/>
      </w:r>
      <w:r>
        <w:rPr>
          <w:rFonts w:ascii="Constantia" w:hAnsi="Constantia"/>
          <w:sz w:val="20"/>
          <w:szCs w:val="20"/>
          <w:lang w:eastAsia="zh-CN"/>
        </w:rPr>
        <w:t>.</w:t>
      </w:r>
      <w:r w:rsidR="00724988">
        <w:rPr>
          <w:rFonts w:ascii="Constantia" w:hAnsi="Constantia"/>
          <w:sz w:val="20"/>
          <w:szCs w:val="20"/>
          <w:lang w:eastAsia="zh-CN"/>
        </w:rPr>
        <w:t xml:space="preserve"> </w:t>
      </w:r>
      <w:r w:rsidR="00340C74" w:rsidRPr="00340C74">
        <w:rPr>
          <w:rFonts w:ascii="Constantia" w:hAnsi="Constantia"/>
          <w:sz w:val="20"/>
          <w:szCs w:val="20"/>
          <w:lang w:eastAsia="zh-CN"/>
        </w:rPr>
        <w:t xml:space="preserve">The increase in packing density significantly influenced the mechanical properties of the composite material. Optimal packing density resulted in a particle distribution that maximized space-filling, reducing porosity. The reduction in porosity directly contributed to increases in compressive and flexural strength by improving stress transfer between particles and minimizing voids </w:t>
      </w:r>
      <w:r w:rsidR="00340C74" w:rsidRPr="00340C74">
        <w:rPr>
          <w:rFonts w:ascii="Constantia" w:hAnsi="Constantia"/>
          <w:sz w:val="20"/>
          <w:szCs w:val="20"/>
          <w:lang w:eastAsia="zh-CN"/>
        </w:rPr>
        <w:lastRenderedPageBreak/>
        <w:t>that could serve as crack initiation points</w:t>
      </w:r>
      <w:r w:rsidR="008150E4" w:rsidRPr="008338FE">
        <w:rPr>
          <w:rFonts w:ascii="Constantia" w:hAnsi="Constantia"/>
          <w:sz w:val="20"/>
          <w:szCs w:val="20"/>
          <w:lang w:eastAsia="zh-CN"/>
        </w:rPr>
        <w:t xml:space="preserve"> </w:t>
      </w:r>
      <w:r w:rsidR="00CB2DD3">
        <w:rPr>
          <w:rFonts w:ascii="Constantia" w:hAnsi="Constantia"/>
          <w:sz w:val="20"/>
          <w:szCs w:val="20"/>
          <w:lang w:eastAsia="zh-CN"/>
        </w:rPr>
        <w:fldChar w:fldCharType="begin" w:fldLock="1"/>
      </w:r>
      <w:r w:rsidR="00CB2DD3">
        <w:rPr>
          <w:rFonts w:ascii="Constantia" w:hAnsi="Constantia"/>
          <w:sz w:val="20"/>
          <w:szCs w:val="20"/>
          <w:lang w:eastAsia="zh-CN"/>
        </w:rPr>
        <w:instrText>ADDIN CSL_CITATION {"citationItems":[{"id":"ITEM-1","itemData":{"ISBN":"0071589198","abstract":"The most comprehensive and current guide to the properties, behavior, and technology of concrete. This thoroughly updated edition contains new information on: • Recently built construction projects worldwide • Shrinkage-reducing admixtures • Self-consolidating concrete, pervious concrete, internal curing, and other cutting-edge innovations • Modeling of ice formation and alkali-aggregate reaction in concrete • Environmental impact of concrete Each chapter begins with a preview of the contents and ends with a self-test and a guide for further reading. More than 300 drawings and photographs illustrate the topics discussed in this definitive text on concrete.","author":[{"dropping-particle":"","family":"Mehta","given":"P. Kumar","non-dropping-particle":"","parse-names":false,"suffix":""},{"dropping-particle":"","family":"Monteiro","given":"Paulo J. M.","non-dropping-particle":"","parse-names":false,"suffix":""}],"container-title":"Concrete: Microstructure, Properties, and Materials","id":"ITEM-1","issued":{"date-parts":[["2014"]]},"number-of-pages":"397-401","title":"Theoretical concepts of stress wave propagation in solids","type":"book"},"uris":["http://www.mendeley.com/documents/?uuid=45f67c8a-d817-490e-b215-623ab447ef2e"]}],"mendeley":{"formattedCitation":"(Mehta &amp; Monteiro, 2014)","plainTextFormattedCitation":"(Mehta &amp; Monteiro, 2014)"},"properties":{"noteIndex":0},"schema":"https://github.com/citation-style-language/schema/raw/master/csl-citation.json"}</w:instrText>
      </w:r>
      <w:r w:rsidR="00CB2DD3">
        <w:rPr>
          <w:rFonts w:ascii="Constantia" w:hAnsi="Constantia"/>
          <w:sz w:val="20"/>
          <w:szCs w:val="20"/>
          <w:lang w:eastAsia="zh-CN"/>
        </w:rPr>
        <w:fldChar w:fldCharType="separate"/>
      </w:r>
      <w:r w:rsidR="00CB2DD3" w:rsidRPr="00CB2DD3">
        <w:rPr>
          <w:rFonts w:ascii="Constantia" w:hAnsi="Constantia"/>
          <w:noProof/>
          <w:sz w:val="20"/>
          <w:szCs w:val="20"/>
          <w:lang w:eastAsia="zh-CN"/>
        </w:rPr>
        <w:t>(Mehta &amp; Monteiro, 2014)</w:t>
      </w:r>
      <w:r w:rsidR="00CB2DD3">
        <w:rPr>
          <w:rFonts w:ascii="Constantia" w:hAnsi="Constantia"/>
          <w:sz w:val="20"/>
          <w:szCs w:val="20"/>
          <w:lang w:eastAsia="zh-CN"/>
        </w:rPr>
        <w:fldChar w:fldCharType="end"/>
      </w:r>
      <w:r w:rsidR="008150E4" w:rsidRPr="008338FE">
        <w:rPr>
          <w:rFonts w:ascii="Constantia" w:hAnsi="Constantia"/>
          <w:sz w:val="20"/>
          <w:szCs w:val="20"/>
          <w:lang w:eastAsia="zh-CN"/>
        </w:rPr>
        <w:t xml:space="preserve">. </w:t>
      </w:r>
      <w:r w:rsidR="00340C74" w:rsidRPr="00340C74">
        <w:rPr>
          <w:rFonts w:ascii="Constantia" w:hAnsi="Constantia"/>
          <w:sz w:val="20"/>
          <w:szCs w:val="20"/>
          <w:lang w:eastAsia="zh-CN"/>
        </w:rPr>
        <w:t>Conversely, an imbalanced particle size distribution caused micro-voids to form, increasing porosity and decreasing interparticle bond efficiency, which was reflected in the decreased compressive and flexural strength of FO0.3 and FO0.4 mixtures.</w:t>
      </w:r>
      <w:r w:rsidR="00724988">
        <w:rPr>
          <w:rFonts w:ascii="Constantia" w:hAnsi="Constantia"/>
          <w:sz w:val="20"/>
          <w:szCs w:val="20"/>
          <w:lang w:eastAsia="zh-CN"/>
        </w:rPr>
        <w:t xml:space="preserve"> </w:t>
      </w:r>
    </w:p>
    <w:p w14:paraId="6ACC7263" w14:textId="6D05502F" w:rsidR="008338FE" w:rsidRDefault="00340C74" w:rsidP="00702C41">
      <w:pPr>
        <w:spacing w:after="0"/>
        <w:ind w:firstLine="720"/>
        <w:contextualSpacing/>
        <w:jc w:val="both"/>
        <w:rPr>
          <w:rFonts w:ascii="Constantia" w:hAnsi="Constantia"/>
          <w:sz w:val="20"/>
          <w:szCs w:val="20"/>
          <w:lang w:eastAsia="zh-CN"/>
        </w:rPr>
      </w:pPr>
      <w:r w:rsidRPr="00340C74">
        <w:rPr>
          <w:rFonts w:ascii="Constantia" w:hAnsi="Constantia"/>
          <w:sz w:val="20"/>
          <w:szCs w:val="20"/>
          <w:lang w:eastAsia="zh-CN"/>
        </w:rPr>
        <w:t>Furthermore, higher packing density also affected physical properties, particularly water absorption. A denser matrix reduced open pores and capillary transport pathways, resulting in significantly lower water absorption. Reduced porosity restricted water penetration, ultimately enhancing resistance against wet–dry cycle degradation. These findings aligned with</w:t>
      </w:r>
      <w:r>
        <w:rPr>
          <w:rFonts w:ascii="Constantia" w:hAnsi="Constantia"/>
          <w:sz w:val="20"/>
          <w:szCs w:val="20"/>
          <w:lang w:eastAsia="zh-CN"/>
        </w:rPr>
        <w:t xml:space="preserve"> </w:t>
      </w:r>
      <w:r w:rsidR="00D0667E" w:rsidRPr="00D0667E">
        <w:rPr>
          <w:rFonts w:ascii="Constantia" w:hAnsi="Constantia"/>
          <w:sz w:val="20"/>
          <w:szCs w:val="20"/>
          <w:lang w:eastAsia="zh-CN"/>
        </w:rPr>
        <w:t>Neville (2011)</w:t>
      </w:r>
      <w:r w:rsidR="002E77E5">
        <w:rPr>
          <w:rFonts w:ascii="Constantia" w:hAnsi="Constantia"/>
          <w:sz w:val="20"/>
          <w:szCs w:val="20"/>
          <w:lang w:eastAsia="zh-CN"/>
        </w:rPr>
        <w:t xml:space="preserve">, </w:t>
      </w:r>
      <w:r w:rsidR="00084B47" w:rsidRPr="00084B47">
        <w:rPr>
          <w:rFonts w:ascii="Constantia" w:hAnsi="Constantia"/>
          <w:sz w:val="20"/>
          <w:szCs w:val="20"/>
          <w:lang w:eastAsia="zh-CN"/>
        </w:rPr>
        <w:t>who emphasized a negative correlation between matrix density and water absorption, where fine fillers effectively reduced capillarity in the cement paste</w:t>
      </w:r>
      <w:r w:rsidR="00D0667E" w:rsidRPr="00D0667E">
        <w:rPr>
          <w:rFonts w:ascii="Constantia" w:hAnsi="Constantia"/>
          <w:sz w:val="20"/>
          <w:szCs w:val="20"/>
          <w:lang w:eastAsia="zh-CN"/>
        </w:rPr>
        <w:t>.</w:t>
      </w:r>
      <w:r w:rsidR="00084B47">
        <w:rPr>
          <w:rFonts w:ascii="Constantia" w:hAnsi="Constantia"/>
          <w:sz w:val="20"/>
          <w:szCs w:val="20"/>
          <w:lang w:eastAsia="zh-CN"/>
        </w:rPr>
        <w:t xml:space="preserve"> </w:t>
      </w:r>
      <w:r w:rsidR="00084B47" w:rsidRPr="00084B47">
        <w:rPr>
          <w:rFonts w:ascii="Constantia" w:hAnsi="Constantia"/>
          <w:sz w:val="20"/>
          <w:szCs w:val="20"/>
          <w:lang w:eastAsia="zh-CN"/>
        </w:rPr>
        <w:t>The positive effects of well-distributed particles were also observed in dry and wet density. When voids between particles were optimally filled by a combination of large and small particles, the material’s bulk density increased. Higher dry density indicated a reduction in internal void volume, while higher wet density suggested that the material could better maintain structural integrity when saturated. These observations were consistent with</w:t>
      </w:r>
      <w:r w:rsidR="00084B47">
        <w:rPr>
          <w:rFonts w:ascii="Constantia" w:hAnsi="Constantia"/>
          <w:sz w:val="20"/>
          <w:szCs w:val="20"/>
          <w:lang w:eastAsia="zh-CN"/>
        </w:rPr>
        <w:t xml:space="preserve"> </w:t>
      </w:r>
      <w:r w:rsidR="004E3C8B">
        <w:rPr>
          <w:rFonts w:ascii="Constantia" w:hAnsi="Constantia"/>
          <w:sz w:val="20"/>
          <w:szCs w:val="20"/>
          <w:lang w:eastAsia="zh-CN"/>
        </w:rPr>
        <w:fldChar w:fldCharType="begin" w:fldLock="1"/>
      </w:r>
      <w:r w:rsidR="00220CDC">
        <w:rPr>
          <w:rFonts w:ascii="Constantia" w:hAnsi="Constantia"/>
          <w:sz w:val="20"/>
          <w:szCs w:val="20"/>
          <w:lang w:eastAsia="zh-CN"/>
        </w:rPr>
        <w:instrText>ADDIN CSL_CITATION {"citationItems":[{"id":"ITEM-1","itemData":{"DOI":"10.3390/buildings15173067","ISSN":"20755309","abstract":"The integration of recycled materials into cementitious systems presents a sustainable path to reducing environmental impact in construction. This study investigates the mechanical and durability performance of self-compacting mortars (SCMs) incorporating finely ground mortar waste powder (MWP) as a partial cement substitute, reinforced with aluminum oxide (Al2O3) and iron oxide (Fe2O3). Eleven mixes were designed with MWP replacing cement at 0–50% by volume. Fresh-state tests showed that slump flow decreased moderately (from 259 mm to 240 mm), while V-funnel times improved (from 10.51 s to 7.01 s), indicating acceptable flowability. The optimum performance was observed in SCM2 (5% MWP + oxides), which achieved 75.62 MPa compressive and 13.74 MPa flexural strength at 28 days, outperforming the control mix. Durability under high temperature and freeze–thaw cycling revealed that oxide-reinforced mixes exhibited superior strength retention, with SCM2 maintaining over 87 MPa after 300 °C exposure and minimal degradation after 100 freeze–thaw cycles. Porosity remained low (16.1%) at optimal replacement levels but increased significantly beyond 25% MWP. The results confirm that low-level MWP replacement, when reinforced with reactive oxides, provides a viable strategy for producing durable, high-performance, and eco-efficient SCMs.","author":[{"dropping-particle":"","family":"Hansu","given":"Osman","non-dropping-particle":"","parse-names":false,"suffix":""},{"dropping-particle":"","family":"Etli","given":"Serkan","non-dropping-particle":"","parse-names":false,"suffix":""}],"container-title":"Buildings","id":"ITEM-1","issue":"17","issued":{"date-parts":[["2025"]]},"page":"1-25","title":"Evaluation of the Usability of SCMs Produced by Adding Aluminum and Iron Oxide to Mortar Waste Powder Under Different Conditions","type":"article-journal","volume":"15"},"uris":["http://www.mendeley.com/documents/?uuid=914c59db-374f-4126-b426-925e67eedad2"]}],"mendeley":{"formattedCitation":"(Hansu &amp; Etli, 2025)","manualFormatting":"Hansu dan Etli, (2025)","plainTextFormattedCitation":"(Hansu &amp; Etli, 2025)","previouslyFormattedCitation":"(Hansu &amp; Etli, 2025)"},"properties":{"noteIndex":0},"schema":"https://github.com/citation-style-language/schema/raw/master/csl-citation.json"}</w:instrText>
      </w:r>
      <w:r w:rsidR="004E3C8B">
        <w:rPr>
          <w:rFonts w:ascii="Constantia" w:hAnsi="Constantia"/>
          <w:sz w:val="20"/>
          <w:szCs w:val="20"/>
          <w:lang w:eastAsia="zh-CN"/>
        </w:rPr>
        <w:fldChar w:fldCharType="separate"/>
      </w:r>
      <w:r w:rsidR="004E3C8B" w:rsidRPr="004E3C8B">
        <w:rPr>
          <w:rFonts w:ascii="Constantia" w:hAnsi="Constantia"/>
          <w:noProof/>
          <w:sz w:val="20"/>
          <w:szCs w:val="20"/>
          <w:lang w:eastAsia="zh-CN"/>
        </w:rPr>
        <w:t xml:space="preserve">Hansu </w:t>
      </w:r>
      <w:r w:rsidR="004E3C8B">
        <w:rPr>
          <w:rFonts w:ascii="Constantia" w:hAnsi="Constantia"/>
          <w:noProof/>
          <w:sz w:val="20"/>
          <w:szCs w:val="20"/>
          <w:lang w:eastAsia="zh-CN"/>
        </w:rPr>
        <w:t>dan</w:t>
      </w:r>
      <w:r w:rsidR="004E3C8B" w:rsidRPr="004E3C8B">
        <w:rPr>
          <w:rFonts w:ascii="Constantia" w:hAnsi="Constantia"/>
          <w:noProof/>
          <w:sz w:val="20"/>
          <w:szCs w:val="20"/>
          <w:lang w:eastAsia="zh-CN"/>
        </w:rPr>
        <w:t xml:space="preserve"> Etli, </w:t>
      </w:r>
      <w:r w:rsidR="004E3C8B">
        <w:rPr>
          <w:rFonts w:ascii="Constantia" w:hAnsi="Constantia"/>
          <w:noProof/>
          <w:sz w:val="20"/>
          <w:szCs w:val="20"/>
          <w:lang w:eastAsia="zh-CN"/>
        </w:rPr>
        <w:t>(</w:t>
      </w:r>
      <w:r w:rsidR="004E3C8B" w:rsidRPr="004E3C8B">
        <w:rPr>
          <w:rFonts w:ascii="Constantia" w:hAnsi="Constantia"/>
          <w:noProof/>
          <w:sz w:val="20"/>
          <w:szCs w:val="20"/>
          <w:lang w:eastAsia="zh-CN"/>
        </w:rPr>
        <w:t>2025)</w:t>
      </w:r>
      <w:r w:rsidR="004E3C8B">
        <w:rPr>
          <w:rFonts w:ascii="Constantia" w:hAnsi="Constantia"/>
          <w:sz w:val="20"/>
          <w:szCs w:val="20"/>
          <w:lang w:eastAsia="zh-CN"/>
        </w:rPr>
        <w:fldChar w:fldCharType="end"/>
      </w:r>
      <w:r w:rsidR="00D0667E" w:rsidRPr="00D0667E">
        <w:rPr>
          <w:rFonts w:ascii="Constantia" w:hAnsi="Constantia"/>
          <w:sz w:val="20"/>
          <w:szCs w:val="20"/>
          <w:lang w:eastAsia="zh-CN"/>
        </w:rPr>
        <w:t xml:space="preserve">, </w:t>
      </w:r>
      <w:r w:rsidR="00084B47" w:rsidRPr="00084B47">
        <w:rPr>
          <w:rFonts w:ascii="Constantia" w:hAnsi="Constantia"/>
          <w:sz w:val="20"/>
          <w:szCs w:val="20"/>
          <w:lang w:eastAsia="zh-CN"/>
        </w:rPr>
        <w:t>who reported that improved packing density directly increased the bulk density of cementitious materials. Therefore, a strong correlation existed between particle size distribution, flexural strength, water absorption, and density through the packing density mechanism in the GRC matrix</w:t>
      </w:r>
      <w:r w:rsidR="00D0667E" w:rsidRPr="00D0667E">
        <w:rPr>
          <w:rFonts w:ascii="Constantia" w:hAnsi="Constantia"/>
          <w:sz w:val="20"/>
          <w:szCs w:val="20"/>
          <w:lang w:eastAsia="zh-CN"/>
        </w:rPr>
        <w:t>.</w:t>
      </w:r>
      <w:r w:rsidR="008338FE">
        <w:rPr>
          <w:rFonts w:ascii="Constantia" w:hAnsi="Constantia"/>
          <w:sz w:val="20"/>
          <w:szCs w:val="20"/>
          <w:lang w:eastAsia="zh-CN"/>
        </w:rPr>
        <w:t xml:space="preserve"> </w:t>
      </w:r>
      <w:r w:rsidR="008338FE">
        <w:rPr>
          <w:rFonts w:ascii="Constantia" w:hAnsi="Constantia"/>
          <w:sz w:val="20"/>
          <w:szCs w:val="20"/>
          <w:lang w:eastAsia="zh-CN"/>
        </w:rPr>
        <w:tab/>
      </w:r>
      <w:r w:rsidR="008338FE">
        <w:rPr>
          <w:rFonts w:ascii="Constantia" w:hAnsi="Constantia"/>
          <w:sz w:val="20"/>
          <w:szCs w:val="20"/>
          <w:lang w:eastAsia="zh-CN"/>
        </w:rPr>
        <w:tab/>
      </w:r>
      <w:r w:rsidR="008338FE">
        <w:rPr>
          <w:rFonts w:ascii="Constantia" w:hAnsi="Constantia"/>
          <w:sz w:val="20"/>
          <w:szCs w:val="20"/>
          <w:lang w:eastAsia="zh-CN"/>
        </w:rPr>
        <w:tab/>
      </w:r>
      <w:r w:rsidR="008338FE">
        <w:rPr>
          <w:rFonts w:ascii="Constantia" w:hAnsi="Constantia"/>
          <w:sz w:val="20"/>
          <w:szCs w:val="20"/>
          <w:lang w:eastAsia="zh-CN"/>
        </w:rPr>
        <w:tab/>
      </w:r>
      <w:r w:rsidR="004965A9">
        <w:rPr>
          <w:rFonts w:ascii="Constantia" w:hAnsi="Constantia"/>
          <w:sz w:val="20"/>
          <w:szCs w:val="20"/>
          <w:lang w:eastAsia="zh-CN"/>
        </w:rPr>
        <w:tab/>
      </w:r>
      <w:r w:rsidR="000A067D" w:rsidRPr="000A067D">
        <w:rPr>
          <w:rFonts w:ascii="Constantia" w:hAnsi="Constantia"/>
          <w:sz w:val="20"/>
          <w:szCs w:val="20"/>
          <w:lang w:eastAsia="zh-CN"/>
        </w:rPr>
        <w:t>However, higher porosity also enlarged capillary pathways, increasing water absorption</w:t>
      </w:r>
      <w:r w:rsidR="00854062">
        <w:rPr>
          <w:rFonts w:ascii="Constantia" w:hAnsi="Constantia"/>
          <w:sz w:val="20"/>
          <w:szCs w:val="20"/>
          <w:lang w:eastAsia="zh-CN"/>
        </w:rPr>
        <w:t xml:space="preserve"> </w:t>
      </w:r>
      <w:r w:rsidR="00854062">
        <w:rPr>
          <w:rFonts w:ascii="Constantia" w:hAnsi="Constantia"/>
          <w:sz w:val="20"/>
          <w:szCs w:val="20"/>
          <w:lang w:eastAsia="zh-CN"/>
        </w:rPr>
        <w:fldChar w:fldCharType="begin" w:fldLock="1"/>
      </w:r>
      <w:r w:rsidR="00515568">
        <w:rPr>
          <w:rFonts w:ascii="Constantia" w:hAnsi="Constantia"/>
          <w:sz w:val="20"/>
          <w:szCs w:val="20"/>
          <w:lang w:eastAsia="zh-CN"/>
        </w:rPr>
        <w:instrText>ADDIN CSL_CITATION {"citationItems":[{"id":"ITEM-1","itemData":{"DOI":"10.3390/app12042211","ISSN":"20763417","abstract":"The capillary absorption capacity exerts an important effect on the durability of cement-based materials and is closely related to the pore structure. In this study, a variety of cement-based specimens were examined. The capillary water absorption and pore structure of the samples were determined using a gravimetric method and mercury intrusion porosimetry (MIP), respectively. The capillary water absorption coefficients for different water–binder ratios, diverse types and dosages of mineral admixtures, and various preloads were measured. The experimental results were analyzed and compared with data available in the current literature. The test results showed that the capillary water absorption performance of cement-based materials increased with an increasing water–binder ratio, first decreased and then increased with an increasing fly ash dosage, decreased with an increasing mineral power dosage, and decreased when the preload was less than a critical value and increased rapidly when the preload was greater than the critical value. The relationship between the capillary absorption coefficient and porosity was nearly linear. Water absorption by cement-based materials mainly correlated with pore diameters in the range of 10~1000 nm. The capillary water absorption coefficient increased continuously with the increase of pore fractal dimension.","author":[{"dropping-particle":"","family":"Wang","given":"Yue","non-dropping-particle":"","parse-names":false,"suffix":""},{"dropping-particle":"","family":"Li","given":"Liangshun","non-dropping-particle":"","parse-names":false,"suffix":""},{"dropping-particle":"","family":"An","given":"Mingzhe","non-dropping-particle":"","parse-names":false,"suffix":""},{"dropping-particle":"","family":"Sun","given":"Yifan","non-dropping-particle":"","parse-names":false,"suffix":""},{"dropping-particle":"","family":"Yu","given":"Ziruo","non-dropping-particle":"","parse-names":false,"suffix":""},{"dropping-particle":"","family":"Huang","given":"Hanfeng","non-dropping-particle":"","parse-names":false,"suffix":""}],"container-title":"Applied Sciences (Switzerland)","id":"ITEM-1","issue":"4","issued":{"date-parts":[["2022"]]},"title":"Factors Influencing the Capillary Water Absorption Characteristics of Concrete and Their Relationship to Pore Structure","type":"article-journal","volume":"12"},"uris":["http://www.mendeley.com/documents/?uuid=44d0572e-b442-4733-884a-962d2f199790"]}],"mendeley":{"formattedCitation":"(Wang et al., 2022)","plainTextFormattedCitation":"(Wang et al., 2022)","previouslyFormattedCitation":"(Wang et al., 2022)"},"properties":{"noteIndex":0},"schema":"https://github.com/citation-style-language/schema/raw/master/csl-citation.json"}</w:instrText>
      </w:r>
      <w:r w:rsidR="00854062">
        <w:rPr>
          <w:rFonts w:ascii="Constantia" w:hAnsi="Constantia"/>
          <w:sz w:val="20"/>
          <w:szCs w:val="20"/>
          <w:lang w:eastAsia="zh-CN"/>
        </w:rPr>
        <w:fldChar w:fldCharType="separate"/>
      </w:r>
      <w:r w:rsidR="00854062" w:rsidRPr="00854062">
        <w:rPr>
          <w:rFonts w:ascii="Constantia" w:hAnsi="Constantia"/>
          <w:noProof/>
          <w:sz w:val="20"/>
          <w:szCs w:val="20"/>
          <w:lang w:eastAsia="zh-CN"/>
        </w:rPr>
        <w:t>(Wang et al., 2022)</w:t>
      </w:r>
      <w:r w:rsidR="00854062">
        <w:rPr>
          <w:rFonts w:ascii="Constantia" w:hAnsi="Constantia"/>
          <w:sz w:val="20"/>
          <w:szCs w:val="20"/>
          <w:lang w:eastAsia="zh-CN"/>
        </w:rPr>
        <w:fldChar w:fldCharType="end"/>
      </w:r>
      <w:r w:rsidR="00854062">
        <w:rPr>
          <w:rFonts w:ascii="Constantia" w:hAnsi="Constantia"/>
          <w:sz w:val="20"/>
          <w:szCs w:val="20"/>
          <w:lang w:eastAsia="zh-CN"/>
        </w:rPr>
        <w:t>.</w:t>
      </w:r>
      <w:r w:rsidR="000A067D" w:rsidRPr="000A067D">
        <w:rPr>
          <w:rFonts w:ascii="Constantia" w:hAnsi="Constantia"/>
          <w:sz w:val="20"/>
          <w:szCs w:val="20"/>
          <w:lang w:eastAsia="zh-CN"/>
        </w:rPr>
        <w:t xml:space="preserve"> </w:t>
      </w:r>
      <w:r w:rsidR="00BD5AAC" w:rsidRPr="00BD5AAC">
        <w:rPr>
          <w:rFonts w:ascii="Constantia" w:hAnsi="Constantia"/>
          <w:sz w:val="20"/>
          <w:szCs w:val="20"/>
          <w:lang w:eastAsia="zh-CN"/>
        </w:rPr>
        <w:t xml:space="preserve">Data indicated that mixtures with excessive filler showed water absorption values up to 9.3%, reflecting increased open voids. Increased dry and wet density in mixtures with high PCC content did not necessarily correspond to improved mechanical strength, as the rise in density was primarily due to higher particle mass rather than reduced porosity. Therefore, achieving optimal packing density was key to obtaining the best mechanical properties while minimizing water absorption in the material </w:t>
      </w:r>
      <w:r w:rsidR="008338FE" w:rsidRPr="008338FE">
        <w:rPr>
          <w:rFonts w:ascii="Constantia" w:hAnsi="Constantia"/>
          <w:sz w:val="20"/>
          <w:szCs w:val="20"/>
          <w:lang w:eastAsia="zh-CN"/>
        </w:rPr>
        <w:t>(Taylor, 1997; Mindess et al., 2003).</w:t>
      </w:r>
    </w:p>
    <w:p w14:paraId="0EABC914" w14:textId="77777777" w:rsidR="00150DE7" w:rsidRDefault="00150DE7" w:rsidP="00702C41">
      <w:pPr>
        <w:spacing w:after="0"/>
        <w:ind w:firstLine="720"/>
        <w:contextualSpacing/>
        <w:jc w:val="both"/>
        <w:rPr>
          <w:rFonts w:ascii="Constantia" w:hAnsi="Constantia"/>
          <w:sz w:val="20"/>
          <w:szCs w:val="20"/>
          <w:lang w:eastAsia="zh-CN"/>
        </w:rPr>
      </w:pPr>
    </w:p>
    <w:p w14:paraId="2B24754A" w14:textId="77777777" w:rsidR="005D4FA1" w:rsidRDefault="004234C6">
      <w:pPr>
        <w:numPr>
          <w:ilvl w:val="0"/>
          <w:numId w:val="2"/>
        </w:numPr>
        <w:pBdr>
          <w:top w:val="nil"/>
          <w:left w:val="nil"/>
          <w:bottom w:val="nil"/>
          <w:right w:val="nil"/>
          <w:between w:val="nil"/>
        </w:pBdr>
        <w:spacing w:after="0"/>
        <w:ind w:right="-62"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Conclusions</w:t>
      </w:r>
    </w:p>
    <w:p w14:paraId="43ACF49D" w14:textId="4F6FBB6A" w:rsidR="004158EE" w:rsidRDefault="004158EE">
      <w:pPr>
        <w:pBdr>
          <w:top w:val="nil"/>
          <w:left w:val="nil"/>
          <w:bottom w:val="nil"/>
          <w:right w:val="nil"/>
          <w:between w:val="nil"/>
        </w:pBdr>
        <w:spacing w:after="0"/>
        <w:ind w:right="-62" w:firstLine="709"/>
        <w:jc w:val="both"/>
        <w:rPr>
          <w:rFonts w:ascii="Constantia" w:eastAsia="Constantia" w:hAnsi="Constantia" w:cs="Constantia"/>
          <w:color w:val="000000"/>
          <w:sz w:val="20"/>
          <w:szCs w:val="20"/>
        </w:rPr>
      </w:pPr>
      <w:r w:rsidRPr="004158EE">
        <w:rPr>
          <w:rFonts w:ascii="Constantia" w:eastAsia="Constantia" w:hAnsi="Constantia" w:cs="Constantia"/>
          <w:color w:val="000000"/>
          <w:sz w:val="20"/>
          <w:szCs w:val="20"/>
        </w:rPr>
        <w:t>This study demonstrated that ferric oxide waste could be utilized as a filler. An optimal composition of 20% produced Glassfibre Reinforced Concrete (GRC) with an average flexural strength of 9 MPa, which was higher compared to the mixture without ferric oxide substitution. All mixture variations met the requirements for water absorption as well as minimum dry and wet density indicating suitability for construction applications.</w:t>
      </w:r>
      <w:r>
        <w:rPr>
          <w:rFonts w:ascii="Constantia" w:eastAsia="Constantia" w:hAnsi="Constantia" w:cs="Constantia"/>
          <w:color w:val="000000"/>
          <w:sz w:val="20"/>
          <w:szCs w:val="20"/>
        </w:rPr>
        <w:t xml:space="preserve"> </w:t>
      </w:r>
      <w:r w:rsidR="001C5E3F" w:rsidRPr="001C5E3F">
        <w:rPr>
          <w:rFonts w:ascii="Constantia" w:eastAsia="Constantia" w:hAnsi="Constantia" w:cs="Constantia"/>
          <w:color w:val="000000"/>
          <w:sz w:val="20"/>
          <w:szCs w:val="20"/>
        </w:rPr>
        <w:t>However, increasing the ferric oxide content beyond 20% caused a significant reduction in compressive and flexural strength due to the formation of micro-voids and a decrease in the amount of active binder. The use of ferric oxide as a filler provided notable benefits by reducing cement demand, which is a major contributor to CO₂ emissions in the construction industry. Ferric oxide, containing stable and non-toxic Fe₂O₃, functioned as a micro-filler, enhancing matrix density up to a certain limit. Its application supported sustainable steel industry waste management and reduced the carbon footprint of construction materials, making it more environmentally friendly than pure cement. These findings highlighted the potential for implementing circular economy concepts in the construction sector while contributing to greenhouse gas emission reduction targets in infrastructure.</w:t>
      </w:r>
    </w:p>
    <w:p w14:paraId="78F8DB77" w14:textId="77777777" w:rsidR="001C5E3F" w:rsidRDefault="001C5E3F" w:rsidP="007609A3">
      <w:pPr>
        <w:pBdr>
          <w:top w:val="nil"/>
          <w:left w:val="nil"/>
          <w:bottom w:val="nil"/>
          <w:right w:val="nil"/>
          <w:between w:val="nil"/>
        </w:pBdr>
        <w:spacing w:after="0"/>
        <w:ind w:right="-62"/>
        <w:jc w:val="both"/>
        <w:rPr>
          <w:rFonts w:ascii="Constantia" w:eastAsia="Constantia" w:hAnsi="Constantia" w:cs="Constantia"/>
          <w:color w:val="000000"/>
          <w:sz w:val="20"/>
          <w:szCs w:val="20"/>
        </w:rPr>
      </w:pPr>
    </w:p>
    <w:p w14:paraId="2B24754D" w14:textId="77777777" w:rsidR="005D4FA1" w:rsidRDefault="004234C6">
      <w:pPr>
        <w:pBdr>
          <w:top w:val="nil"/>
          <w:left w:val="nil"/>
          <w:bottom w:val="nil"/>
          <w:right w:val="nil"/>
          <w:between w:val="nil"/>
        </w:pBdr>
        <w:spacing w:after="0"/>
        <w:ind w:right="-62"/>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Acknowledgement</w:t>
      </w:r>
    </w:p>
    <w:p w14:paraId="2B24756B" w14:textId="790EC5DB" w:rsidR="005D4FA1" w:rsidRDefault="002912EC" w:rsidP="002912EC">
      <w:pPr>
        <w:pBdr>
          <w:top w:val="nil"/>
          <w:left w:val="nil"/>
          <w:bottom w:val="nil"/>
          <w:right w:val="nil"/>
          <w:between w:val="nil"/>
        </w:pBdr>
        <w:spacing w:after="0"/>
        <w:ind w:right="-62" w:firstLine="720"/>
        <w:jc w:val="both"/>
        <w:rPr>
          <w:rFonts w:ascii="Constantia" w:eastAsia="Constantia" w:hAnsi="Constantia" w:cs="Constantia"/>
          <w:sz w:val="20"/>
          <w:szCs w:val="20"/>
        </w:rPr>
      </w:pPr>
      <w:r w:rsidRPr="002912EC">
        <w:rPr>
          <w:rFonts w:ascii="Constantia" w:eastAsia="Constantia" w:hAnsi="Constantia" w:cs="Constantia"/>
          <w:sz w:val="20"/>
          <w:szCs w:val="20"/>
        </w:rPr>
        <w:t xml:space="preserve">The authors would like to express their sincere gratitude to the Shipbuilding Institute of Polytechnic Surabaya (PPNS) for their support and the opportunity to conduct this research. Appreciation is also extended to the research funding providers and all contributors who offered assistance, enabling the successful completion of this study. Special thanks are directed to the industry partners for their contribution through the provision of raw materials, supporting data, and fruitful collaboration throughout the research. Furthermore, the authors sincerely acknowledge the Department of Waste Treatment Engineering, Shipbuilding Institute of Polytechnic Surabaya, for providing laboratory facilities </w:t>
      </w:r>
      <w:r w:rsidRPr="002912EC">
        <w:rPr>
          <w:rFonts w:ascii="Constantia" w:eastAsia="Constantia" w:hAnsi="Constantia" w:cs="Constantia"/>
          <w:sz w:val="20"/>
          <w:szCs w:val="20"/>
        </w:rPr>
        <w:lastRenderedPageBreak/>
        <w:t>and technical guidance during the research process. It is hoped that the results of this study will be beneficial and serve as a foundation for further research in the field of sustainable construction materials.</w:t>
      </w:r>
    </w:p>
    <w:p w14:paraId="6AE8DED0" w14:textId="77777777" w:rsidR="00C16D1F" w:rsidRDefault="00C16D1F" w:rsidP="002912EC">
      <w:pPr>
        <w:pBdr>
          <w:top w:val="nil"/>
          <w:left w:val="nil"/>
          <w:bottom w:val="nil"/>
          <w:right w:val="nil"/>
          <w:between w:val="nil"/>
        </w:pBdr>
        <w:spacing w:after="0"/>
        <w:ind w:right="-62" w:firstLine="720"/>
        <w:jc w:val="both"/>
        <w:rPr>
          <w:rFonts w:ascii="Constantia" w:eastAsia="Constantia" w:hAnsi="Constantia" w:cs="Constantia"/>
          <w:b/>
          <w:sz w:val="24"/>
          <w:szCs w:val="24"/>
        </w:rPr>
      </w:pPr>
    </w:p>
    <w:p w14:paraId="2B24756C" w14:textId="77777777" w:rsidR="005D4FA1" w:rsidRDefault="004234C6">
      <w:pPr>
        <w:pBdr>
          <w:top w:val="nil"/>
          <w:left w:val="nil"/>
          <w:bottom w:val="nil"/>
          <w:right w:val="nil"/>
          <w:between w:val="nil"/>
        </w:pBdr>
        <w:spacing w:after="0"/>
        <w:ind w:right="-62"/>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References</w:t>
      </w:r>
    </w:p>
    <w:p w14:paraId="7E5C2309" w14:textId="01E6B883" w:rsidR="00B42B94" w:rsidRPr="00C16D1F" w:rsidRDefault="00B81079"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Pr>
          <w:rFonts w:ascii="Constantia" w:eastAsia="Constantia" w:hAnsi="Constantia" w:cs="Constantia"/>
          <w:sz w:val="20"/>
          <w:szCs w:val="20"/>
        </w:rPr>
        <w:fldChar w:fldCharType="begin" w:fldLock="1"/>
      </w:r>
      <w:r>
        <w:rPr>
          <w:rFonts w:ascii="Constantia" w:eastAsia="Constantia" w:hAnsi="Constantia" w:cs="Constantia"/>
          <w:sz w:val="20"/>
          <w:szCs w:val="20"/>
        </w:rPr>
        <w:instrText xml:space="preserve">ADDIN Mendeley Bibliography CSL_BIBLIOGRAPHY </w:instrText>
      </w:r>
      <w:r>
        <w:rPr>
          <w:rFonts w:ascii="Constantia" w:eastAsia="Constantia" w:hAnsi="Constantia" w:cs="Constantia"/>
          <w:sz w:val="20"/>
          <w:szCs w:val="20"/>
        </w:rPr>
        <w:fldChar w:fldCharType="separate"/>
      </w:r>
      <w:r w:rsidR="00B42B94" w:rsidRPr="00B42B94">
        <w:rPr>
          <w:rFonts w:ascii="Constantia" w:hAnsi="Constantia" w:cs="Times New Roman"/>
          <w:noProof/>
          <w:sz w:val="20"/>
        </w:rPr>
        <w:t xml:space="preserve"> </w:t>
      </w:r>
      <w:r w:rsidR="00B42B94" w:rsidRPr="00C16D1F">
        <w:rPr>
          <w:rFonts w:ascii="Constantia" w:hAnsi="Constantia" w:cs="Times New Roman"/>
          <w:noProof/>
          <w:sz w:val="20"/>
        </w:rPr>
        <w:t xml:space="preserve">Akintayo, B. D., Akintayo, D. C., &amp; Olanrewaju, O. A. 2023. Material Substitution Strategies For Energy Reduction And Greenhouse Gas Emission In Cement Manufacturing. Atmosphere, </w:t>
      </w:r>
      <w:r w:rsidR="00B42B94" w:rsidRPr="00C16D1F">
        <w:rPr>
          <w:rFonts w:ascii="Constantia" w:hAnsi="Constantia" w:cs="Times New Roman"/>
          <w:b/>
          <w:bCs/>
          <w:noProof/>
          <w:sz w:val="20"/>
        </w:rPr>
        <w:t>14</w:t>
      </w:r>
      <w:r w:rsidR="00B42B94">
        <w:rPr>
          <w:rFonts w:ascii="Constantia" w:hAnsi="Constantia" w:cs="Times New Roman"/>
          <w:noProof/>
          <w:sz w:val="20"/>
        </w:rPr>
        <w:t xml:space="preserve"> </w:t>
      </w:r>
      <w:r w:rsidR="00B42B94" w:rsidRPr="00C16D1F">
        <w:rPr>
          <w:rFonts w:ascii="Constantia" w:hAnsi="Constantia" w:cs="Times New Roman"/>
          <w:noProof/>
          <w:sz w:val="20"/>
        </w:rPr>
        <w:t xml:space="preserve">(8), 1–14. </w:t>
      </w:r>
    </w:p>
    <w:p w14:paraId="2FB9060F"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Al Hadi, F. H. 2019. Pemanfaatan Pasir Besi Dalam Sintesis Hematite (Α-Fe2o3) Secara Hidrotermal Dengan Variasi Temperatur Dan Waktu. 68–74.</w:t>
      </w:r>
    </w:p>
    <w:p w14:paraId="682A359A"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Amalia. 2009. Studi Eksperimental Perilaku Mekanik Beton Normal Dengan Substitusi Limbah Debu Pengolahan Baja (Dry Dust Collector). Program Magister Teknik Sipil, 56.</w:t>
      </w:r>
    </w:p>
    <w:p w14:paraId="36575214"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Budiman, A., Trilismana, H., Fisika, L., Jurusan, B., &amp; Andalas, U. 2015. The Effects Of Oxidation On The Concentration Of Superparamagnetic Grains Of Magnetite Of Iron Sand. 9–15.</w:t>
      </w:r>
    </w:p>
    <w:p w14:paraId="4EF489C7"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Cahyono, L., Carina, A., Pratiwi, W. D., Fardina, F., Widiana, D. R., Utomo, A. P., &amp; Fahmi, M. R. 2024. Sustainable Materials Melalui Solidifikasi-Stabilisasi Limbah Sandblasting Menjadi Beton Ferosemen. </w:t>
      </w:r>
      <w:r w:rsidRPr="00C16D1F">
        <w:rPr>
          <w:rFonts w:ascii="Constantia" w:hAnsi="Constantia" w:cs="Times New Roman"/>
          <w:b/>
          <w:bCs/>
          <w:noProof/>
          <w:sz w:val="20"/>
        </w:rPr>
        <w:t>04</w:t>
      </w:r>
      <w:r>
        <w:rPr>
          <w:rFonts w:ascii="Constantia" w:hAnsi="Constantia" w:cs="Times New Roman"/>
          <w:noProof/>
          <w:sz w:val="20"/>
        </w:rPr>
        <w:t xml:space="preserve"> </w:t>
      </w:r>
      <w:r w:rsidRPr="00C16D1F">
        <w:rPr>
          <w:rFonts w:ascii="Constantia" w:hAnsi="Constantia" w:cs="Times New Roman"/>
          <w:noProof/>
          <w:sz w:val="20"/>
        </w:rPr>
        <w:t>(02), 108–118.</w:t>
      </w:r>
    </w:p>
    <w:p w14:paraId="16568032"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Cheng, C., He, J., Li, X., &amp; Hong, S. 2024. Flexural Behavior Of Glass Fiber Reinforced Cement Incorporating Foam. Journal Of Engineered Fibers And Fabrics, 19. </w:t>
      </w:r>
    </w:p>
    <w:p w14:paraId="0F80BD08"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Deepa, R., Geethamozhi, E., Monika, S., Shalina, S. P., &amp; Swathy, K. 2018. Experiment On High Density Concrete Incorporating Hematite. Indian Journal Of Scientific Research, </w:t>
      </w:r>
      <w:r w:rsidRPr="00C16D1F">
        <w:rPr>
          <w:rFonts w:ascii="Constantia" w:hAnsi="Constantia" w:cs="Times New Roman"/>
          <w:b/>
          <w:bCs/>
          <w:noProof/>
          <w:sz w:val="20"/>
        </w:rPr>
        <w:t>20</w:t>
      </w:r>
      <w:r>
        <w:rPr>
          <w:rFonts w:ascii="Constantia" w:hAnsi="Constantia" w:cs="Times New Roman"/>
          <w:noProof/>
          <w:sz w:val="20"/>
        </w:rPr>
        <w:t xml:space="preserve"> </w:t>
      </w:r>
      <w:r w:rsidRPr="00C16D1F">
        <w:rPr>
          <w:rFonts w:ascii="Constantia" w:hAnsi="Constantia" w:cs="Times New Roman"/>
          <w:noProof/>
          <w:sz w:val="20"/>
        </w:rPr>
        <w:t>(2), 49–53.</w:t>
      </w:r>
    </w:p>
    <w:p w14:paraId="58E09E97"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Habibah, R., Ningsih, R., &amp; Jannah, A. 2019. Sintesis Pigmen Hematit (Α-Fe2o3) Dari Limbah Bubut Besi Dengan Variasi Konsentrasi Agen Pengendap Urea. Αγαη, </w:t>
      </w:r>
      <w:r w:rsidRPr="00C16D1F">
        <w:rPr>
          <w:rFonts w:ascii="Constantia" w:hAnsi="Constantia" w:cs="Times New Roman"/>
          <w:b/>
          <w:bCs/>
          <w:noProof/>
          <w:sz w:val="20"/>
        </w:rPr>
        <w:t>8</w:t>
      </w:r>
      <w:r>
        <w:rPr>
          <w:rFonts w:ascii="Constantia" w:hAnsi="Constantia" w:cs="Times New Roman"/>
          <w:b/>
          <w:bCs/>
          <w:noProof/>
          <w:sz w:val="20"/>
        </w:rPr>
        <w:t xml:space="preserve"> </w:t>
      </w:r>
      <w:r w:rsidRPr="00C16D1F">
        <w:rPr>
          <w:rFonts w:ascii="Constantia" w:hAnsi="Constantia" w:cs="Times New Roman"/>
          <w:noProof/>
          <w:sz w:val="20"/>
        </w:rPr>
        <w:t>(5), 55.</w:t>
      </w:r>
    </w:p>
    <w:p w14:paraId="3C30FA05"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Hansu, O., &amp; Etli, S. 2025. Evaluation Of The Usability Of Scms Produced By Adding Aluminum And Iron Oxide To Mortar Waste Powder Under Different Conditions. Buildings, </w:t>
      </w:r>
      <w:r w:rsidRPr="00C16D1F">
        <w:rPr>
          <w:rFonts w:ascii="Constantia" w:hAnsi="Constantia" w:cs="Times New Roman"/>
          <w:b/>
          <w:bCs/>
          <w:noProof/>
          <w:sz w:val="20"/>
        </w:rPr>
        <w:t>15</w:t>
      </w:r>
      <w:r>
        <w:rPr>
          <w:rFonts w:ascii="Constantia" w:hAnsi="Constantia" w:cs="Times New Roman"/>
          <w:b/>
          <w:bCs/>
          <w:noProof/>
          <w:sz w:val="20"/>
        </w:rPr>
        <w:t xml:space="preserve"> </w:t>
      </w:r>
      <w:r w:rsidRPr="00C16D1F">
        <w:rPr>
          <w:rFonts w:ascii="Constantia" w:hAnsi="Constantia" w:cs="Times New Roman"/>
          <w:noProof/>
          <w:sz w:val="20"/>
        </w:rPr>
        <w:t xml:space="preserve">(17), 1–25. </w:t>
      </w:r>
    </w:p>
    <w:p w14:paraId="3DF472A0"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Hassani, A., &amp; Kazemian, F. 2024. Case Studies In Construction Materials Investigating Geopolymer Mortar Incorporating Industrial Waste Using Response Surface Methodology</w:t>
      </w:r>
      <w:r w:rsidRPr="00C16D1F">
        <w:rPr>
          <w:rFonts w:ascii="Times New Roman" w:hAnsi="Times New Roman" w:cs="Times New Roman"/>
          <w:noProof/>
          <w:sz w:val="20"/>
        </w:rPr>
        <w:t> </w:t>
      </w:r>
      <w:r w:rsidRPr="00C16D1F">
        <w:rPr>
          <w:rFonts w:ascii="Constantia" w:hAnsi="Constantia" w:cs="Times New Roman"/>
          <w:noProof/>
          <w:sz w:val="20"/>
        </w:rPr>
        <w:t xml:space="preserve">: A Sustainable Approach For Construction Materials. Case Studies In Construction Materials, </w:t>
      </w:r>
      <w:r w:rsidRPr="00C16D1F">
        <w:rPr>
          <w:rFonts w:ascii="Constantia" w:hAnsi="Constantia" w:cs="Times New Roman"/>
          <w:b/>
          <w:bCs/>
          <w:noProof/>
          <w:sz w:val="20"/>
        </w:rPr>
        <w:t>21</w:t>
      </w:r>
      <w:r>
        <w:rPr>
          <w:rFonts w:ascii="Constantia" w:hAnsi="Constantia" w:cs="Times New Roman"/>
          <w:b/>
          <w:bCs/>
          <w:noProof/>
          <w:sz w:val="20"/>
        </w:rPr>
        <w:t xml:space="preserve"> </w:t>
      </w:r>
      <w:r w:rsidRPr="00C16D1F">
        <w:rPr>
          <w:rFonts w:ascii="Constantia" w:hAnsi="Constantia" w:cs="Times New Roman"/>
          <w:noProof/>
          <w:sz w:val="20"/>
        </w:rPr>
        <w:t xml:space="preserve">(May), E03609. </w:t>
      </w:r>
    </w:p>
    <w:p w14:paraId="65DE31AC"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Hendrawati, L. K., Khusna, L., Magfiroh, R., Oktavina, D. 2024. Glass Reinforced Concrete (Grc).</w:t>
      </w:r>
      <w:r w:rsidRPr="00C16D1F">
        <w:rPr>
          <w:rFonts w:ascii="Constantia" w:hAnsi="Constantia" w:cs="Times New Roman"/>
          <w:b/>
          <w:bCs/>
          <w:noProof/>
          <w:sz w:val="20"/>
        </w:rPr>
        <w:t xml:space="preserve"> 2</w:t>
      </w:r>
      <w:r>
        <w:rPr>
          <w:rFonts w:ascii="Constantia" w:hAnsi="Constantia" w:cs="Times New Roman"/>
          <w:noProof/>
          <w:sz w:val="20"/>
        </w:rPr>
        <w:t xml:space="preserve"> </w:t>
      </w:r>
      <w:r w:rsidRPr="00C16D1F">
        <w:rPr>
          <w:rFonts w:ascii="Constantia" w:hAnsi="Constantia" w:cs="Times New Roman"/>
          <w:noProof/>
          <w:sz w:val="20"/>
        </w:rPr>
        <w:t xml:space="preserve">(2), 209–218. </w:t>
      </w:r>
    </w:p>
    <w:p w14:paraId="1824939D"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Iffat, S. 2015. Relation Between Density And Compressive Strength Of Hardened Concrete Relation Between Density And Compressive Strength Of Hardened Concrete. Concrete Research Letters, </w:t>
      </w:r>
      <w:r w:rsidRPr="00C16D1F">
        <w:rPr>
          <w:rFonts w:ascii="Constantia" w:hAnsi="Constantia" w:cs="Times New Roman"/>
          <w:b/>
          <w:bCs/>
          <w:noProof/>
          <w:sz w:val="20"/>
        </w:rPr>
        <w:t>6</w:t>
      </w:r>
      <w:r>
        <w:rPr>
          <w:rFonts w:ascii="Constantia" w:hAnsi="Constantia" w:cs="Times New Roman"/>
          <w:noProof/>
          <w:sz w:val="20"/>
        </w:rPr>
        <w:t xml:space="preserve"> </w:t>
      </w:r>
      <w:r w:rsidRPr="00C16D1F">
        <w:rPr>
          <w:rFonts w:ascii="Constantia" w:hAnsi="Constantia" w:cs="Times New Roman"/>
          <w:noProof/>
          <w:sz w:val="20"/>
        </w:rPr>
        <w:t>(4), 182–189.</w:t>
      </w:r>
    </w:p>
    <w:p w14:paraId="4E3FB8BD"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Irawan, R. R., Hardono, S., &amp; Budiman, Y. I. 2015. Beton Dengan Sedikit Semen Portland Dan Tanpa Semen Portland Dengan Memanfaatkan Abu Terbang Pltu Batubara.</w:t>
      </w:r>
    </w:p>
    <w:p w14:paraId="7D9F082B"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Jose, P. A., Alex, A. G., Gebrehiwet, T., &amp; Murugan, S. 2023. Influence Of Fe2o3 Nanoparticles On The Characteristics Of Waste Marble Powder Mixed Cement Mortars. International Journal Of Concrete Structures And Materials,</w:t>
      </w:r>
      <w:r w:rsidRPr="00C16D1F">
        <w:rPr>
          <w:rFonts w:ascii="Constantia" w:hAnsi="Constantia" w:cs="Times New Roman"/>
          <w:b/>
          <w:bCs/>
          <w:noProof/>
          <w:sz w:val="20"/>
        </w:rPr>
        <w:t xml:space="preserve"> 17</w:t>
      </w:r>
      <w:r>
        <w:rPr>
          <w:rFonts w:ascii="Constantia" w:hAnsi="Constantia" w:cs="Times New Roman"/>
          <w:noProof/>
          <w:sz w:val="20"/>
        </w:rPr>
        <w:t xml:space="preserve"> </w:t>
      </w:r>
      <w:r w:rsidRPr="00C16D1F">
        <w:rPr>
          <w:rFonts w:ascii="Constantia" w:hAnsi="Constantia" w:cs="Times New Roman"/>
          <w:noProof/>
          <w:sz w:val="20"/>
        </w:rPr>
        <w:t xml:space="preserve">(1). </w:t>
      </w:r>
    </w:p>
    <w:p w14:paraId="59094DD5"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Khanna, R., Konyukhov, Y., Li, K., Jayasankar, K., Maslennikov, N., Zinoveev, D., Kargin, J., Burmistrov, I., Leybo, D., Kravchenko, M., &amp; Mukherjee, P. S. 2023. Innovative Transformation And Valorisation Of Red Mill Scale Waste Into Ferroalloys: Carbothermic Reduction In The Presence Of Alumina. Sustainability (Switzerland), </w:t>
      </w:r>
      <w:r w:rsidRPr="00C16D1F">
        <w:rPr>
          <w:rFonts w:ascii="Constantia" w:hAnsi="Constantia" w:cs="Times New Roman"/>
          <w:b/>
          <w:bCs/>
          <w:noProof/>
          <w:sz w:val="20"/>
        </w:rPr>
        <w:t>15</w:t>
      </w:r>
      <w:r>
        <w:rPr>
          <w:rFonts w:ascii="Constantia" w:hAnsi="Constantia" w:cs="Times New Roman"/>
          <w:b/>
          <w:bCs/>
          <w:noProof/>
          <w:sz w:val="20"/>
        </w:rPr>
        <w:t xml:space="preserve"> </w:t>
      </w:r>
      <w:r w:rsidRPr="00C16D1F">
        <w:rPr>
          <w:rFonts w:ascii="Constantia" w:hAnsi="Constantia" w:cs="Times New Roman"/>
          <w:noProof/>
          <w:sz w:val="20"/>
        </w:rPr>
        <w:t xml:space="preserve">(24). </w:t>
      </w:r>
    </w:p>
    <w:p w14:paraId="54FBDA17" w14:textId="77777777" w:rsidR="00B42B94"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Kurniati, D. 2024. Ketahanan Kuat Tekan Beton Serat Fiber Glass. </w:t>
      </w:r>
      <w:r w:rsidRPr="00C16D1F">
        <w:rPr>
          <w:rFonts w:ascii="Constantia" w:hAnsi="Constantia" w:cs="Times New Roman"/>
          <w:b/>
          <w:bCs/>
          <w:noProof/>
          <w:sz w:val="20"/>
        </w:rPr>
        <w:t>10</w:t>
      </w:r>
      <w:r>
        <w:rPr>
          <w:rFonts w:ascii="Constantia" w:hAnsi="Constantia" w:cs="Times New Roman"/>
          <w:noProof/>
          <w:sz w:val="20"/>
        </w:rPr>
        <w:t xml:space="preserve"> </w:t>
      </w:r>
      <w:r w:rsidRPr="00C16D1F">
        <w:rPr>
          <w:rFonts w:ascii="Constantia" w:hAnsi="Constantia" w:cs="Times New Roman"/>
          <w:noProof/>
          <w:sz w:val="20"/>
        </w:rPr>
        <w:t>(2).</w:t>
      </w:r>
    </w:p>
    <w:p w14:paraId="5CEA8BE8" w14:textId="77777777" w:rsidR="00B42B94" w:rsidRDefault="00B42B94" w:rsidP="00B42B94">
      <w:pPr>
        <w:widowControl w:val="0"/>
        <w:autoSpaceDE w:val="0"/>
        <w:autoSpaceDN w:val="0"/>
        <w:adjustRightInd w:val="0"/>
        <w:spacing w:after="0" w:line="240" w:lineRule="auto"/>
        <w:ind w:left="480" w:hanging="480"/>
        <w:rPr>
          <w:rFonts w:ascii="Constantia" w:hAnsi="Constantia" w:cs="Times New Roman"/>
          <w:noProof/>
          <w:sz w:val="20"/>
        </w:rPr>
      </w:pPr>
      <w:r w:rsidRPr="00A02A6B">
        <w:rPr>
          <w:rFonts w:ascii="Constantia" w:hAnsi="Constantia" w:cs="Times New Roman"/>
          <w:noProof/>
          <w:sz w:val="20"/>
        </w:rPr>
        <w:t>Mehta, P. K., &amp; Monteiro, P. J. M. 2014. Theoretical concepts of stress wave propagation in solids. In Concrete: Microstructure, Properties, and Materials.</w:t>
      </w:r>
    </w:p>
    <w:p w14:paraId="2D061E2C" w14:textId="77777777" w:rsidR="00B42B94" w:rsidRPr="00CB2DD3" w:rsidRDefault="00B42B94" w:rsidP="00B42B94">
      <w:pPr>
        <w:widowControl w:val="0"/>
        <w:autoSpaceDE w:val="0"/>
        <w:autoSpaceDN w:val="0"/>
        <w:adjustRightInd w:val="0"/>
        <w:spacing w:after="0" w:line="240" w:lineRule="auto"/>
        <w:ind w:left="480" w:hanging="480"/>
        <w:rPr>
          <w:rFonts w:ascii="Constantia" w:hAnsi="Constantia" w:cs="Times New Roman"/>
          <w:noProof/>
          <w:sz w:val="20"/>
        </w:rPr>
      </w:pPr>
      <w:r w:rsidRPr="00CB2DD3">
        <w:rPr>
          <w:rFonts w:ascii="Constantia" w:hAnsi="Constantia" w:cs="Times New Roman"/>
          <w:noProof/>
          <w:sz w:val="20"/>
        </w:rPr>
        <w:t xml:space="preserve">Miah, M. J., Ali, M. K., Paul, S. C., Babafemi, A. J., Kong, S. Y., &amp; Šavija, B. 2020. Effect of recycled iron </w:t>
      </w:r>
      <w:r w:rsidRPr="00A02A6B">
        <w:rPr>
          <w:rFonts w:ascii="Constantia" w:hAnsi="Constantia" w:cs="Times New Roman"/>
          <w:noProof/>
          <w:sz w:val="20"/>
        </w:rPr>
        <w:t xml:space="preserve">powder as fine aggregate on the mechanical, durability, and high temperature behavior of mortars. Materials, </w:t>
      </w:r>
      <w:r w:rsidRPr="00A02A6B">
        <w:rPr>
          <w:rFonts w:ascii="Constantia" w:hAnsi="Constantia" w:cs="Times New Roman"/>
          <w:b/>
          <w:bCs/>
          <w:noProof/>
          <w:sz w:val="20"/>
        </w:rPr>
        <w:t>13</w:t>
      </w:r>
      <w:r>
        <w:rPr>
          <w:rFonts w:ascii="Constantia" w:hAnsi="Constantia" w:cs="Times New Roman"/>
          <w:noProof/>
          <w:sz w:val="20"/>
        </w:rPr>
        <w:t xml:space="preserve"> </w:t>
      </w:r>
      <w:r w:rsidRPr="00A02A6B">
        <w:rPr>
          <w:rFonts w:ascii="Constantia" w:hAnsi="Constantia" w:cs="Times New Roman"/>
          <w:noProof/>
          <w:sz w:val="20"/>
        </w:rPr>
        <w:t>(5), 1–19.</w:t>
      </w:r>
      <w:r w:rsidRPr="00CB2DD3">
        <w:rPr>
          <w:rFonts w:ascii="Constantia" w:hAnsi="Constantia" w:cs="Times New Roman"/>
          <w:noProof/>
          <w:sz w:val="20"/>
        </w:rPr>
        <w:t xml:space="preserve"> </w:t>
      </w:r>
    </w:p>
    <w:p w14:paraId="5EC03E1F" w14:textId="77777777" w:rsidR="00B42B94" w:rsidRPr="00A02A6B" w:rsidRDefault="00B42B94" w:rsidP="00B42B94">
      <w:pPr>
        <w:widowControl w:val="0"/>
        <w:autoSpaceDE w:val="0"/>
        <w:autoSpaceDN w:val="0"/>
        <w:adjustRightInd w:val="0"/>
        <w:spacing w:after="0" w:line="240" w:lineRule="auto"/>
        <w:ind w:left="480" w:hanging="480"/>
        <w:rPr>
          <w:rFonts w:ascii="Constantia" w:hAnsi="Constantia" w:cs="Times New Roman"/>
          <w:noProof/>
          <w:sz w:val="20"/>
        </w:rPr>
      </w:pPr>
      <w:r w:rsidRPr="00A02A6B">
        <w:rPr>
          <w:rFonts w:ascii="Constantia" w:hAnsi="Constantia" w:cs="Times New Roman"/>
          <w:noProof/>
          <w:sz w:val="20"/>
        </w:rPr>
        <w:t xml:space="preserve">Noori, K. M., &amp; Ibrahim, H. H. 2018. Mechanical Properties of Concrete Using Iron Waste as a Partial Replacement of Sand. Eurasian Journal of Science and Engineering, </w:t>
      </w:r>
      <w:r w:rsidRPr="00A02A6B">
        <w:rPr>
          <w:rFonts w:ascii="Constantia" w:hAnsi="Constantia" w:cs="Times New Roman"/>
          <w:b/>
          <w:bCs/>
          <w:noProof/>
          <w:sz w:val="20"/>
        </w:rPr>
        <w:t>3</w:t>
      </w:r>
      <w:r>
        <w:rPr>
          <w:rFonts w:ascii="Constantia" w:hAnsi="Constantia" w:cs="Times New Roman"/>
          <w:b/>
          <w:bCs/>
          <w:noProof/>
          <w:sz w:val="20"/>
        </w:rPr>
        <w:t xml:space="preserve"> </w:t>
      </w:r>
      <w:r w:rsidRPr="00A02A6B">
        <w:rPr>
          <w:rFonts w:ascii="Constantia" w:hAnsi="Constantia" w:cs="Times New Roman"/>
          <w:noProof/>
          <w:sz w:val="20"/>
        </w:rPr>
        <w:t xml:space="preserve">(3), 75–82. </w:t>
      </w:r>
    </w:p>
    <w:p w14:paraId="101C17B0"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Nurjaman, F., Prilitasari, N. M., Prasetyo, A. E., &amp; Nugroho, E. 2019. Pemanfaatan Limbah Industri Baja Sebagai Bahan Baku Pembuatan Logam Pig Iron: Peleburan Mill Scale Menggunakan Submerged Arc Furnace. 37–48.</w:t>
      </w:r>
    </w:p>
    <w:p w14:paraId="20C5680C"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Okoh, J. S., &amp; Dim, P. E. 2024. P066 - Investigation On The Effect Of Iron Oxide ( Feo 3 ) Pigment On The Production Of Coloured Cement For. </w:t>
      </w:r>
      <w:r w:rsidRPr="008C7C67">
        <w:rPr>
          <w:rFonts w:ascii="Constantia" w:hAnsi="Constantia" w:cs="Times New Roman"/>
          <w:b/>
          <w:bCs/>
          <w:noProof/>
          <w:sz w:val="20"/>
        </w:rPr>
        <w:t>9</w:t>
      </w:r>
      <w:r>
        <w:rPr>
          <w:rFonts w:ascii="Constantia" w:hAnsi="Constantia" w:cs="Times New Roman"/>
          <w:noProof/>
          <w:sz w:val="20"/>
        </w:rPr>
        <w:t xml:space="preserve"> </w:t>
      </w:r>
      <w:r w:rsidRPr="00C16D1F">
        <w:rPr>
          <w:rFonts w:ascii="Constantia" w:hAnsi="Constantia" w:cs="Times New Roman"/>
          <w:noProof/>
          <w:sz w:val="20"/>
        </w:rPr>
        <w:t>(7), 66.</w:t>
      </w:r>
    </w:p>
    <w:p w14:paraId="5035552C"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Pereira, F. M., Carlos, J., Verney, K. De, &amp; Lenz, D. M. 2011. Evaluation Of The Use Of Mill Scale As Fine As Fine Aggregate In Concrete. </w:t>
      </w:r>
      <w:r w:rsidRPr="008C7C67">
        <w:rPr>
          <w:rFonts w:ascii="Constantia" w:hAnsi="Constantia" w:cs="Times New Roman"/>
          <w:b/>
          <w:bCs/>
          <w:noProof/>
          <w:sz w:val="20"/>
        </w:rPr>
        <w:t>64</w:t>
      </w:r>
      <w:r w:rsidRPr="00C16D1F">
        <w:rPr>
          <w:rFonts w:ascii="Constantia" w:hAnsi="Constantia" w:cs="Times New Roman"/>
          <w:noProof/>
          <w:sz w:val="20"/>
        </w:rPr>
        <w:t>(4), 463–469.</w:t>
      </w:r>
    </w:p>
    <w:p w14:paraId="29115765" w14:textId="77777777" w:rsidR="00B42B94"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Pravana, N. K., Piryani, S., Chaurasiya, S. P., Kawan, R., Thapa, R. K., Shrestha, S., Brouwer, I. D., Jager, I. </w:t>
      </w:r>
      <w:r w:rsidRPr="00C16D1F">
        <w:rPr>
          <w:rFonts w:ascii="Constantia" w:hAnsi="Constantia" w:cs="Times New Roman"/>
          <w:noProof/>
          <w:sz w:val="20"/>
        </w:rPr>
        <w:lastRenderedPageBreak/>
        <w:t xml:space="preserve">De, Borgonjen, K., Azupogo, F., Rooij, M., Folson, G., Abizari, R., Frempong, R. B., Annim, S. K., Boah, M., Azupogo, F., Amporfro, D. A., Abada, L. A. </w:t>
      </w:r>
      <w:r>
        <w:rPr>
          <w:rFonts w:ascii="Constantia" w:hAnsi="Constantia" w:cs="Times New Roman"/>
          <w:noProof/>
          <w:sz w:val="20"/>
        </w:rPr>
        <w:t>2</w:t>
      </w:r>
      <w:r w:rsidRPr="00C16D1F">
        <w:rPr>
          <w:rFonts w:ascii="Constantia" w:hAnsi="Constantia" w:cs="Times New Roman"/>
          <w:noProof/>
          <w:sz w:val="20"/>
        </w:rPr>
        <w:t xml:space="preserve">017. Sintesis Pigmen Geothit (Α-Feooh) Dari Limbah Bubut Besi Dengan Variasi Suhu Sintesis. Development Studies Research, </w:t>
      </w:r>
      <w:r w:rsidRPr="005511E6">
        <w:rPr>
          <w:rFonts w:ascii="Constantia" w:hAnsi="Constantia" w:cs="Times New Roman"/>
          <w:b/>
          <w:bCs/>
          <w:noProof/>
          <w:sz w:val="20"/>
        </w:rPr>
        <w:t>3</w:t>
      </w:r>
      <w:r>
        <w:rPr>
          <w:rFonts w:ascii="Constantia" w:hAnsi="Constantia" w:cs="Times New Roman"/>
          <w:noProof/>
          <w:sz w:val="20"/>
        </w:rPr>
        <w:t xml:space="preserve"> </w:t>
      </w:r>
      <w:r w:rsidRPr="00C16D1F">
        <w:rPr>
          <w:rFonts w:ascii="Constantia" w:hAnsi="Constantia" w:cs="Times New Roman"/>
          <w:noProof/>
          <w:sz w:val="20"/>
        </w:rPr>
        <w:t xml:space="preserve">(1), 43. </w:t>
      </w:r>
    </w:p>
    <w:p w14:paraId="19529270" w14:textId="77777777" w:rsidR="00B42B94" w:rsidRPr="00A02A6B" w:rsidRDefault="00B42B94" w:rsidP="00B42B94">
      <w:pPr>
        <w:widowControl w:val="0"/>
        <w:autoSpaceDE w:val="0"/>
        <w:autoSpaceDN w:val="0"/>
        <w:adjustRightInd w:val="0"/>
        <w:spacing w:after="0" w:line="240" w:lineRule="auto"/>
        <w:ind w:left="480" w:hanging="480"/>
        <w:rPr>
          <w:rFonts w:ascii="Constantia" w:hAnsi="Constantia" w:cs="Times New Roman"/>
          <w:noProof/>
          <w:sz w:val="20"/>
        </w:rPr>
      </w:pPr>
      <w:r w:rsidRPr="00A02A6B">
        <w:rPr>
          <w:rFonts w:ascii="Constantia" w:hAnsi="Constantia" w:cs="Times New Roman"/>
          <w:noProof/>
          <w:sz w:val="20"/>
        </w:rPr>
        <w:t xml:space="preserve">Qorina, U., Mahyudin, A., &amp; Handani, S. 2016. Pengaruh Persentase Massa Gipsum Dan Serat Terhadap Kuat Tekan Dan Kuat Lentur Papan Semen - Gipsum Berserat Enceng Gondok. Jurnal Fisika Unand, </w:t>
      </w:r>
      <w:r w:rsidRPr="00A02A6B">
        <w:rPr>
          <w:rFonts w:ascii="Constantia" w:hAnsi="Constantia" w:cs="Times New Roman"/>
          <w:b/>
          <w:bCs/>
          <w:noProof/>
          <w:sz w:val="20"/>
        </w:rPr>
        <w:t>5</w:t>
      </w:r>
      <w:r>
        <w:rPr>
          <w:rFonts w:ascii="Constantia" w:hAnsi="Constantia" w:cs="Times New Roman"/>
          <w:noProof/>
          <w:sz w:val="20"/>
        </w:rPr>
        <w:t xml:space="preserve"> </w:t>
      </w:r>
      <w:r w:rsidRPr="00A02A6B">
        <w:rPr>
          <w:rFonts w:ascii="Constantia" w:hAnsi="Constantia" w:cs="Times New Roman"/>
          <w:noProof/>
          <w:sz w:val="20"/>
        </w:rPr>
        <w:t xml:space="preserve">(3), 233–237. </w:t>
      </w:r>
    </w:p>
    <w:p w14:paraId="0FC896E0"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Rasikbhai Thoriya, K., Singh, A., Agrawal, V., &amp; Chandra Gupta, R. 2023. Preliminary Study On Utilization Of Steel Mill Scale In Concrete. Materials Today: Proceedings, Xxxx. </w:t>
      </w:r>
    </w:p>
    <w:p w14:paraId="1D50CE18"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Rodliya, L. S. 2018. Sintesis Pigmen Maghemit (Γ-Fe2o3) Dari Limbah Bubut Industri Kerajinan Besi Dengan Variasi Suhu Kalsinasi. 1–120.</w:t>
      </w:r>
    </w:p>
    <w:p w14:paraId="3FFF2378"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Sihombing, A. P., Afrizal, Y., &amp; Gunawan, A. 2019. Pengaruh Penambahan Arang Batok Kelapa Terhadap Kuat Tekan Mortar. Inersia, Jurnal Teknik Sipil,</w:t>
      </w:r>
      <w:r w:rsidRPr="005511E6">
        <w:rPr>
          <w:rFonts w:ascii="Constantia" w:hAnsi="Constantia" w:cs="Times New Roman"/>
          <w:b/>
          <w:bCs/>
          <w:noProof/>
          <w:sz w:val="20"/>
        </w:rPr>
        <w:t xml:space="preserve"> 10</w:t>
      </w:r>
      <w:r>
        <w:rPr>
          <w:rFonts w:ascii="Constantia" w:hAnsi="Constantia" w:cs="Times New Roman"/>
          <w:b/>
          <w:bCs/>
          <w:noProof/>
          <w:sz w:val="20"/>
        </w:rPr>
        <w:t xml:space="preserve"> </w:t>
      </w:r>
      <w:r w:rsidRPr="00C16D1F">
        <w:rPr>
          <w:rFonts w:ascii="Constantia" w:hAnsi="Constantia" w:cs="Times New Roman"/>
          <w:noProof/>
          <w:sz w:val="20"/>
        </w:rPr>
        <w:t xml:space="preserve">(1), 31–38. </w:t>
      </w:r>
    </w:p>
    <w:p w14:paraId="3A0087A3"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Singh, B., Pathania, A., Gupta, M., Saini, A., &amp; Shukla, A. 2021. Influence Of The Packing Density Of Fine Particles In Ternary, Quaternary And Quinary Blends On High Performance Concrete. Rilem Bookseries, </w:t>
      </w:r>
      <w:r w:rsidRPr="005511E6">
        <w:rPr>
          <w:rFonts w:ascii="Constantia" w:hAnsi="Constantia" w:cs="Times New Roman"/>
          <w:b/>
          <w:bCs/>
          <w:noProof/>
          <w:sz w:val="20"/>
        </w:rPr>
        <w:t>29</w:t>
      </w:r>
      <w:r w:rsidRPr="00C16D1F">
        <w:rPr>
          <w:rFonts w:ascii="Constantia" w:hAnsi="Constantia" w:cs="Times New Roman"/>
          <w:noProof/>
          <w:sz w:val="20"/>
        </w:rPr>
        <w:t xml:space="preserve">(January), 465–482. </w:t>
      </w:r>
    </w:p>
    <w:p w14:paraId="41605846"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Taylor, H. F. W. 1997. Cement Chemistry. 2nd Ed. Academic Press, </w:t>
      </w:r>
      <w:r w:rsidRPr="005511E6">
        <w:rPr>
          <w:rFonts w:ascii="Constantia" w:hAnsi="Constantia" w:cs="Times New Roman"/>
          <w:b/>
          <w:bCs/>
          <w:noProof/>
          <w:sz w:val="20"/>
        </w:rPr>
        <w:t>20</w:t>
      </w:r>
      <w:r w:rsidRPr="00C16D1F">
        <w:rPr>
          <w:rFonts w:ascii="Constantia" w:hAnsi="Constantia" w:cs="Times New Roman"/>
          <w:noProof/>
          <w:sz w:val="20"/>
        </w:rPr>
        <w:t>(4), 335.</w:t>
      </w:r>
    </w:p>
    <w:p w14:paraId="28274A07" w14:textId="77777777" w:rsidR="00B42B94"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Utami, N., &amp; Cahyo, E. 2022. Sifat Mekanik Komposit Fiberglass Melalui Uji Lentur. Teknika Sttkd: Jurnal Teknik, Elektronik, Engine, </w:t>
      </w:r>
      <w:r w:rsidRPr="005511E6">
        <w:rPr>
          <w:rFonts w:ascii="Constantia" w:hAnsi="Constantia" w:cs="Times New Roman"/>
          <w:b/>
          <w:bCs/>
          <w:noProof/>
          <w:sz w:val="20"/>
        </w:rPr>
        <w:t>8</w:t>
      </w:r>
      <w:r>
        <w:rPr>
          <w:rFonts w:ascii="Constantia" w:hAnsi="Constantia" w:cs="Times New Roman"/>
          <w:noProof/>
          <w:sz w:val="20"/>
        </w:rPr>
        <w:t xml:space="preserve"> </w:t>
      </w:r>
      <w:r w:rsidRPr="00C16D1F">
        <w:rPr>
          <w:rFonts w:ascii="Constantia" w:hAnsi="Constantia" w:cs="Times New Roman"/>
          <w:noProof/>
          <w:sz w:val="20"/>
        </w:rPr>
        <w:t xml:space="preserve">(2), 322–329. </w:t>
      </w:r>
    </w:p>
    <w:p w14:paraId="064FA4CB" w14:textId="77777777" w:rsidR="00B42B94" w:rsidRPr="00025B53" w:rsidRDefault="00B42B94" w:rsidP="00B42B94">
      <w:pPr>
        <w:widowControl w:val="0"/>
        <w:autoSpaceDE w:val="0"/>
        <w:autoSpaceDN w:val="0"/>
        <w:adjustRightInd w:val="0"/>
        <w:spacing w:after="0" w:line="240" w:lineRule="auto"/>
        <w:ind w:left="480" w:hanging="480"/>
        <w:rPr>
          <w:rFonts w:ascii="Constantia" w:hAnsi="Constantia" w:cs="Times New Roman"/>
          <w:noProof/>
          <w:sz w:val="20"/>
        </w:rPr>
      </w:pPr>
      <w:r w:rsidRPr="00854062">
        <w:rPr>
          <w:rFonts w:ascii="Constantia" w:hAnsi="Constantia" w:cs="Times New Roman"/>
          <w:noProof/>
          <w:sz w:val="20"/>
        </w:rPr>
        <w:t xml:space="preserve">Wang, Y., Li, L., An, M., Sun, Y., Yu, Z., &amp; Huang, H. 2022. Factors Influencing the Capillary Water Absorption Characteristics of Concrete and Their Relationship to Pore Structure. </w:t>
      </w:r>
      <w:r w:rsidRPr="00025B53">
        <w:rPr>
          <w:rFonts w:ascii="Constantia" w:hAnsi="Constantia" w:cs="Times New Roman"/>
          <w:noProof/>
          <w:sz w:val="20"/>
        </w:rPr>
        <w:t>Applied Sciences (Switzerland),</w:t>
      </w:r>
      <w:r w:rsidRPr="00025B53">
        <w:rPr>
          <w:rFonts w:ascii="Constantia" w:hAnsi="Constantia" w:cs="Times New Roman"/>
          <w:b/>
          <w:bCs/>
          <w:noProof/>
          <w:sz w:val="20"/>
        </w:rPr>
        <w:t xml:space="preserve"> 12</w:t>
      </w:r>
      <w:r>
        <w:rPr>
          <w:rFonts w:ascii="Constantia" w:hAnsi="Constantia" w:cs="Times New Roman"/>
          <w:noProof/>
          <w:sz w:val="20"/>
        </w:rPr>
        <w:t xml:space="preserve"> </w:t>
      </w:r>
      <w:r w:rsidRPr="00025B53">
        <w:rPr>
          <w:rFonts w:ascii="Constantia" w:hAnsi="Constantia" w:cs="Times New Roman"/>
          <w:noProof/>
          <w:sz w:val="20"/>
        </w:rPr>
        <w:t>(4).</w:t>
      </w:r>
    </w:p>
    <w:p w14:paraId="3871C6B4"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cs="Times New Roman"/>
          <w:noProof/>
          <w:sz w:val="20"/>
        </w:rPr>
      </w:pPr>
      <w:r w:rsidRPr="00C16D1F">
        <w:rPr>
          <w:rFonts w:ascii="Constantia" w:hAnsi="Constantia" w:cs="Times New Roman"/>
          <w:noProof/>
          <w:sz w:val="20"/>
        </w:rPr>
        <w:t xml:space="preserve">Wijaya, S. P. I., &amp; Sudjatmiko, A. 2023. Analisis Pengaruh Limbah Serbuk Kaca Pada Beton Terhadap Kuat Tekan, Kuat Lentur Dan Absorbsi. Universitas Muhammadiyah Surakarta, </w:t>
      </w:r>
      <w:r w:rsidRPr="005511E6">
        <w:rPr>
          <w:rFonts w:ascii="Constantia" w:hAnsi="Constantia" w:cs="Times New Roman"/>
          <w:b/>
          <w:bCs/>
          <w:noProof/>
          <w:sz w:val="20"/>
        </w:rPr>
        <w:t>1</w:t>
      </w:r>
      <w:r>
        <w:rPr>
          <w:rFonts w:ascii="Constantia" w:hAnsi="Constantia" w:cs="Times New Roman"/>
          <w:noProof/>
          <w:sz w:val="20"/>
        </w:rPr>
        <w:t xml:space="preserve"> </w:t>
      </w:r>
      <w:r w:rsidRPr="00C16D1F">
        <w:rPr>
          <w:rFonts w:ascii="Constantia" w:hAnsi="Constantia" w:cs="Times New Roman"/>
          <w:noProof/>
          <w:sz w:val="20"/>
        </w:rPr>
        <w:t xml:space="preserve">(1), 53–54. </w:t>
      </w:r>
    </w:p>
    <w:p w14:paraId="7FE0C1C0" w14:textId="77777777" w:rsidR="00B42B94" w:rsidRPr="00C16D1F" w:rsidRDefault="00B42B94" w:rsidP="00B42B94">
      <w:pPr>
        <w:widowControl w:val="0"/>
        <w:autoSpaceDE w:val="0"/>
        <w:autoSpaceDN w:val="0"/>
        <w:adjustRightInd w:val="0"/>
        <w:spacing w:after="0" w:line="240" w:lineRule="auto"/>
        <w:ind w:left="480" w:hanging="480"/>
        <w:jc w:val="both"/>
        <w:rPr>
          <w:rFonts w:ascii="Constantia" w:hAnsi="Constantia"/>
          <w:noProof/>
          <w:sz w:val="20"/>
        </w:rPr>
      </w:pPr>
      <w:r w:rsidRPr="00C16D1F">
        <w:rPr>
          <w:rFonts w:ascii="Constantia" w:hAnsi="Constantia" w:cs="Times New Roman"/>
          <w:noProof/>
          <w:sz w:val="20"/>
        </w:rPr>
        <w:t xml:space="preserve">Yuwana, H. P., &amp; Purnomo, S. 2022. Pengaruh Gradasi Pasir Terhadap Kekuatan Tekan Mortar Dalam Perencanaan Sementasi Limbah Radioaktif. Jurnal Pengawasan Tenaga Nuklir, December, 42–51. </w:t>
      </w:r>
    </w:p>
    <w:p w14:paraId="6F5142DC" w14:textId="6C75E533" w:rsidR="00B42B94" w:rsidRPr="00CB2DD3" w:rsidRDefault="00B42B94" w:rsidP="00B42B94">
      <w:pPr>
        <w:widowControl w:val="0"/>
        <w:autoSpaceDE w:val="0"/>
        <w:autoSpaceDN w:val="0"/>
        <w:adjustRightInd w:val="0"/>
        <w:spacing w:after="0" w:line="240" w:lineRule="auto"/>
        <w:ind w:left="480" w:hanging="480"/>
        <w:rPr>
          <w:rFonts w:ascii="Constantia" w:hAnsi="Constantia"/>
          <w:noProof/>
          <w:sz w:val="20"/>
        </w:rPr>
      </w:pPr>
    </w:p>
    <w:p w14:paraId="03EBA897" w14:textId="7937E19F" w:rsidR="00CB2DD3" w:rsidRPr="00CB2DD3" w:rsidRDefault="00CB2DD3" w:rsidP="00CB2DD3">
      <w:pPr>
        <w:widowControl w:val="0"/>
        <w:autoSpaceDE w:val="0"/>
        <w:autoSpaceDN w:val="0"/>
        <w:adjustRightInd w:val="0"/>
        <w:spacing w:after="0" w:line="240" w:lineRule="auto"/>
        <w:ind w:left="480" w:hanging="480"/>
        <w:rPr>
          <w:rFonts w:ascii="Constantia" w:hAnsi="Constantia"/>
          <w:noProof/>
          <w:sz w:val="20"/>
        </w:rPr>
      </w:pPr>
    </w:p>
    <w:p w14:paraId="2B24756E" w14:textId="60029B30" w:rsidR="005D4FA1" w:rsidRDefault="00B81079" w:rsidP="005B77EB">
      <w:pPr>
        <w:spacing w:after="0"/>
        <w:ind w:right="-62"/>
        <w:jc w:val="both"/>
        <w:rPr>
          <w:rFonts w:ascii="Constantia" w:eastAsia="Constantia" w:hAnsi="Constantia" w:cs="Constantia"/>
          <w:sz w:val="20"/>
          <w:szCs w:val="20"/>
        </w:rPr>
      </w:pPr>
      <w:r>
        <w:rPr>
          <w:rFonts w:ascii="Constantia" w:eastAsia="Constantia" w:hAnsi="Constantia" w:cs="Constantia"/>
          <w:sz w:val="20"/>
          <w:szCs w:val="20"/>
        </w:rPr>
        <w:fldChar w:fldCharType="end"/>
      </w:r>
    </w:p>
    <w:p w14:paraId="2B2475A0" w14:textId="77777777" w:rsidR="005D4FA1" w:rsidRDefault="005D4FA1">
      <w:pPr>
        <w:spacing w:after="0"/>
        <w:rPr>
          <w:rFonts w:ascii="Constantia" w:eastAsia="Constantia" w:hAnsi="Constantia" w:cs="Constantia"/>
        </w:rPr>
      </w:pPr>
    </w:p>
    <w:sectPr w:rsidR="005D4FA1">
      <w:footerReference w:type="even" r:id="rId19"/>
      <w:footerReference w:type="default" r:id="rId20"/>
      <w:footerReference w:type="first" r:id="rId21"/>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8A14" w14:textId="77777777" w:rsidR="0073132D" w:rsidRDefault="0073132D">
      <w:pPr>
        <w:spacing w:after="0" w:line="240" w:lineRule="auto"/>
      </w:pPr>
      <w:r>
        <w:separator/>
      </w:r>
    </w:p>
  </w:endnote>
  <w:endnote w:type="continuationSeparator" w:id="0">
    <w:p w14:paraId="48620300" w14:textId="77777777" w:rsidR="0073132D" w:rsidRDefault="0073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D4BAEA7-7EDE-421A-ADE3-5D3F8568143A}"/>
  </w:font>
  <w:font w:name="Calibri">
    <w:panose1 w:val="020F0502020204030204"/>
    <w:charset w:val="00"/>
    <w:family w:val="swiss"/>
    <w:pitch w:val="variable"/>
    <w:sig w:usb0="E4002EFF" w:usb1="C200247B" w:usb2="00000009" w:usb3="00000000" w:csb0="000001FF" w:csb1="00000000"/>
    <w:embedRegular r:id="rId2" w:fontKey="{1EF3219E-35EF-49F0-97F2-EC76DDC8A0DB}"/>
    <w:embedBold r:id="rId3" w:fontKey="{6D36198D-AC0C-4E3A-B7D8-09677321CF5E}"/>
    <w:embedItalic r:id="rId4" w:fontKey="{0DCF4404-3EDD-412F-9F89-60B6578CF8E9}"/>
  </w:font>
  <w:font w:name="Tahoma">
    <w:panose1 w:val="020B0604030504040204"/>
    <w:charset w:val="00"/>
    <w:family w:val="swiss"/>
    <w:pitch w:val="variable"/>
    <w:sig w:usb0="E1002EFF" w:usb1="C000605B" w:usb2="00000029" w:usb3="00000000" w:csb0="000101FF" w:csb1="00000000"/>
    <w:embedRegular r:id="rId5" w:fontKey="{DD4D988F-1E10-4BFC-A4B6-0819C2209E84}"/>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6" w:fontKey="{1FBCA024-47F1-4CC4-A331-81AE7F6E09C1}"/>
    <w:embedItalic r:id="rId7" w:fontKey="{3A6122DB-ED9C-432E-8FF0-1A35BEA94ACD}"/>
  </w:font>
  <w:font w:name="Georgia">
    <w:panose1 w:val="02040502050405020303"/>
    <w:charset w:val="00"/>
    <w:family w:val="roman"/>
    <w:pitch w:val="variable"/>
    <w:sig w:usb0="00000287" w:usb1="00000000" w:usb2="00000000" w:usb3="00000000" w:csb0="0000009F" w:csb1="00000000"/>
    <w:embedRegular r:id="rId8" w:fontKey="{DCF8DA78-3702-43D5-A2D4-7F7FF91622C9}"/>
    <w:embedItalic r:id="rId9" w:fontKey="{891AA4F1-E6EF-47E4-93DF-AF0B283E7D65}"/>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embedRegular r:id="rId10" w:fontKey="{04E21A46-FFB6-40B6-AA34-0F5FBCCB6C9E}"/>
    <w:embedBold r:id="rId11" w:fontKey="{88D7500F-539C-4391-A9DE-DFB632362624}"/>
    <w:embedItalic r:id="rId12" w:fontKey="{132DD217-6999-4840-AAAD-4B4C3100F97D}"/>
    <w:embedBoldItalic r:id="rId13" w:fontKey="{3D200774-2D16-4160-9A8D-3F3517B59F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7649" w14:textId="77777777" w:rsidR="005D4FA1" w:rsidRDefault="004234C6">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2B24764C" wp14:editId="2B24764D">
              <wp:simplePos x="0" y="0"/>
              <wp:positionH relativeFrom="column">
                <wp:posOffset>1</wp:posOffset>
              </wp:positionH>
              <wp:positionV relativeFrom="paragraph">
                <wp:posOffset>0</wp:posOffset>
              </wp:positionV>
              <wp:extent cx="541020" cy="469900"/>
              <wp:effectExtent l="0" t="0" r="0" b="0"/>
              <wp:wrapNone/>
              <wp:docPr id="16" name="Flowchart: Alternate Process 16"/>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2B247654" w14:textId="77777777" w:rsidR="005D4FA1" w:rsidRDefault="004234C6">
                          <w:pPr>
                            <w:spacing w:after="0" w:line="240" w:lineRule="auto"/>
                            <w:jc w:val="center"/>
                            <w:textDirection w:val="btLr"/>
                          </w:pPr>
                          <w:r>
                            <w:rPr>
                              <w:rFonts w:ascii="Cambria" w:eastAsia="Cambria" w:hAnsi="Cambria" w:cs="Cambria"/>
                              <w:color w:val="000000"/>
                              <w:sz w:val="16"/>
                            </w:rPr>
                            <w:t xml:space="preserve"> PAGE    \* MERGEFORMAT 6</w:t>
                          </w:r>
                        </w:p>
                      </w:txbxContent>
                    </wps:txbx>
                    <wps:bodyPr spcFirstLastPara="1" wrap="square" lIns="91425" tIns="45700" rIns="91425" bIns="45700" anchor="t" anchorCtr="0">
                      <a:noAutofit/>
                    </wps:bodyPr>
                  </wps:wsp>
                </a:graphicData>
              </a:graphic>
            </wp:anchor>
          </w:drawing>
        </mc:Choice>
        <mc:Fallback>
          <w:pict>
            <v:shapetype w14:anchorId="2B24764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0;margin-top:0;width:42.6pt;height:3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" filled="f" stroked="f">
              <v:textbox inset="2.53958mm,1.2694mm,2.53958mm,1.2694mm">
                <w:txbxContent>
                  <w:p w14:paraId="2B247654" w14:textId="77777777" w:rsidR="005D4FA1" w:rsidRDefault="004234C6">
                    <w:pPr>
                      <w:spacing w:after="0" w:line="240" w:lineRule="auto"/>
                      <w:jc w:val="center"/>
                      <w:textDirection w:val="btLr"/>
                    </w:pPr>
                    <w:r>
                      <w:rPr>
                        <w:rFonts w:ascii="Cambria" w:eastAsia="Cambria" w:hAnsi="Cambria" w:cs="Cambria"/>
                        <w:color w:val="000000"/>
                        <w:sz w:val="16"/>
                      </w:rPr>
                      <w:t xml:space="preserve"> PAGE    \* MERGEFORMAT 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764A" w14:textId="77777777" w:rsidR="005D4FA1" w:rsidRDefault="004234C6">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2B24764E" wp14:editId="2B24764F">
              <wp:simplePos x="0" y="0"/>
              <wp:positionH relativeFrom="column">
                <wp:posOffset>5181600</wp:posOffset>
              </wp:positionH>
              <wp:positionV relativeFrom="paragraph">
                <wp:posOffset>0</wp:posOffset>
              </wp:positionV>
              <wp:extent cx="541020" cy="469900"/>
              <wp:effectExtent l="0" t="0" r="0" b="0"/>
              <wp:wrapNone/>
              <wp:docPr id="17" name="Flowchart: Alternate Process 17"/>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2B247652" w14:textId="77777777" w:rsidR="005D4FA1" w:rsidRDefault="004234C6">
                          <w:pPr>
                            <w:spacing w:after="0" w:line="240" w:lineRule="auto"/>
                            <w:jc w:val="center"/>
                            <w:textDirection w:val="btLr"/>
                          </w:pPr>
                          <w:r>
                            <w:rPr>
                              <w:rFonts w:ascii="Cambria" w:eastAsia="Cambria" w:hAnsi="Cambria" w:cs="Cambria"/>
                              <w:color w:val="000000"/>
                              <w:sz w:val="16"/>
                            </w:rPr>
                            <w:t xml:space="preserve">  </w:t>
                          </w:r>
                          <w:r>
                            <w:rPr>
                              <w:rFonts w:ascii="Cambria" w:eastAsia="Cambria" w:hAnsi="Cambria" w:cs="Cambria"/>
                              <w:color w:val="000000"/>
                              <w:sz w:val="16"/>
                            </w:rPr>
                            <w:t xml:space="preserve">PAGE    </w:t>
                          </w:r>
                          <w:r>
                            <w:rPr>
                              <w:rFonts w:ascii="Cambria" w:eastAsia="Cambria" w:hAnsi="Cambria" w:cs="Cambria"/>
                              <w:color w:val="000000"/>
                              <w:sz w:val="16"/>
                            </w:rPr>
                            <w:t>\* MERGEFORMAT 5</w:t>
                          </w:r>
                        </w:p>
                      </w:txbxContent>
                    </wps:txbx>
                    <wps:bodyPr spcFirstLastPara="1" wrap="square" lIns="91425" tIns="45700" rIns="91425" bIns="45700" anchor="t" anchorCtr="0">
                      <a:noAutofit/>
                    </wps:bodyPr>
                  </wps:wsp>
                </a:graphicData>
              </a:graphic>
            </wp:anchor>
          </w:drawing>
        </mc:Choice>
        <mc:Fallback>
          <w:pict>
            <v:shapetype w14:anchorId="2B24764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408pt;margin-top:0;width:42.6pt;height: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Cj51OVywEAAHUDAAAOAAAA&#10;AAAAAAAAAAAAAC4CAABkcnMvZTJvRG9jLnhtbFBLAQItABQABgAIAAAAIQBIYUxi3gAAAAcBAAAP&#10;AAAAAAAAAAAAAAAAACUEAABkcnMvZG93bnJldi54bWxQSwUGAAAAAAQABADzAAAAMAUAAAAA&#10;" filled="f" stroked="f">
              <v:textbox inset="2.53958mm,1.2694mm,2.53958mm,1.2694mm">
                <w:txbxContent>
                  <w:p w14:paraId="2B247652" w14:textId="77777777" w:rsidR="005D4FA1" w:rsidRDefault="004234C6">
                    <w:pPr>
                      <w:spacing w:after="0" w:line="240" w:lineRule="auto"/>
                      <w:jc w:val="center"/>
                      <w:textDirection w:val="btLr"/>
                    </w:pPr>
                    <w:r>
                      <w:rPr>
                        <w:rFonts w:ascii="Cambria" w:eastAsia="Cambria" w:hAnsi="Cambria" w:cs="Cambria"/>
                        <w:color w:val="000000"/>
                        <w:sz w:val="16"/>
                      </w:rPr>
                      <w:t xml:space="preserve">  </w:t>
                    </w:r>
                    <w:r>
                      <w:rPr>
                        <w:rFonts w:ascii="Cambria" w:eastAsia="Cambria" w:hAnsi="Cambria" w:cs="Cambria"/>
                        <w:color w:val="000000"/>
                        <w:sz w:val="16"/>
                      </w:rPr>
                      <w:t xml:space="preserve">PAGE    </w:t>
                    </w:r>
                    <w:r>
                      <w:rPr>
                        <w:rFonts w:ascii="Cambria" w:eastAsia="Cambria" w:hAnsi="Cambria" w:cs="Cambria"/>
                        <w:color w:val="000000"/>
                        <w:sz w:val="16"/>
                      </w:rPr>
                      <w:t>\* MERGEFORMAT 5</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764B" w14:textId="77777777" w:rsidR="005D4FA1" w:rsidRDefault="004234C6">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2B247650" wp14:editId="2B247651">
              <wp:simplePos x="0" y="0"/>
              <wp:positionH relativeFrom="column">
                <wp:posOffset>5181600</wp:posOffset>
              </wp:positionH>
              <wp:positionV relativeFrom="paragraph">
                <wp:posOffset>0</wp:posOffset>
              </wp:positionV>
              <wp:extent cx="541020" cy="469900"/>
              <wp:effectExtent l="0" t="0" r="0" b="0"/>
              <wp:wrapNone/>
              <wp:docPr id="15" name="Flowchart: Alternate Process 15"/>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2B247653" w14:textId="77777777" w:rsidR="005D4FA1" w:rsidRDefault="004234C6">
                          <w:pPr>
                            <w:spacing w:after="0" w:line="240" w:lineRule="auto"/>
                            <w:jc w:val="center"/>
                            <w:textDirection w:val="btLr"/>
                          </w:pPr>
                          <w:r>
                            <w:rPr>
                              <w:rFonts w:ascii="Cambria" w:eastAsia="Cambria" w:hAnsi="Cambria" w:cs="Cambria"/>
                              <w:color w:val="000000"/>
                              <w:sz w:val="16"/>
                            </w:rPr>
                            <w:t xml:space="preserve"> </w:t>
                          </w:r>
                          <w:r>
                            <w:rPr>
                              <w:rFonts w:ascii="Cambria" w:eastAsia="Cambria" w:hAnsi="Cambria" w:cs="Cambria"/>
                              <w:color w:val="000000"/>
                              <w:sz w:val="16"/>
                            </w:rPr>
                            <w:t xml:space="preserve">PAGE    </w:t>
                          </w:r>
                          <w:r>
                            <w:rPr>
                              <w:rFonts w:ascii="Cambria" w:eastAsia="Cambria" w:hAnsi="Cambria" w:cs="Cambria"/>
                              <w:color w:val="000000"/>
                              <w:sz w:val="16"/>
                            </w:rPr>
                            <w:t>\* MERGEFORMAT 1</w:t>
                          </w:r>
                        </w:p>
                      </w:txbxContent>
                    </wps:txbx>
                    <wps:bodyPr spcFirstLastPara="1" wrap="square" lIns="91425" tIns="45700" rIns="91425" bIns="45700" anchor="t" anchorCtr="0">
                      <a:noAutofit/>
                    </wps:bodyPr>
                  </wps:wsp>
                </a:graphicData>
              </a:graphic>
            </wp:anchor>
          </w:drawing>
        </mc:Choice>
        <mc:Fallback>
          <w:pict>
            <v:shapetype w14:anchorId="2B24765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28" type="#_x0000_t176" style="position:absolute;margin-left:408pt;margin-top:0;width:42.6pt;height:3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BygC8tywEAAHUDAAAOAAAA&#10;AAAAAAAAAAAAAC4CAABkcnMvZTJvRG9jLnhtbFBLAQItABQABgAIAAAAIQBIYUxi3gAAAAcBAAAP&#10;AAAAAAAAAAAAAAAAACUEAABkcnMvZG93bnJldi54bWxQSwUGAAAAAAQABADzAAAAMAUAAAAA&#10;" filled="f" stroked="f">
              <v:textbox inset="2.53958mm,1.2694mm,2.53958mm,1.2694mm">
                <w:txbxContent>
                  <w:p w14:paraId="2B247653" w14:textId="77777777" w:rsidR="005D4FA1" w:rsidRDefault="004234C6">
                    <w:pPr>
                      <w:spacing w:after="0" w:line="240" w:lineRule="auto"/>
                      <w:jc w:val="center"/>
                      <w:textDirection w:val="btLr"/>
                    </w:pPr>
                    <w:r>
                      <w:rPr>
                        <w:rFonts w:ascii="Cambria" w:eastAsia="Cambria" w:hAnsi="Cambria" w:cs="Cambria"/>
                        <w:color w:val="000000"/>
                        <w:sz w:val="16"/>
                      </w:rPr>
                      <w:t xml:space="preserve"> </w:t>
                    </w:r>
                    <w:r>
                      <w:rPr>
                        <w:rFonts w:ascii="Cambria" w:eastAsia="Cambria" w:hAnsi="Cambria" w:cs="Cambria"/>
                        <w:color w:val="000000"/>
                        <w:sz w:val="16"/>
                      </w:rPr>
                      <w:t xml:space="preserve">PAGE    </w:t>
                    </w:r>
                    <w:r>
                      <w:rPr>
                        <w:rFonts w:ascii="Cambria" w:eastAsia="Cambria" w:hAnsi="Cambria" w:cs="Cambria"/>
                        <w:color w:val="000000"/>
                        <w:sz w:val="16"/>
                      </w:rPr>
                      <w:t>\*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FAE1" w14:textId="77777777" w:rsidR="0073132D" w:rsidRDefault="0073132D">
      <w:pPr>
        <w:spacing w:after="0" w:line="240" w:lineRule="auto"/>
      </w:pPr>
      <w:r>
        <w:separator/>
      </w:r>
    </w:p>
  </w:footnote>
  <w:footnote w:type="continuationSeparator" w:id="0">
    <w:p w14:paraId="09CA962F" w14:textId="77777777" w:rsidR="0073132D" w:rsidRDefault="00731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6562"/>
    <w:multiLevelType w:val="multilevel"/>
    <w:tmpl w:val="50FAE9F0"/>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5C45AC"/>
    <w:multiLevelType w:val="multilevel"/>
    <w:tmpl w:val="429AA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B66BB6"/>
    <w:multiLevelType w:val="multilevel"/>
    <w:tmpl w:val="01AEEBE8"/>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0A970E7"/>
    <w:multiLevelType w:val="multilevel"/>
    <w:tmpl w:val="463238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22E2671"/>
    <w:multiLevelType w:val="multilevel"/>
    <w:tmpl w:val="E034C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C9172B"/>
    <w:multiLevelType w:val="multilevel"/>
    <w:tmpl w:val="19C86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452023">
    <w:abstractNumId w:val="3"/>
  </w:num>
  <w:num w:numId="2" w16cid:durableId="335304101">
    <w:abstractNumId w:val="4"/>
  </w:num>
  <w:num w:numId="3" w16cid:durableId="1715956991">
    <w:abstractNumId w:val="2"/>
  </w:num>
  <w:num w:numId="4" w16cid:durableId="881093374">
    <w:abstractNumId w:val="1"/>
  </w:num>
  <w:num w:numId="5" w16cid:durableId="260719583">
    <w:abstractNumId w:val="0"/>
  </w:num>
  <w:num w:numId="6" w16cid:durableId="262567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A1"/>
    <w:rsid w:val="0001067A"/>
    <w:rsid w:val="00010E1A"/>
    <w:rsid w:val="00011D75"/>
    <w:rsid w:val="00015AB7"/>
    <w:rsid w:val="000160DD"/>
    <w:rsid w:val="00017DBD"/>
    <w:rsid w:val="00017E22"/>
    <w:rsid w:val="00021BB8"/>
    <w:rsid w:val="000225EA"/>
    <w:rsid w:val="00025B53"/>
    <w:rsid w:val="0003245F"/>
    <w:rsid w:val="00032FB9"/>
    <w:rsid w:val="000344B2"/>
    <w:rsid w:val="0003666B"/>
    <w:rsid w:val="00044525"/>
    <w:rsid w:val="000464B2"/>
    <w:rsid w:val="0005052A"/>
    <w:rsid w:val="000513B1"/>
    <w:rsid w:val="000519A3"/>
    <w:rsid w:val="00053FAD"/>
    <w:rsid w:val="00054B9A"/>
    <w:rsid w:val="00055528"/>
    <w:rsid w:val="00057D0D"/>
    <w:rsid w:val="0006057B"/>
    <w:rsid w:val="0006061B"/>
    <w:rsid w:val="0006199A"/>
    <w:rsid w:val="000635A6"/>
    <w:rsid w:val="00070824"/>
    <w:rsid w:val="00071EFE"/>
    <w:rsid w:val="000811EB"/>
    <w:rsid w:val="000849B1"/>
    <w:rsid w:val="00084B47"/>
    <w:rsid w:val="000875EA"/>
    <w:rsid w:val="00090BFD"/>
    <w:rsid w:val="00091FB1"/>
    <w:rsid w:val="00093468"/>
    <w:rsid w:val="00093714"/>
    <w:rsid w:val="00093ED0"/>
    <w:rsid w:val="00097970"/>
    <w:rsid w:val="000A05C3"/>
    <w:rsid w:val="000A067D"/>
    <w:rsid w:val="000A0FDF"/>
    <w:rsid w:val="000A2205"/>
    <w:rsid w:val="000A4D22"/>
    <w:rsid w:val="000A5038"/>
    <w:rsid w:val="000B059C"/>
    <w:rsid w:val="000B1CB8"/>
    <w:rsid w:val="000B229F"/>
    <w:rsid w:val="000B24D7"/>
    <w:rsid w:val="000C1FA2"/>
    <w:rsid w:val="000C6418"/>
    <w:rsid w:val="000C6642"/>
    <w:rsid w:val="000C7B4B"/>
    <w:rsid w:val="000D0DF2"/>
    <w:rsid w:val="000D53DF"/>
    <w:rsid w:val="000D67E4"/>
    <w:rsid w:val="000E02C3"/>
    <w:rsid w:val="000E626E"/>
    <w:rsid w:val="000F2D09"/>
    <w:rsid w:val="000F2F13"/>
    <w:rsid w:val="000F6205"/>
    <w:rsid w:val="000F7F51"/>
    <w:rsid w:val="00102425"/>
    <w:rsid w:val="001044E9"/>
    <w:rsid w:val="001077C4"/>
    <w:rsid w:val="00107D37"/>
    <w:rsid w:val="00111A46"/>
    <w:rsid w:val="0011739F"/>
    <w:rsid w:val="00117D04"/>
    <w:rsid w:val="00120144"/>
    <w:rsid w:val="00123901"/>
    <w:rsid w:val="00123BEA"/>
    <w:rsid w:val="00126A98"/>
    <w:rsid w:val="00126CFE"/>
    <w:rsid w:val="00127766"/>
    <w:rsid w:val="00130CB4"/>
    <w:rsid w:val="0013434F"/>
    <w:rsid w:val="00136CC0"/>
    <w:rsid w:val="00142C81"/>
    <w:rsid w:val="00150D3B"/>
    <w:rsid w:val="00150DE7"/>
    <w:rsid w:val="00151E13"/>
    <w:rsid w:val="0015379D"/>
    <w:rsid w:val="00160717"/>
    <w:rsid w:val="00165D39"/>
    <w:rsid w:val="0017336E"/>
    <w:rsid w:val="00180013"/>
    <w:rsid w:val="001860C5"/>
    <w:rsid w:val="001900B4"/>
    <w:rsid w:val="00192F00"/>
    <w:rsid w:val="001A0656"/>
    <w:rsid w:val="001A0AA6"/>
    <w:rsid w:val="001A2359"/>
    <w:rsid w:val="001A4419"/>
    <w:rsid w:val="001B0993"/>
    <w:rsid w:val="001B0B1C"/>
    <w:rsid w:val="001B23D0"/>
    <w:rsid w:val="001B3557"/>
    <w:rsid w:val="001C0AB8"/>
    <w:rsid w:val="001C1CDB"/>
    <w:rsid w:val="001C35EF"/>
    <w:rsid w:val="001C5E3F"/>
    <w:rsid w:val="001C7E45"/>
    <w:rsid w:val="001D4BC4"/>
    <w:rsid w:val="001D63F8"/>
    <w:rsid w:val="001D7341"/>
    <w:rsid w:val="001E128A"/>
    <w:rsid w:val="001E2E48"/>
    <w:rsid w:val="001F4B18"/>
    <w:rsid w:val="00200549"/>
    <w:rsid w:val="00201F83"/>
    <w:rsid w:val="00203D8E"/>
    <w:rsid w:val="00210940"/>
    <w:rsid w:val="0021159D"/>
    <w:rsid w:val="00216887"/>
    <w:rsid w:val="002172C3"/>
    <w:rsid w:val="00220CDC"/>
    <w:rsid w:val="00221718"/>
    <w:rsid w:val="00226B59"/>
    <w:rsid w:val="00226B8C"/>
    <w:rsid w:val="00227D3F"/>
    <w:rsid w:val="00232898"/>
    <w:rsid w:val="00232F37"/>
    <w:rsid w:val="002339BB"/>
    <w:rsid w:val="00234FF8"/>
    <w:rsid w:val="00236480"/>
    <w:rsid w:val="002374E7"/>
    <w:rsid w:val="00237611"/>
    <w:rsid w:val="002411F8"/>
    <w:rsid w:val="00241C8A"/>
    <w:rsid w:val="00243BF0"/>
    <w:rsid w:val="00247869"/>
    <w:rsid w:val="0025463A"/>
    <w:rsid w:val="00254A6D"/>
    <w:rsid w:val="00256309"/>
    <w:rsid w:val="00257A8B"/>
    <w:rsid w:val="00277A6A"/>
    <w:rsid w:val="002822C6"/>
    <w:rsid w:val="00285228"/>
    <w:rsid w:val="002912EC"/>
    <w:rsid w:val="00292FDA"/>
    <w:rsid w:val="002969E3"/>
    <w:rsid w:val="00296D1F"/>
    <w:rsid w:val="00296EE0"/>
    <w:rsid w:val="002A66B9"/>
    <w:rsid w:val="002C4982"/>
    <w:rsid w:val="002C6719"/>
    <w:rsid w:val="002C7145"/>
    <w:rsid w:val="002C767D"/>
    <w:rsid w:val="002D1132"/>
    <w:rsid w:val="002D21B7"/>
    <w:rsid w:val="002D26C9"/>
    <w:rsid w:val="002D456A"/>
    <w:rsid w:val="002E1C97"/>
    <w:rsid w:val="002E2B82"/>
    <w:rsid w:val="002E3085"/>
    <w:rsid w:val="002E61BB"/>
    <w:rsid w:val="002E77E5"/>
    <w:rsid w:val="002F5DD0"/>
    <w:rsid w:val="00306EF8"/>
    <w:rsid w:val="003102C4"/>
    <w:rsid w:val="00310480"/>
    <w:rsid w:val="003104A8"/>
    <w:rsid w:val="00311AB0"/>
    <w:rsid w:val="00312E5E"/>
    <w:rsid w:val="00316469"/>
    <w:rsid w:val="003244E8"/>
    <w:rsid w:val="00324B4F"/>
    <w:rsid w:val="0033071D"/>
    <w:rsid w:val="0033325C"/>
    <w:rsid w:val="00334B72"/>
    <w:rsid w:val="00335EFF"/>
    <w:rsid w:val="0033693C"/>
    <w:rsid w:val="00336B16"/>
    <w:rsid w:val="00340C74"/>
    <w:rsid w:val="003423E0"/>
    <w:rsid w:val="0034412B"/>
    <w:rsid w:val="00344C1D"/>
    <w:rsid w:val="00350D66"/>
    <w:rsid w:val="0035199A"/>
    <w:rsid w:val="0035280B"/>
    <w:rsid w:val="00360148"/>
    <w:rsid w:val="00361030"/>
    <w:rsid w:val="00365EB4"/>
    <w:rsid w:val="003700FF"/>
    <w:rsid w:val="00371254"/>
    <w:rsid w:val="00371A0F"/>
    <w:rsid w:val="00372556"/>
    <w:rsid w:val="003806FB"/>
    <w:rsid w:val="003822DF"/>
    <w:rsid w:val="003836CA"/>
    <w:rsid w:val="003872CD"/>
    <w:rsid w:val="003912E8"/>
    <w:rsid w:val="003974E9"/>
    <w:rsid w:val="003A34C6"/>
    <w:rsid w:val="003B0680"/>
    <w:rsid w:val="003B1934"/>
    <w:rsid w:val="003B2C29"/>
    <w:rsid w:val="003B5952"/>
    <w:rsid w:val="003C17D3"/>
    <w:rsid w:val="003C1B36"/>
    <w:rsid w:val="003C3012"/>
    <w:rsid w:val="003C5032"/>
    <w:rsid w:val="003D48B7"/>
    <w:rsid w:val="003D72EE"/>
    <w:rsid w:val="003E787D"/>
    <w:rsid w:val="003F10BD"/>
    <w:rsid w:val="004050B7"/>
    <w:rsid w:val="00407891"/>
    <w:rsid w:val="004109BC"/>
    <w:rsid w:val="00411268"/>
    <w:rsid w:val="00413EDA"/>
    <w:rsid w:val="00414926"/>
    <w:rsid w:val="004158EE"/>
    <w:rsid w:val="004164D3"/>
    <w:rsid w:val="004234C6"/>
    <w:rsid w:val="00423536"/>
    <w:rsid w:val="00424437"/>
    <w:rsid w:val="00425C00"/>
    <w:rsid w:val="00431C2F"/>
    <w:rsid w:val="00433CCC"/>
    <w:rsid w:val="00434753"/>
    <w:rsid w:val="0043512D"/>
    <w:rsid w:val="004503CA"/>
    <w:rsid w:val="00451891"/>
    <w:rsid w:val="004624A2"/>
    <w:rsid w:val="004624B0"/>
    <w:rsid w:val="00463E45"/>
    <w:rsid w:val="004659FD"/>
    <w:rsid w:val="004753FF"/>
    <w:rsid w:val="004767AD"/>
    <w:rsid w:val="00477084"/>
    <w:rsid w:val="00481E65"/>
    <w:rsid w:val="00482507"/>
    <w:rsid w:val="004830F1"/>
    <w:rsid w:val="00487136"/>
    <w:rsid w:val="00490842"/>
    <w:rsid w:val="00492E99"/>
    <w:rsid w:val="00495C17"/>
    <w:rsid w:val="004965A9"/>
    <w:rsid w:val="004979E0"/>
    <w:rsid w:val="004A35F3"/>
    <w:rsid w:val="004A38BF"/>
    <w:rsid w:val="004A5307"/>
    <w:rsid w:val="004A5C51"/>
    <w:rsid w:val="004B1A34"/>
    <w:rsid w:val="004B49B5"/>
    <w:rsid w:val="004B4FE3"/>
    <w:rsid w:val="004B5AF9"/>
    <w:rsid w:val="004C1A51"/>
    <w:rsid w:val="004C1B88"/>
    <w:rsid w:val="004C4D55"/>
    <w:rsid w:val="004D1201"/>
    <w:rsid w:val="004D2FFA"/>
    <w:rsid w:val="004D3BFD"/>
    <w:rsid w:val="004E35FD"/>
    <w:rsid w:val="004E3C8B"/>
    <w:rsid w:val="004E4437"/>
    <w:rsid w:val="004E53D5"/>
    <w:rsid w:val="004E6E50"/>
    <w:rsid w:val="004F144A"/>
    <w:rsid w:val="004F3B23"/>
    <w:rsid w:val="005016D3"/>
    <w:rsid w:val="00504275"/>
    <w:rsid w:val="00505608"/>
    <w:rsid w:val="00510E3C"/>
    <w:rsid w:val="00515568"/>
    <w:rsid w:val="00516372"/>
    <w:rsid w:val="00520D20"/>
    <w:rsid w:val="0052104E"/>
    <w:rsid w:val="00523642"/>
    <w:rsid w:val="00526000"/>
    <w:rsid w:val="005271FD"/>
    <w:rsid w:val="00533FF6"/>
    <w:rsid w:val="005341B9"/>
    <w:rsid w:val="00536D4B"/>
    <w:rsid w:val="00537038"/>
    <w:rsid w:val="005511E6"/>
    <w:rsid w:val="00554C91"/>
    <w:rsid w:val="00560BFD"/>
    <w:rsid w:val="00562182"/>
    <w:rsid w:val="00563F87"/>
    <w:rsid w:val="00564614"/>
    <w:rsid w:val="0056584A"/>
    <w:rsid w:val="00565B1C"/>
    <w:rsid w:val="00574C14"/>
    <w:rsid w:val="00583FA6"/>
    <w:rsid w:val="0058499E"/>
    <w:rsid w:val="00595B09"/>
    <w:rsid w:val="005A0274"/>
    <w:rsid w:val="005B0BD0"/>
    <w:rsid w:val="005B1979"/>
    <w:rsid w:val="005B3D0F"/>
    <w:rsid w:val="005B72F1"/>
    <w:rsid w:val="005B773C"/>
    <w:rsid w:val="005B77EB"/>
    <w:rsid w:val="005C150F"/>
    <w:rsid w:val="005C3DFF"/>
    <w:rsid w:val="005D17EE"/>
    <w:rsid w:val="005D4FA1"/>
    <w:rsid w:val="005D53A7"/>
    <w:rsid w:val="005D56BA"/>
    <w:rsid w:val="005E1322"/>
    <w:rsid w:val="005E1D96"/>
    <w:rsid w:val="005E2D2B"/>
    <w:rsid w:val="005E4C89"/>
    <w:rsid w:val="005E698E"/>
    <w:rsid w:val="005E7EB2"/>
    <w:rsid w:val="005F37A9"/>
    <w:rsid w:val="005F5E89"/>
    <w:rsid w:val="00600174"/>
    <w:rsid w:val="006014A2"/>
    <w:rsid w:val="006022A1"/>
    <w:rsid w:val="006076C0"/>
    <w:rsid w:val="0061047A"/>
    <w:rsid w:val="00611E22"/>
    <w:rsid w:val="00612E70"/>
    <w:rsid w:val="00613B65"/>
    <w:rsid w:val="00614066"/>
    <w:rsid w:val="00614EA2"/>
    <w:rsid w:val="00615994"/>
    <w:rsid w:val="006204A5"/>
    <w:rsid w:val="0062175F"/>
    <w:rsid w:val="006253DC"/>
    <w:rsid w:val="0062641A"/>
    <w:rsid w:val="00626484"/>
    <w:rsid w:val="00631150"/>
    <w:rsid w:val="00634376"/>
    <w:rsid w:val="00641A83"/>
    <w:rsid w:val="0066215A"/>
    <w:rsid w:val="00662212"/>
    <w:rsid w:val="006651A5"/>
    <w:rsid w:val="00666E23"/>
    <w:rsid w:val="00674117"/>
    <w:rsid w:val="00674D23"/>
    <w:rsid w:val="0068163A"/>
    <w:rsid w:val="0068503E"/>
    <w:rsid w:val="00697592"/>
    <w:rsid w:val="006A132C"/>
    <w:rsid w:val="006A2526"/>
    <w:rsid w:val="006A337B"/>
    <w:rsid w:val="006A65CF"/>
    <w:rsid w:val="006C0DC6"/>
    <w:rsid w:val="006C7371"/>
    <w:rsid w:val="006D425D"/>
    <w:rsid w:val="006D5A43"/>
    <w:rsid w:val="006E02C2"/>
    <w:rsid w:val="006E67C6"/>
    <w:rsid w:val="006F345C"/>
    <w:rsid w:val="006F6778"/>
    <w:rsid w:val="006F6E75"/>
    <w:rsid w:val="006F6FEB"/>
    <w:rsid w:val="006F71DE"/>
    <w:rsid w:val="00700475"/>
    <w:rsid w:val="00700DE5"/>
    <w:rsid w:val="00702C41"/>
    <w:rsid w:val="00703062"/>
    <w:rsid w:val="0070341F"/>
    <w:rsid w:val="00712F13"/>
    <w:rsid w:val="00720635"/>
    <w:rsid w:val="00724988"/>
    <w:rsid w:val="00731006"/>
    <w:rsid w:val="0073132D"/>
    <w:rsid w:val="00733051"/>
    <w:rsid w:val="00743820"/>
    <w:rsid w:val="00745C6F"/>
    <w:rsid w:val="0075145A"/>
    <w:rsid w:val="00754607"/>
    <w:rsid w:val="00755739"/>
    <w:rsid w:val="00756CCA"/>
    <w:rsid w:val="007609A3"/>
    <w:rsid w:val="0076223E"/>
    <w:rsid w:val="00763754"/>
    <w:rsid w:val="00767EEF"/>
    <w:rsid w:val="00767FFC"/>
    <w:rsid w:val="00772131"/>
    <w:rsid w:val="007724CF"/>
    <w:rsid w:val="00772715"/>
    <w:rsid w:val="00772D3B"/>
    <w:rsid w:val="00774574"/>
    <w:rsid w:val="007817F1"/>
    <w:rsid w:val="0078289B"/>
    <w:rsid w:val="007836B0"/>
    <w:rsid w:val="00784011"/>
    <w:rsid w:val="00786FC2"/>
    <w:rsid w:val="00787F61"/>
    <w:rsid w:val="007963D0"/>
    <w:rsid w:val="007A2B05"/>
    <w:rsid w:val="007A2FAA"/>
    <w:rsid w:val="007A477D"/>
    <w:rsid w:val="007B02E7"/>
    <w:rsid w:val="007B146F"/>
    <w:rsid w:val="007B5D62"/>
    <w:rsid w:val="007C01D1"/>
    <w:rsid w:val="007C08BB"/>
    <w:rsid w:val="007C0F32"/>
    <w:rsid w:val="007C2008"/>
    <w:rsid w:val="007C2BCE"/>
    <w:rsid w:val="007C7396"/>
    <w:rsid w:val="007D0D94"/>
    <w:rsid w:val="007E010D"/>
    <w:rsid w:val="007E2626"/>
    <w:rsid w:val="007E33BC"/>
    <w:rsid w:val="007E6FB5"/>
    <w:rsid w:val="007E72DA"/>
    <w:rsid w:val="007F1366"/>
    <w:rsid w:val="007F6B20"/>
    <w:rsid w:val="00806ACD"/>
    <w:rsid w:val="008075E2"/>
    <w:rsid w:val="008104D3"/>
    <w:rsid w:val="00810CEE"/>
    <w:rsid w:val="0081202C"/>
    <w:rsid w:val="00813E3A"/>
    <w:rsid w:val="008150E4"/>
    <w:rsid w:val="00815DF9"/>
    <w:rsid w:val="0081720D"/>
    <w:rsid w:val="00823B3D"/>
    <w:rsid w:val="00825A4F"/>
    <w:rsid w:val="00826346"/>
    <w:rsid w:val="0082780A"/>
    <w:rsid w:val="00831AB2"/>
    <w:rsid w:val="008327A1"/>
    <w:rsid w:val="00833844"/>
    <w:rsid w:val="008338FE"/>
    <w:rsid w:val="00833ADB"/>
    <w:rsid w:val="008402AA"/>
    <w:rsid w:val="00840739"/>
    <w:rsid w:val="00840740"/>
    <w:rsid w:val="008416CD"/>
    <w:rsid w:val="00851EDB"/>
    <w:rsid w:val="00852516"/>
    <w:rsid w:val="00854062"/>
    <w:rsid w:val="00855C51"/>
    <w:rsid w:val="00864570"/>
    <w:rsid w:val="008679C1"/>
    <w:rsid w:val="0087071E"/>
    <w:rsid w:val="00880A74"/>
    <w:rsid w:val="00887234"/>
    <w:rsid w:val="00894C59"/>
    <w:rsid w:val="00896B07"/>
    <w:rsid w:val="008A2555"/>
    <w:rsid w:val="008A7EA0"/>
    <w:rsid w:val="008B7F8A"/>
    <w:rsid w:val="008C09B0"/>
    <w:rsid w:val="008C5A88"/>
    <w:rsid w:val="008C7C67"/>
    <w:rsid w:val="008D28A3"/>
    <w:rsid w:val="008D6F0E"/>
    <w:rsid w:val="008D7FF6"/>
    <w:rsid w:val="008E1564"/>
    <w:rsid w:val="008E2EA7"/>
    <w:rsid w:val="008E4685"/>
    <w:rsid w:val="008E4D76"/>
    <w:rsid w:val="008E50FC"/>
    <w:rsid w:val="008F3D58"/>
    <w:rsid w:val="008F6EE7"/>
    <w:rsid w:val="0090142B"/>
    <w:rsid w:val="009051C5"/>
    <w:rsid w:val="00905EB0"/>
    <w:rsid w:val="00906662"/>
    <w:rsid w:val="00912D3E"/>
    <w:rsid w:val="009220D6"/>
    <w:rsid w:val="00924257"/>
    <w:rsid w:val="00934841"/>
    <w:rsid w:val="00941D49"/>
    <w:rsid w:val="00943474"/>
    <w:rsid w:val="00943737"/>
    <w:rsid w:val="00943A1B"/>
    <w:rsid w:val="009459FD"/>
    <w:rsid w:val="00950306"/>
    <w:rsid w:val="009508AB"/>
    <w:rsid w:val="00956C81"/>
    <w:rsid w:val="00957107"/>
    <w:rsid w:val="00960224"/>
    <w:rsid w:val="0096562C"/>
    <w:rsid w:val="00967BEB"/>
    <w:rsid w:val="00975454"/>
    <w:rsid w:val="0097594D"/>
    <w:rsid w:val="0098569F"/>
    <w:rsid w:val="00985B73"/>
    <w:rsid w:val="00986F8B"/>
    <w:rsid w:val="00994D48"/>
    <w:rsid w:val="009A4DE4"/>
    <w:rsid w:val="009A62DA"/>
    <w:rsid w:val="009A6658"/>
    <w:rsid w:val="009B020F"/>
    <w:rsid w:val="009B05CE"/>
    <w:rsid w:val="009B36FB"/>
    <w:rsid w:val="009B6E16"/>
    <w:rsid w:val="009C071D"/>
    <w:rsid w:val="009C1ABB"/>
    <w:rsid w:val="009C3DD9"/>
    <w:rsid w:val="009C65FF"/>
    <w:rsid w:val="009C671E"/>
    <w:rsid w:val="009C6912"/>
    <w:rsid w:val="009C7094"/>
    <w:rsid w:val="009C7C20"/>
    <w:rsid w:val="009D1400"/>
    <w:rsid w:val="009D3BFA"/>
    <w:rsid w:val="009D41B2"/>
    <w:rsid w:val="009E0760"/>
    <w:rsid w:val="009E2CC1"/>
    <w:rsid w:val="009E58EC"/>
    <w:rsid w:val="009F0342"/>
    <w:rsid w:val="00A05FDF"/>
    <w:rsid w:val="00A0727C"/>
    <w:rsid w:val="00A10034"/>
    <w:rsid w:val="00A107A2"/>
    <w:rsid w:val="00A11B36"/>
    <w:rsid w:val="00A1437C"/>
    <w:rsid w:val="00A1775D"/>
    <w:rsid w:val="00A25E22"/>
    <w:rsid w:val="00A30A56"/>
    <w:rsid w:val="00A30DA0"/>
    <w:rsid w:val="00A3164B"/>
    <w:rsid w:val="00A32B78"/>
    <w:rsid w:val="00A33876"/>
    <w:rsid w:val="00A34081"/>
    <w:rsid w:val="00A37334"/>
    <w:rsid w:val="00A448BD"/>
    <w:rsid w:val="00A464D4"/>
    <w:rsid w:val="00A50DAE"/>
    <w:rsid w:val="00A51207"/>
    <w:rsid w:val="00A5449A"/>
    <w:rsid w:val="00A57C4B"/>
    <w:rsid w:val="00A60BFA"/>
    <w:rsid w:val="00A748A1"/>
    <w:rsid w:val="00A75B36"/>
    <w:rsid w:val="00A82E35"/>
    <w:rsid w:val="00A832E7"/>
    <w:rsid w:val="00A86A6C"/>
    <w:rsid w:val="00A90881"/>
    <w:rsid w:val="00A92BCC"/>
    <w:rsid w:val="00A9528C"/>
    <w:rsid w:val="00A95A14"/>
    <w:rsid w:val="00A960B5"/>
    <w:rsid w:val="00AA03FC"/>
    <w:rsid w:val="00AA1F07"/>
    <w:rsid w:val="00AA7B02"/>
    <w:rsid w:val="00AB1DEC"/>
    <w:rsid w:val="00AB1E4F"/>
    <w:rsid w:val="00AB2B2C"/>
    <w:rsid w:val="00AB2E76"/>
    <w:rsid w:val="00AB452E"/>
    <w:rsid w:val="00AB4C25"/>
    <w:rsid w:val="00AB4F09"/>
    <w:rsid w:val="00AB567A"/>
    <w:rsid w:val="00AC4143"/>
    <w:rsid w:val="00AC4897"/>
    <w:rsid w:val="00AC7440"/>
    <w:rsid w:val="00AD0543"/>
    <w:rsid w:val="00AD6FF4"/>
    <w:rsid w:val="00AE2AAA"/>
    <w:rsid w:val="00AF530A"/>
    <w:rsid w:val="00AF5AF9"/>
    <w:rsid w:val="00AF5D1E"/>
    <w:rsid w:val="00B00C8E"/>
    <w:rsid w:val="00B03F8B"/>
    <w:rsid w:val="00B106D3"/>
    <w:rsid w:val="00B12672"/>
    <w:rsid w:val="00B17604"/>
    <w:rsid w:val="00B22656"/>
    <w:rsid w:val="00B33672"/>
    <w:rsid w:val="00B33A04"/>
    <w:rsid w:val="00B33DDA"/>
    <w:rsid w:val="00B348E9"/>
    <w:rsid w:val="00B3599F"/>
    <w:rsid w:val="00B41498"/>
    <w:rsid w:val="00B42B94"/>
    <w:rsid w:val="00B43952"/>
    <w:rsid w:val="00B45B5B"/>
    <w:rsid w:val="00B46756"/>
    <w:rsid w:val="00B50E3E"/>
    <w:rsid w:val="00B51E19"/>
    <w:rsid w:val="00B52C43"/>
    <w:rsid w:val="00B52DAD"/>
    <w:rsid w:val="00B6101B"/>
    <w:rsid w:val="00B62FC9"/>
    <w:rsid w:val="00B669AD"/>
    <w:rsid w:val="00B7045A"/>
    <w:rsid w:val="00B73252"/>
    <w:rsid w:val="00B7430E"/>
    <w:rsid w:val="00B77E34"/>
    <w:rsid w:val="00B80911"/>
    <w:rsid w:val="00B80FAB"/>
    <w:rsid w:val="00B81079"/>
    <w:rsid w:val="00B83B05"/>
    <w:rsid w:val="00B91F06"/>
    <w:rsid w:val="00B91F85"/>
    <w:rsid w:val="00B93984"/>
    <w:rsid w:val="00B93F87"/>
    <w:rsid w:val="00B9413E"/>
    <w:rsid w:val="00B971E3"/>
    <w:rsid w:val="00BA208A"/>
    <w:rsid w:val="00BA2FDF"/>
    <w:rsid w:val="00BA4FE2"/>
    <w:rsid w:val="00BB23A3"/>
    <w:rsid w:val="00BB5DE6"/>
    <w:rsid w:val="00BB6771"/>
    <w:rsid w:val="00BC6BF9"/>
    <w:rsid w:val="00BD5AAC"/>
    <w:rsid w:val="00BD751D"/>
    <w:rsid w:val="00BD7E60"/>
    <w:rsid w:val="00BE16BC"/>
    <w:rsid w:val="00BE1A54"/>
    <w:rsid w:val="00BE4257"/>
    <w:rsid w:val="00BE4D3D"/>
    <w:rsid w:val="00BE5C57"/>
    <w:rsid w:val="00BF02DF"/>
    <w:rsid w:val="00BF3B19"/>
    <w:rsid w:val="00C03A64"/>
    <w:rsid w:val="00C062C4"/>
    <w:rsid w:val="00C07965"/>
    <w:rsid w:val="00C13539"/>
    <w:rsid w:val="00C156CB"/>
    <w:rsid w:val="00C15FC8"/>
    <w:rsid w:val="00C16D1F"/>
    <w:rsid w:val="00C232D6"/>
    <w:rsid w:val="00C32259"/>
    <w:rsid w:val="00C37288"/>
    <w:rsid w:val="00C41AE6"/>
    <w:rsid w:val="00C43A61"/>
    <w:rsid w:val="00C54633"/>
    <w:rsid w:val="00C54CE1"/>
    <w:rsid w:val="00C56EDD"/>
    <w:rsid w:val="00C602F3"/>
    <w:rsid w:val="00C60843"/>
    <w:rsid w:val="00C613D1"/>
    <w:rsid w:val="00C616D8"/>
    <w:rsid w:val="00C654BC"/>
    <w:rsid w:val="00C70958"/>
    <w:rsid w:val="00C714D6"/>
    <w:rsid w:val="00C7303E"/>
    <w:rsid w:val="00C7380B"/>
    <w:rsid w:val="00C74955"/>
    <w:rsid w:val="00C827EC"/>
    <w:rsid w:val="00C835DB"/>
    <w:rsid w:val="00C87E3E"/>
    <w:rsid w:val="00C91936"/>
    <w:rsid w:val="00C91EFD"/>
    <w:rsid w:val="00C96C63"/>
    <w:rsid w:val="00C979CE"/>
    <w:rsid w:val="00CA583A"/>
    <w:rsid w:val="00CA6084"/>
    <w:rsid w:val="00CB15B7"/>
    <w:rsid w:val="00CB1A53"/>
    <w:rsid w:val="00CB1CB7"/>
    <w:rsid w:val="00CB2DD3"/>
    <w:rsid w:val="00CB3EA5"/>
    <w:rsid w:val="00CB4893"/>
    <w:rsid w:val="00CB566A"/>
    <w:rsid w:val="00CB6065"/>
    <w:rsid w:val="00CC0138"/>
    <w:rsid w:val="00CC5145"/>
    <w:rsid w:val="00CD3539"/>
    <w:rsid w:val="00CD5CE2"/>
    <w:rsid w:val="00CD6683"/>
    <w:rsid w:val="00CE1601"/>
    <w:rsid w:val="00CE4622"/>
    <w:rsid w:val="00CE70EF"/>
    <w:rsid w:val="00CF167D"/>
    <w:rsid w:val="00D01BBA"/>
    <w:rsid w:val="00D02B91"/>
    <w:rsid w:val="00D0505C"/>
    <w:rsid w:val="00D06574"/>
    <w:rsid w:val="00D0667E"/>
    <w:rsid w:val="00D10F0B"/>
    <w:rsid w:val="00D135EB"/>
    <w:rsid w:val="00D15589"/>
    <w:rsid w:val="00D157CE"/>
    <w:rsid w:val="00D17AC7"/>
    <w:rsid w:val="00D239CB"/>
    <w:rsid w:val="00D2435B"/>
    <w:rsid w:val="00D24B05"/>
    <w:rsid w:val="00D306CE"/>
    <w:rsid w:val="00D31DB5"/>
    <w:rsid w:val="00D3297E"/>
    <w:rsid w:val="00D34E82"/>
    <w:rsid w:val="00D412D3"/>
    <w:rsid w:val="00D41B98"/>
    <w:rsid w:val="00D431E6"/>
    <w:rsid w:val="00D451C1"/>
    <w:rsid w:val="00D517F7"/>
    <w:rsid w:val="00D550A2"/>
    <w:rsid w:val="00D618A6"/>
    <w:rsid w:val="00D62B0C"/>
    <w:rsid w:val="00D66D1B"/>
    <w:rsid w:val="00D66D71"/>
    <w:rsid w:val="00D66DD5"/>
    <w:rsid w:val="00D74807"/>
    <w:rsid w:val="00D75B95"/>
    <w:rsid w:val="00D92CA7"/>
    <w:rsid w:val="00D9414B"/>
    <w:rsid w:val="00DA046A"/>
    <w:rsid w:val="00DA0862"/>
    <w:rsid w:val="00DA08CB"/>
    <w:rsid w:val="00DA38B4"/>
    <w:rsid w:val="00DA3C92"/>
    <w:rsid w:val="00DA4273"/>
    <w:rsid w:val="00DA4A03"/>
    <w:rsid w:val="00DB13F9"/>
    <w:rsid w:val="00DB2780"/>
    <w:rsid w:val="00DB2F1D"/>
    <w:rsid w:val="00DB356B"/>
    <w:rsid w:val="00DB42A4"/>
    <w:rsid w:val="00DC1F1B"/>
    <w:rsid w:val="00DC5183"/>
    <w:rsid w:val="00DD30A4"/>
    <w:rsid w:val="00DD56A7"/>
    <w:rsid w:val="00DE59D0"/>
    <w:rsid w:val="00DF60BD"/>
    <w:rsid w:val="00E005F3"/>
    <w:rsid w:val="00E0163B"/>
    <w:rsid w:val="00E04E68"/>
    <w:rsid w:val="00E11A2C"/>
    <w:rsid w:val="00E1488C"/>
    <w:rsid w:val="00E20EC3"/>
    <w:rsid w:val="00E22E01"/>
    <w:rsid w:val="00E23105"/>
    <w:rsid w:val="00E2394E"/>
    <w:rsid w:val="00E25845"/>
    <w:rsid w:val="00E32BF3"/>
    <w:rsid w:val="00E35821"/>
    <w:rsid w:val="00E379D8"/>
    <w:rsid w:val="00E4244C"/>
    <w:rsid w:val="00E4326E"/>
    <w:rsid w:val="00E45A9D"/>
    <w:rsid w:val="00E47640"/>
    <w:rsid w:val="00E50124"/>
    <w:rsid w:val="00E5098A"/>
    <w:rsid w:val="00E60540"/>
    <w:rsid w:val="00E65ED2"/>
    <w:rsid w:val="00E7086C"/>
    <w:rsid w:val="00E80E67"/>
    <w:rsid w:val="00E81490"/>
    <w:rsid w:val="00E8385A"/>
    <w:rsid w:val="00E869A0"/>
    <w:rsid w:val="00E87C7C"/>
    <w:rsid w:val="00E91215"/>
    <w:rsid w:val="00E93455"/>
    <w:rsid w:val="00E94D4D"/>
    <w:rsid w:val="00EA3DF9"/>
    <w:rsid w:val="00EA4E95"/>
    <w:rsid w:val="00EA6F36"/>
    <w:rsid w:val="00EB7A7A"/>
    <w:rsid w:val="00EC2B50"/>
    <w:rsid w:val="00EC425D"/>
    <w:rsid w:val="00EC618D"/>
    <w:rsid w:val="00EC6A58"/>
    <w:rsid w:val="00ED3E41"/>
    <w:rsid w:val="00EE170D"/>
    <w:rsid w:val="00EE36F0"/>
    <w:rsid w:val="00EE491A"/>
    <w:rsid w:val="00EE689F"/>
    <w:rsid w:val="00EF2352"/>
    <w:rsid w:val="00EF4478"/>
    <w:rsid w:val="00F025D4"/>
    <w:rsid w:val="00F04166"/>
    <w:rsid w:val="00F06B7E"/>
    <w:rsid w:val="00F1426C"/>
    <w:rsid w:val="00F14F68"/>
    <w:rsid w:val="00F16FAA"/>
    <w:rsid w:val="00F23EB9"/>
    <w:rsid w:val="00F24471"/>
    <w:rsid w:val="00F27029"/>
    <w:rsid w:val="00F31784"/>
    <w:rsid w:val="00F32816"/>
    <w:rsid w:val="00F35EE5"/>
    <w:rsid w:val="00F412DA"/>
    <w:rsid w:val="00F415C0"/>
    <w:rsid w:val="00F4341A"/>
    <w:rsid w:val="00F43D22"/>
    <w:rsid w:val="00F50B73"/>
    <w:rsid w:val="00F547A6"/>
    <w:rsid w:val="00F6361D"/>
    <w:rsid w:val="00F739FA"/>
    <w:rsid w:val="00F75113"/>
    <w:rsid w:val="00F77CEF"/>
    <w:rsid w:val="00F77E6E"/>
    <w:rsid w:val="00F81EBD"/>
    <w:rsid w:val="00F82AE4"/>
    <w:rsid w:val="00F8690A"/>
    <w:rsid w:val="00F90316"/>
    <w:rsid w:val="00F92E5A"/>
    <w:rsid w:val="00F9410F"/>
    <w:rsid w:val="00F95235"/>
    <w:rsid w:val="00F9678B"/>
    <w:rsid w:val="00F976BE"/>
    <w:rsid w:val="00FA1D7C"/>
    <w:rsid w:val="00FA23ED"/>
    <w:rsid w:val="00FA2E31"/>
    <w:rsid w:val="00FA5F94"/>
    <w:rsid w:val="00FB56B8"/>
    <w:rsid w:val="00FB61B1"/>
    <w:rsid w:val="00FC055D"/>
    <w:rsid w:val="00FC0622"/>
    <w:rsid w:val="00FC0726"/>
    <w:rsid w:val="00FC1F0D"/>
    <w:rsid w:val="00FC68AD"/>
    <w:rsid w:val="00FC7DD4"/>
    <w:rsid w:val="00FD0C6D"/>
    <w:rsid w:val="00FD20F9"/>
    <w:rsid w:val="00FD2D65"/>
    <w:rsid w:val="00FD354E"/>
    <w:rsid w:val="00FE48F7"/>
    <w:rsid w:val="00FE5372"/>
    <w:rsid w:val="00FE64D5"/>
    <w:rsid w:val="00FE719D"/>
    <w:rsid w:val="00FF0043"/>
    <w:rsid w:val="00FF0B9A"/>
    <w:rsid w:val="00FF1559"/>
    <w:rsid w:val="00FF3ABF"/>
    <w:rsid w:val="00FF6F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47501"/>
  <w15:docId w15:val="{C3CA5F86-EE79-491C-8A1C-1359DCCB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10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F009B"/>
    <w:pPr>
      <w:spacing w:after="0" w:line="360" w:lineRule="auto"/>
      <w:jc w:val="center"/>
    </w:pPr>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1"/>
    <w:qFormat/>
    <w:rsid w:val="001D6F50"/>
    <w:pPr>
      <w:ind w:left="720"/>
      <w:contextualSpacing/>
    </w:pPr>
  </w:style>
  <w:style w:type="table" w:styleId="TableGrid">
    <w:name w:val="Table Grid"/>
    <w:basedOn w:val="TableNormal"/>
    <w:uiPriority w:val="39"/>
    <w:rsid w:val="006F4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uiPriority w:val="35"/>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1"/>
    <w:locked/>
    <w:rsid w:val="00033619"/>
  </w:style>
  <w:style w:type="table" w:customStyle="1" w:styleId="PlainTable51">
    <w:name w:val="Plain Table 51"/>
    <w:basedOn w:val="TableNormal"/>
    <w:uiPriority w:val="45"/>
    <w:rsid w:val="005A6A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semiHidden/>
    <w:unhideWhenUsed/>
    <w:rsid w:val="006B2C1F"/>
    <w:rPr>
      <w:rFonts w:eastAsiaTheme="minorEastAsia"/>
      <w:lang w:val="en-US"/>
    </w:rPr>
  </w:style>
  <w:style w:type="character" w:styleId="Strong">
    <w:name w:val="Strong"/>
    <w:basedOn w:val="DefaultParagraphFont"/>
    <w:uiPriority w:val="22"/>
    <w:qFormat/>
    <w:rsid w:val="009F25A2"/>
    <w:rPr>
      <w:b/>
      <w:bCs/>
    </w:rPr>
  </w:style>
  <w:style w:type="paragraph" w:styleId="NormalWeb">
    <w:name w:val="Normal (Web)"/>
    <w:basedOn w:val="Normal"/>
    <w:uiPriority w:val="99"/>
    <w:semiHidden/>
    <w:unhideWhenUsed/>
    <w:rsid w:val="002E350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03325"/>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lainText">
    <w:name w:val="Plain Text"/>
    <w:basedOn w:val="Normal"/>
    <w:link w:val="PlainTextChar"/>
    <w:uiPriority w:val="99"/>
    <w:rsid w:val="00DF064A"/>
    <w:pPr>
      <w:spacing w:after="0" w:line="240" w:lineRule="auto"/>
    </w:pPr>
    <w:rPr>
      <w:rFonts w:ascii="Arial" w:eastAsia="SimSun" w:hAnsi="Arial" w:cs="Arial"/>
      <w:sz w:val="24"/>
      <w:szCs w:val="24"/>
      <w:lang w:bidi="en-US"/>
    </w:rPr>
  </w:style>
  <w:style w:type="character" w:customStyle="1" w:styleId="PlainTextChar">
    <w:name w:val="Plain Text Char"/>
    <w:basedOn w:val="DefaultParagraphFont"/>
    <w:link w:val="PlainText"/>
    <w:uiPriority w:val="99"/>
    <w:rsid w:val="00DF064A"/>
    <w:rPr>
      <w:rFonts w:ascii="Arial" w:eastAsia="SimSun" w:hAnsi="Arial" w:cs="Arial"/>
      <w:sz w:val="24"/>
      <w:szCs w:val="24"/>
      <w:lang w:bidi="en-US"/>
    </w:r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481765"/>
    <w:pPr>
      <w:spacing w:after="0" w:line="240" w:lineRule="auto"/>
    </w:pPr>
  </w:style>
  <w:style w:type="table" w:styleId="LightShading">
    <w:name w:val="Light Shading"/>
    <w:basedOn w:val="TableNormal"/>
    <w:uiPriority w:val="60"/>
    <w:rsid w:val="007C1B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2">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D0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018">
      <w:bodyDiv w:val="1"/>
      <w:marLeft w:val="0"/>
      <w:marRight w:val="0"/>
      <w:marTop w:val="0"/>
      <w:marBottom w:val="0"/>
      <w:divBdr>
        <w:top w:val="none" w:sz="0" w:space="0" w:color="auto"/>
        <w:left w:val="none" w:sz="0" w:space="0" w:color="auto"/>
        <w:bottom w:val="none" w:sz="0" w:space="0" w:color="auto"/>
        <w:right w:val="none" w:sz="0" w:space="0" w:color="auto"/>
      </w:divBdr>
    </w:div>
    <w:div w:id="777867803">
      <w:bodyDiv w:val="1"/>
      <w:marLeft w:val="0"/>
      <w:marRight w:val="0"/>
      <w:marTop w:val="0"/>
      <w:marBottom w:val="0"/>
      <w:divBdr>
        <w:top w:val="none" w:sz="0" w:space="0" w:color="auto"/>
        <w:left w:val="none" w:sz="0" w:space="0" w:color="auto"/>
        <w:bottom w:val="none" w:sz="0" w:space="0" w:color="auto"/>
        <w:right w:val="none" w:sz="0" w:space="0" w:color="auto"/>
      </w:divBdr>
    </w:div>
    <w:div w:id="78697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wiwik.pratiwi@ppns.ac.id%20live.undip.ac.id"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wOz08wBLBWccnmXBZTqYtC4Fpw==">CgMxLjAyCGguZ2pkZ3hzMgloLjFmb2I5dGUyCWguMzBqMHpsbDgAciExc1lSblV0bTYtRGlfWi1rTjNxWG9iU1Bja1M4U2NfVU4=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EC4418-3BE4-428C-A658-D7109373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14</Pages>
  <Words>19524</Words>
  <Characters>111291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P</dc:creator>
  <cp:lastModifiedBy>Vivin Setiani</cp:lastModifiedBy>
  <cp:revision>8</cp:revision>
  <cp:lastPrinted>2025-10-24T12:18:00Z</cp:lastPrinted>
  <dcterms:created xsi:type="dcterms:W3CDTF">2025-10-29T14:15:00Z</dcterms:created>
  <dcterms:modified xsi:type="dcterms:W3CDTF">2025-10-29T14:54:00Z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98702c71-d36f-3d87-bb75-9fc1135d3695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