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2F23" w14:textId="036C88FF" w:rsidR="00C14BDC" w:rsidRPr="00C14BDC" w:rsidRDefault="00C14BDC" w:rsidP="00C14BDC">
      <w:pPr>
        <w:rPr>
          <w:rFonts w:ascii="Constantia" w:hAnsi="Constantia"/>
          <w:b/>
          <w:bCs/>
          <w:sz w:val="22"/>
          <w:szCs w:val="22"/>
        </w:rPr>
      </w:pPr>
      <w:r w:rsidRPr="00C14BDC">
        <w:rPr>
          <w:rFonts w:ascii="Constantia" w:hAnsi="Constantia"/>
          <w:b/>
          <w:bCs/>
          <w:sz w:val="22"/>
          <w:szCs w:val="22"/>
        </w:rPr>
        <w:t xml:space="preserve">Response </w:t>
      </w:r>
      <w:r>
        <w:rPr>
          <w:rFonts w:ascii="Constantia" w:hAnsi="Constantia"/>
          <w:b/>
          <w:bCs/>
          <w:sz w:val="22"/>
          <w:szCs w:val="22"/>
        </w:rPr>
        <w:t>t</w:t>
      </w:r>
      <w:r w:rsidRPr="00C14BDC">
        <w:rPr>
          <w:rFonts w:ascii="Constantia" w:hAnsi="Constantia"/>
          <w:b/>
          <w:bCs/>
          <w:sz w:val="22"/>
          <w:szCs w:val="22"/>
        </w:rPr>
        <w:t>o Editor Comments</w:t>
      </w:r>
    </w:p>
    <w:p w14:paraId="79EB3BF6" w14:textId="32A5A446" w:rsidR="00C14BDC" w:rsidRPr="00C14BDC" w:rsidRDefault="00C14BDC" w:rsidP="00C14BDC">
      <w:pPr>
        <w:rPr>
          <w:rFonts w:ascii="Constantia" w:hAnsi="Constantia"/>
          <w:sz w:val="22"/>
          <w:szCs w:val="22"/>
        </w:rPr>
      </w:pPr>
      <w:r w:rsidRPr="00C14BDC">
        <w:rPr>
          <w:rFonts w:ascii="Constantia" w:hAnsi="Constantia"/>
          <w:b/>
          <w:bCs/>
          <w:sz w:val="22"/>
          <w:szCs w:val="22"/>
        </w:rPr>
        <w:t>Manuscript Title:</w:t>
      </w:r>
      <w:r w:rsidRPr="00C14BDC">
        <w:rPr>
          <w:rFonts w:ascii="Constantia" w:hAnsi="Constantia"/>
          <w:sz w:val="22"/>
          <w:szCs w:val="22"/>
        </w:rPr>
        <w:t xml:space="preserve"> Linking the Degree of Deacetylation to Coagulation Efficiency: Zeta Potential Behavior of Crustacean Waste Based Chitosan in Water Treatment Applications</w:t>
      </w:r>
      <w:r w:rsidRPr="00C14BDC">
        <w:rPr>
          <w:rFonts w:ascii="Constantia" w:hAnsi="Constantia"/>
          <w:sz w:val="22"/>
          <w:szCs w:val="22"/>
        </w:rPr>
        <w:br/>
      </w:r>
      <w:r w:rsidRPr="00C14BDC">
        <w:rPr>
          <w:rFonts w:ascii="Constantia" w:hAnsi="Constantia"/>
          <w:b/>
          <w:bCs/>
          <w:sz w:val="22"/>
          <w:szCs w:val="22"/>
        </w:rPr>
        <w:t>Manuscript ID:</w:t>
      </w:r>
      <w:r w:rsidRPr="00C14BDC">
        <w:rPr>
          <w:rFonts w:ascii="Constantia" w:hAnsi="Constantia"/>
          <w:sz w:val="22"/>
          <w:szCs w:val="22"/>
        </w:rPr>
        <w:t xml:space="preserve"> 80173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2226"/>
        <w:gridCol w:w="5104"/>
        <w:gridCol w:w="1907"/>
      </w:tblGrid>
      <w:tr w:rsidR="00C14BDC" w:rsidRPr="00C14BDC" w14:paraId="1428F417" w14:textId="77777777" w:rsidTr="00C14B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274F66" w14:textId="77777777" w:rsidR="00C14BDC" w:rsidRPr="00C14BDC" w:rsidRDefault="00C14BDC" w:rsidP="00C14BDC">
            <w:pPr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C14BDC">
              <w:rPr>
                <w:rFonts w:ascii="Constantia" w:hAnsi="Constantia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41E02B3" w14:textId="77777777" w:rsidR="00C14BDC" w:rsidRPr="00C14BDC" w:rsidRDefault="00C14BDC" w:rsidP="00C14BDC">
            <w:pPr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C14BDC">
              <w:rPr>
                <w:rFonts w:ascii="Constantia" w:hAnsi="Constantia"/>
                <w:b/>
                <w:bCs/>
                <w:sz w:val="22"/>
                <w:szCs w:val="22"/>
              </w:rPr>
              <w:t>Editor’s Comment</w:t>
            </w:r>
          </w:p>
        </w:tc>
        <w:tc>
          <w:tcPr>
            <w:tcW w:w="0" w:type="auto"/>
            <w:vAlign w:val="center"/>
            <w:hideMark/>
          </w:tcPr>
          <w:p w14:paraId="3E5A769A" w14:textId="77777777" w:rsidR="00C14BDC" w:rsidRPr="00C14BDC" w:rsidRDefault="00C14BDC" w:rsidP="00C14BDC">
            <w:pPr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C14BDC">
              <w:rPr>
                <w:rFonts w:ascii="Constantia" w:hAnsi="Constantia"/>
                <w:b/>
                <w:bCs/>
                <w:sz w:val="22"/>
                <w:szCs w:val="22"/>
              </w:rPr>
              <w:t>Response to Editor</w:t>
            </w:r>
          </w:p>
        </w:tc>
        <w:tc>
          <w:tcPr>
            <w:tcW w:w="0" w:type="auto"/>
            <w:vAlign w:val="center"/>
            <w:hideMark/>
          </w:tcPr>
          <w:p w14:paraId="2F84C93D" w14:textId="77777777" w:rsidR="00C14BDC" w:rsidRPr="00C14BDC" w:rsidRDefault="00C14BDC" w:rsidP="00C14BDC">
            <w:pPr>
              <w:jc w:val="center"/>
              <w:rPr>
                <w:rFonts w:ascii="Constantia" w:hAnsi="Constantia"/>
                <w:b/>
                <w:bCs/>
                <w:sz w:val="22"/>
                <w:szCs w:val="22"/>
              </w:rPr>
            </w:pPr>
            <w:r w:rsidRPr="00C14BDC">
              <w:rPr>
                <w:rFonts w:ascii="Constantia" w:hAnsi="Constantia"/>
                <w:b/>
                <w:bCs/>
                <w:sz w:val="22"/>
                <w:szCs w:val="22"/>
              </w:rPr>
              <w:t>Location in Revised Manuscript</w:t>
            </w:r>
          </w:p>
        </w:tc>
      </w:tr>
      <w:tr w:rsidR="00C14BDC" w:rsidRPr="00C14BDC" w14:paraId="6B7C31EB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8E269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8297A1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Abstract too long and contains unnecessary methodological details.</w:t>
            </w:r>
          </w:p>
        </w:tc>
        <w:tc>
          <w:tcPr>
            <w:tcW w:w="0" w:type="auto"/>
            <w:vAlign w:val="center"/>
            <w:hideMark/>
          </w:tcPr>
          <w:p w14:paraId="2DFFF241" w14:textId="512B56D6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The abstract has been shortened by removing procedural. Only key findings and quantitative results are retained.</w:t>
            </w:r>
          </w:p>
        </w:tc>
        <w:tc>
          <w:tcPr>
            <w:tcW w:w="0" w:type="auto"/>
            <w:vAlign w:val="center"/>
            <w:hideMark/>
          </w:tcPr>
          <w:p w14:paraId="4EFD6E45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Abstract section</w:t>
            </w:r>
          </w:p>
        </w:tc>
      </w:tr>
      <w:tr w:rsidR="00C14BDC" w:rsidRPr="00C14BDC" w14:paraId="7B93153B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3F0F2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8F2F08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Novelty of the study is not clearly stated.</w:t>
            </w:r>
          </w:p>
        </w:tc>
        <w:tc>
          <w:tcPr>
            <w:tcW w:w="0" w:type="auto"/>
            <w:vAlign w:val="center"/>
            <w:hideMark/>
          </w:tcPr>
          <w:p w14:paraId="440C2BCF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The research gap and novelty are now clearly stated in one integrated sentence: “an integrated quantitative linkage between DD, zeta potential evolution, and dose-dependent turbidity removal across pH is still limited.” This statement explicitly highlights the study’s contribution.</w:t>
            </w:r>
          </w:p>
        </w:tc>
        <w:tc>
          <w:tcPr>
            <w:tcW w:w="0" w:type="auto"/>
            <w:vAlign w:val="center"/>
            <w:hideMark/>
          </w:tcPr>
          <w:p w14:paraId="21F97F3D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Abstract, paragraph 1</w:t>
            </w:r>
          </w:p>
        </w:tc>
      </w:tr>
      <w:tr w:rsidR="00C14BDC" w:rsidRPr="00C14BDC" w14:paraId="5B62C9E5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282FA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87851D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Some results are repeated from the main text.</w:t>
            </w:r>
          </w:p>
        </w:tc>
        <w:tc>
          <w:tcPr>
            <w:tcW w:w="0" w:type="auto"/>
            <w:vAlign w:val="center"/>
            <w:hideMark/>
          </w:tcPr>
          <w:p w14:paraId="5F0A90A3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Redundant descriptive explanations have been removed. The abstract now focuses only on principal quantitative findings and implications.</w:t>
            </w:r>
          </w:p>
        </w:tc>
        <w:tc>
          <w:tcPr>
            <w:tcW w:w="0" w:type="auto"/>
            <w:vAlign w:val="center"/>
            <w:hideMark/>
          </w:tcPr>
          <w:p w14:paraId="335B94A8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Abstract</w:t>
            </w:r>
          </w:p>
        </w:tc>
      </w:tr>
      <w:tr w:rsidR="00C14BDC" w:rsidRPr="00C14BDC" w14:paraId="5A2E23AB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8405D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FA1863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Clearly state the research gap and contribution.</w:t>
            </w:r>
          </w:p>
        </w:tc>
        <w:tc>
          <w:tcPr>
            <w:tcW w:w="0" w:type="auto"/>
            <w:vAlign w:val="center"/>
            <w:hideMark/>
          </w:tcPr>
          <w:p w14:paraId="4C865752" w14:textId="01986DD8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The research gap is now introduced earlier in the Introduction before the objective. The contribution is explicitly stated in both the Abstract and Conclusion, emphasizing the integrated DD</w:t>
            </w:r>
            <w:r>
              <w:rPr>
                <w:rFonts w:ascii="Constantia" w:hAnsi="Constantia"/>
                <w:sz w:val="22"/>
                <w:szCs w:val="22"/>
              </w:rPr>
              <w:t xml:space="preserve">, </w:t>
            </w:r>
            <w:r w:rsidRPr="00C14BDC">
              <w:rPr>
                <w:rFonts w:ascii="Constantia" w:hAnsi="Constantia"/>
                <w:sz w:val="22"/>
                <w:szCs w:val="22"/>
              </w:rPr>
              <w:t>zeta</w:t>
            </w:r>
            <w:r>
              <w:rPr>
                <w:rFonts w:ascii="Constantia" w:hAnsi="Constantia"/>
                <w:sz w:val="22"/>
                <w:szCs w:val="22"/>
              </w:rPr>
              <w:t xml:space="preserve"> potential, and </w:t>
            </w:r>
            <w:r w:rsidRPr="00C14BDC">
              <w:rPr>
                <w:rFonts w:ascii="Constantia" w:hAnsi="Constantia"/>
                <w:sz w:val="22"/>
                <w:szCs w:val="22"/>
              </w:rPr>
              <w:t>dose relationship.</w:t>
            </w:r>
          </w:p>
        </w:tc>
        <w:tc>
          <w:tcPr>
            <w:tcW w:w="0" w:type="auto"/>
            <w:vAlign w:val="center"/>
            <w:hideMark/>
          </w:tcPr>
          <w:p w14:paraId="58D0B7F5" w14:textId="19CBA05B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Abstract </w:t>
            </w:r>
            <w:r>
              <w:rPr>
                <w:rFonts w:ascii="Constantia" w:hAnsi="Constantia"/>
                <w:sz w:val="22"/>
                <w:szCs w:val="22"/>
              </w:rPr>
              <w:t xml:space="preserve">and </w:t>
            </w:r>
            <w:r w:rsidRPr="00C14BDC">
              <w:rPr>
                <w:rFonts w:ascii="Constantia" w:hAnsi="Constantia"/>
                <w:sz w:val="22"/>
                <w:szCs w:val="22"/>
              </w:rPr>
              <w:t>Introduction (final paragraph)</w:t>
            </w:r>
          </w:p>
        </w:tc>
      </w:tr>
      <w:tr w:rsidR="00C14BDC" w:rsidRPr="00C14BDC" w14:paraId="7E86A838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B4604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59DAB3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Introduction overly lengthy and repetitive.</w:t>
            </w:r>
          </w:p>
        </w:tc>
        <w:tc>
          <w:tcPr>
            <w:tcW w:w="0" w:type="auto"/>
            <w:vAlign w:val="center"/>
            <w:hideMark/>
          </w:tcPr>
          <w:p w14:paraId="0E27D74D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The Introduction has been streamlined by reducing repeated explanations of protonation and zeta potential mechanisms. Background paragraphs not directly linked to the objective were condensed.</w:t>
            </w:r>
          </w:p>
        </w:tc>
        <w:tc>
          <w:tcPr>
            <w:tcW w:w="0" w:type="auto"/>
            <w:vAlign w:val="center"/>
            <w:hideMark/>
          </w:tcPr>
          <w:p w14:paraId="297B6962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Introduction section</w:t>
            </w:r>
          </w:p>
        </w:tc>
      </w:tr>
      <w:tr w:rsidR="00C14BDC" w:rsidRPr="00C14BDC" w14:paraId="34190E96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06176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6D79BBF" w14:textId="71534BF6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Improve logical flow (problem </w:t>
            </w:r>
            <w:r w:rsidRPr="00C14BDC">
              <w:rPr>
                <w:rFonts w:ascii="Times New Roman" w:hAnsi="Times New Roman" w:cs="Times New Roman"/>
                <w:sz w:val="22"/>
                <w:szCs w:val="22"/>
              </w:rPr>
              <w:sym w:font="Wingdings" w:char="F0E0"/>
            </w:r>
            <w:r w:rsidRPr="00C14BDC">
              <w:rPr>
                <w:rFonts w:ascii="Constantia" w:hAnsi="Constantia"/>
                <w:sz w:val="22"/>
                <w:szCs w:val="22"/>
              </w:rPr>
              <w:t xml:space="preserve"> gap </w:t>
            </w:r>
            <w:r w:rsidRPr="00C14BDC">
              <w:rPr>
                <w:rFonts w:ascii="Constantia" w:hAnsi="Constantia"/>
                <w:sz w:val="22"/>
                <w:szCs w:val="22"/>
              </w:rPr>
              <w:sym w:font="Wingdings" w:char="F0E0"/>
            </w:r>
            <w:r w:rsidRPr="00C14BDC">
              <w:rPr>
                <w:rFonts w:ascii="Constantia" w:hAnsi="Constantia"/>
                <w:sz w:val="22"/>
                <w:szCs w:val="22"/>
              </w:rPr>
              <w:t xml:space="preserve"> objectives).</w:t>
            </w:r>
          </w:p>
        </w:tc>
        <w:tc>
          <w:tcPr>
            <w:tcW w:w="0" w:type="auto"/>
            <w:vAlign w:val="center"/>
            <w:hideMark/>
          </w:tcPr>
          <w:p w14:paraId="087ECADA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The Introduction has been reorganized to follow: (1) turbidity problem, (2) limitation of inorganic coagulants, (3) potential of chitosan, (4) DD importance, (5) research gap, (6) objective.</w:t>
            </w:r>
          </w:p>
        </w:tc>
        <w:tc>
          <w:tcPr>
            <w:tcW w:w="0" w:type="auto"/>
            <w:vAlign w:val="center"/>
            <w:hideMark/>
          </w:tcPr>
          <w:p w14:paraId="0338C638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Introduction</w:t>
            </w:r>
          </w:p>
        </w:tc>
      </w:tr>
      <w:tr w:rsidR="00C14BDC" w:rsidRPr="00C14BDC" w14:paraId="4AC952B9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16BD5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EA2A4F8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Inconsistent dosage values between sections.</w:t>
            </w:r>
          </w:p>
        </w:tc>
        <w:tc>
          <w:tcPr>
            <w:tcW w:w="0" w:type="auto"/>
            <w:vAlign w:val="center"/>
            <w:hideMark/>
          </w:tcPr>
          <w:p w14:paraId="109F88BA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Dosage ranges have been harmonized across Abstract, Methods, Results, and Supplementary Table 1. Each coagulant now has clearly defined dose ranges consistent throughout the manuscript.</w:t>
            </w:r>
          </w:p>
        </w:tc>
        <w:tc>
          <w:tcPr>
            <w:tcW w:w="0" w:type="auto"/>
            <w:vAlign w:val="center"/>
            <w:hideMark/>
          </w:tcPr>
          <w:p w14:paraId="534CF7C0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Sections 2.4, Results, Supplementary Table 1</w:t>
            </w:r>
          </w:p>
        </w:tc>
      </w:tr>
      <w:tr w:rsidR="00C14BDC" w:rsidRPr="00C14BDC" w14:paraId="2FFC45C6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7521C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0495B9EB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Missing replication and statistical analysis details.</w:t>
            </w:r>
          </w:p>
        </w:tc>
        <w:tc>
          <w:tcPr>
            <w:tcW w:w="0" w:type="auto"/>
            <w:vAlign w:val="center"/>
            <w:hideMark/>
          </w:tcPr>
          <w:p w14:paraId="7F0A1341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It is now explicitly stated that all coagulation experiments were performed in triplicate (n = 3), and results are expressed as mean ± SD. One-way ANOVA was applied at 95% confidence level (p &lt; 0.05).</w:t>
            </w:r>
          </w:p>
        </w:tc>
        <w:tc>
          <w:tcPr>
            <w:tcW w:w="0" w:type="auto"/>
            <w:vAlign w:val="center"/>
            <w:hideMark/>
          </w:tcPr>
          <w:p w14:paraId="4091AF3B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Section 2.6 Data Analysis</w:t>
            </w:r>
          </w:p>
        </w:tc>
      </w:tr>
      <w:tr w:rsidR="00C14BDC" w:rsidRPr="00C14BDC" w14:paraId="4FE235D4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D8083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D081BA6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Missing FTIR parameter details.</w:t>
            </w:r>
          </w:p>
        </w:tc>
        <w:tc>
          <w:tcPr>
            <w:tcW w:w="0" w:type="auto"/>
            <w:vAlign w:val="center"/>
            <w:hideMark/>
          </w:tcPr>
          <w:p w14:paraId="2B198519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FTIR analysis for DD determination is described using the Prestige 21 Shimadzu instrument and the </w:t>
            </w:r>
            <w:proofErr w:type="spellStart"/>
            <w:r w:rsidRPr="00C14BDC">
              <w:rPr>
                <w:rFonts w:ascii="Constantia" w:hAnsi="Constantia"/>
                <w:sz w:val="22"/>
                <w:szCs w:val="22"/>
              </w:rPr>
              <w:t>Brugner</w:t>
            </w:r>
            <w:proofErr w:type="spellEnd"/>
            <w:r w:rsidRPr="00C14BDC">
              <w:rPr>
                <w:rFonts w:ascii="Constantia" w:hAnsi="Constantia"/>
                <w:sz w:val="22"/>
                <w:szCs w:val="22"/>
              </w:rPr>
              <w:t xml:space="preserve"> equation. Spectral peaks (1655 cm⁻¹ and 3450 cm⁻¹) are specified, and spectra are provided as Supplementary Figures 1–3.</w:t>
            </w:r>
          </w:p>
        </w:tc>
        <w:tc>
          <w:tcPr>
            <w:tcW w:w="0" w:type="auto"/>
            <w:vAlign w:val="center"/>
            <w:hideMark/>
          </w:tcPr>
          <w:p w14:paraId="0D13E91A" w14:textId="6D48289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Section 2.2 </w:t>
            </w:r>
            <w:r>
              <w:rPr>
                <w:rFonts w:ascii="Constantia" w:hAnsi="Constantia"/>
                <w:sz w:val="22"/>
                <w:szCs w:val="22"/>
              </w:rPr>
              <w:t>and</w:t>
            </w:r>
            <w:r w:rsidRPr="00C14BDC">
              <w:rPr>
                <w:rFonts w:ascii="Constantia" w:hAnsi="Constantia"/>
                <w:sz w:val="22"/>
                <w:szCs w:val="22"/>
              </w:rPr>
              <w:t xml:space="preserve"> Supplementary Figures</w:t>
            </w:r>
          </w:p>
        </w:tc>
      </w:tr>
      <w:tr w:rsidR="00C14BDC" w:rsidRPr="00C14BDC" w14:paraId="6E8C5E97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7E660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F8DBAFA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Results mostly descriptive; lacks critical analysis.</w:t>
            </w:r>
          </w:p>
        </w:tc>
        <w:tc>
          <w:tcPr>
            <w:tcW w:w="0" w:type="auto"/>
            <w:vAlign w:val="center"/>
            <w:hideMark/>
          </w:tcPr>
          <w:p w14:paraId="5B4AFB4F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Additional mechanistic interpretation has been added, including overdosing behavior, charge reversal at acidic pH, and bridging compensation under alkaline conditions. Statistical validation (ANOVA) is integrated into the discussion.</w:t>
            </w:r>
          </w:p>
        </w:tc>
        <w:tc>
          <w:tcPr>
            <w:tcW w:w="0" w:type="auto"/>
            <w:vAlign w:val="center"/>
            <w:hideMark/>
          </w:tcPr>
          <w:p w14:paraId="6697F484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Section 3.2</w:t>
            </w:r>
          </w:p>
        </w:tc>
      </w:tr>
      <w:tr w:rsidR="00C14BDC" w:rsidRPr="00C14BDC" w14:paraId="52F8782C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5C39D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FFE2225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No statistical verification of trends.</w:t>
            </w:r>
          </w:p>
        </w:tc>
        <w:tc>
          <w:tcPr>
            <w:tcW w:w="0" w:type="auto"/>
            <w:vAlign w:val="center"/>
            <w:hideMark/>
          </w:tcPr>
          <w:p w14:paraId="6370C38D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ANOVA results are provided in Supplementary Table 2 and discussed in the Results section, including clarification that green mussel chitosan showed no statistically significant dosage effect (p &gt; 0.05).</w:t>
            </w:r>
          </w:p>
        </w:tc>
        <w:tc>
          <w:tcPr>
            <w:tcW w:w="0" w:type="auto"/>
            <w:vAlign w:val="center"/>
            <w:hideMark/>
          </w:tcPr>
          <w:p w14:paraId="780AD774" w14:textId="4BEC412D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Section 3.2 </w:t>
            </w:r>
            <w:r>
              <w:rPr>
                <w:rFonts w:ascii="Constantia" w:hAnsi="Constantia"/>
                <w:sz w:val="22"/>
                <w:szCs w:val="22"/>
              </w:rPr>
              <w:t>and</w:t>
            </w:r>
            <w:r w:rsidRPr="00C14BDC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C14BDC">
              <w:rPr>
                <w:rFonts w:ascii="Constantia" w:hAnsi="Constantia"/>
                <w:sz w:val="22"/>
                <w:szCs w:val="22"/>
              </w:rPr>
              <w:t>Supplementary Table 2</w:t>
            </w:r>
          </w:p>
        </w:tc>
      </w:tr>
      <w:tr w:rsidR="00C14BDC" w:rsidRPr="00C14BDC" w14:paraId="3CF9259D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713B7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32C2440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No discussion of limitations.</w:t>
            </w:r>
          </w:p>
        </w:tc>
        <w:tc>
          <w:tcPr>
            <w:tcW w:w="0" w:type="auto"/>
            <w:vAlign w:val="center"/>
            <w:hideMark/>
          </w:tcPr>
          <w:p w14:paraId="7F77A41B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 limitation paragraph has been added, stating that experiments were conducted using synthetic turbid water lacking natural organic matter and competing ions.</w:t>
            </w:r>
          </w:p>
        </w:tc>
        <w:tc>
          <w:tcPr>
            <w:tcW w:w="0" w:type="auto"/>
            <w:vAlign w:val="center"/>
            <w:hideMark/>
          </w:tcPr>
          <w:p w14:paraId="2BDF9F90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End of Section 3.2</w:t>
            </w:r>
          </w:p>
        </w:tc>
      </w:tr>
      <w:tr w:rsidR="00C14BDC" w:rsidRPr="00C14BDC" w14:paraId="1224DA85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4CAC2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7833C55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Figures referenced but not included.</w:t>
            </w:r>
          </w:p>
        </w:tc>
        <w:tc>
          <w:tcPr>
            <w:tcW w:w="0" w:type="auto"/>
            <w:vAlign w:val="center"/>
            <w:hideMark/>
          </w:tcPr>
          <w:p w14:paraId="10AE6A24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All turbidity removal figures are included in the main manuscript. FTIR spectra are provided as Supplementary Figures 1–3. Statistical tables are provided as Supplementary Tables 1–2.</w:t>
            </w:r>
          </w:p>
        </w:tc>
        <w:tc>
          <w:tcPr>
            <w:tcW w:w="0" w:type="auto"/>
            <w:vAlign w:val="center"/>
            <w:hideMark/>
          </w:tcPr>
          <w:p w14:paraId="0E2A91B7" w14:textId="644C20EE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Figures 1–3 </w:t>
            </w:r>
            <w:r>
              <w:rPr>
                <w:rFonts w:ascii="Constantia" w:hAnsi="Constantia"/>
                <w:sz w:val="22"/>
                <w:szCs w:val="22"/>
              </w:rPr>
              <w:t>and</w:t>
            </w:r>
            <w:r w:rsidRPr="00C14BDC">
              <w:rPr>
                <w:rFonts w:ascii="Constantia" w:hAnsi="Constantia"/>
                <w:sz w:val="22"/>
                <w:szCs w:val="22"/>
              </w:rPr>
              <w:t xml:space="preserve"> Supplementary Files</w:t>
            </w:r>
          </w:p>
        </w:tc>
      </w:tr>
      <w:tr w:rsidR="00C14BDC" w:rsidRPr="00C14BDC" w14:paraId="63C7CDC1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FED45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B9E3872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Conclusion restates results without contribution.</w:t>
            </w:r>
          </w:p>
        </w:tc>
        <w:tc>
          <w:tcPr>
            <w:tcW w:w="0" w:type="auto"/>
            <w:vAlign w:val="center"/>
            <w:hideMark/>
          </w:tcPr>
          <w:p w14:paraId="2FE85916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The Conclusion now explicitly states the scientific contribution: integration of DD characterization with electrokinetic behavior and operational performance for sustainable coagulant selection.</w:t>
            </w:r>
          </w:p>
        </w:tc>
        <w:tc>
          <w:tcPr>
            <w:tcW w:w="0" w:type="auto"/>
            <w:vAlign w:val="center"/>
            <w:hideMark/>
          </w:tcPr>
          <w:p w14:paraId="7FAE7B94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Conclusion</w:t>
            </w:r>
          </w:p>
        </w:tc>
      </w:tr>
      <w:tr w:rsidR="00C14BDC" w:rsidRPr="00C14BDC" w14:paraId="469510E3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D6206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F162BC9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No future research direction.</w:t>
            </w:r>
          </w:p>
        </w:tc>
        <w:tc>
          <w:tcPr>
            <w:tcW w:w="0" w:type="auto"/>
            <w:vAlign w:val="center"/>
            <w:hideMark/>
          </w:tcPr>
          <w:p w14:paraId="109AB34A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Future research recommendations have been added, including evaluation in real surface water matrices and pilot-scale systems.</w:t>
            </w:r>
          </w:p>
        </w:tc>
        <w:tc>
          <w:tcPr>
            <w:tcW w:w="0" w:type="auto"/>
            <w:vAlign w:val="center"/>
            <w:hideMark/>
          </w:tcPr>
          <w:p w14:paraId="19DCCC44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Conclusion</w:t>
            </w:r>
          </w:p>
        </w:tc>
      </w:tr>
      <w:tr w:rsidR="00C14BDC" w:rsidRPr="00C14BDC" w14:paraId="7FC72FB9" w14:textId="77777777" w:rsidTr="00C14B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5B98B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99BE49C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>Lacks broader application context.</w:t>
            </w:r>
          </w:p>
        </w:tc>
        <w:tc>
          <w:tcPr>
            <w:tcW w:w="0" w:type="auto"/>
            <w:vAlign w:val="center"/>
            <w:hideMark/>
          </w:tcPr>
          <w:p w14:paraId="4C9E09B7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t xml:space="preserve">Industrial and environmental implications are now emphasized, particularly the valorization of </w:t>
            </w:r>
            <w:r w:rsidRPr="00C14BDC">
              <w:rPr>
                <w:rFonts w:ascii="Constantia" w:hAnsi="Constantia"/>
                <w:sz w:val="22"/>
                <w:szCs w:val="22"/>
              </w:rPr>
              <w:lastRenderedPageBreak/>
              <w:t>crustacean waste as a sustainable alternative to inorganic coagulants.</w:t>
            </w:r>
          </w:p>
        </w:tc>
        <w:tc>
          <w:tcPr>
            <w:tcW w:w="0" w:type="auto"/>
            <w:vAlign w:val="center"/>
            <w:hideMark/>
          </w:tcPr>
          <w:p w14:paraId="65E79189" w14:textId="77777777" w:rsidR="00C14BDC" w:rsidRPr="00C14BDC" w:rsidRDefault="00C14BDC" w:rsidP="00C14BDC">
            <w:pPr>
              <w:rPr>
                <w:rFonts w:ascii="Constantia" w:hAnsi="Constantia"/>
                <w:sz w:val="22"/>
                <w:szCs w:val="22"/>
              </w:rPr>
            </w:pPr>
            <w:r w:rsidRPr="00C14BDC">
              <w:rPr>
                <w:rFonts w:ascii="Constantia" w:hAnsi="Constantia"/>
                <w:sz w:val="22"/>
                <w:szCs w:val="22"/>
              </w:rPr>
              <w:lastRenderedPageBreak/>
              <w:t>Conclusion</w:t>
            </w:r>
          </w:p>
        </w:tc>
      </w:tr>
    </w:tbl>
    <w:p w14:paraId="5FECC8AE" w14:textId="77777777" w:rsidR="00C14BDC" w:rsidRPr="00C14BDC" w:rsidRDefault="00C14BDC">
      <w:pPr>
        <w:rPr>
          <w:rFonts w:ascii="Constantia" w:hAnsi="Constantia"/>
          <w:sz w:val="22"/>
          <w:szCs w:val="22"/>
        </w:rPr>
      </w:pPr>
    </w:p>
    <w:p w14:paraId="2E09D8EC" w14:textId="77777777" w:rsidR="001A312D" w:rsidRPr="00C14BDC" w:rsidRDefault="001A312D">
      <w:pPr>
        <w:rPr>
          <w:rFonts w:ascii="Constantia" w:hAnsi="Constantia"/>
          <w:sz w:val="22"/>
          <w:szCs w:val="22"/>
        </w:rPr>
      </w:pPr>
    </w:p>
    <w:p w14:paraId="081F6F24" w14:textId="77777777" w:rsidR="001A312D" w:rsidRPr="00C14BDC" w:rsidRDefault="001A312D">
      <w:pPr>
        <w:rPr>
          <w:rFonts w:ascii="Constantia" w:hAnsi="Constantia"/>
          <w:sz w:val="22"/>
          <w:szCs w:val="22"/>
        </w:rPr>
      </w:pPr>
    </w:p>
    <w:sectPr w:rsidR="001A312D" w:rsidRPr="00C14BDC" w:rsidSect="00C14BDC">
      <w:headerReference w:type="default" r:id="rId6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EBB9" w14:textId="77777777" w:rsidR="00D5362D" w:rsidRDefault="00D5362D" w:rsidP="00C14BDC">
      <w:pPr>
        <w:spacing w:after="0" w:line="240" w:lineRule="auto"/>
      </w:pPr>
      <w:r>
        <w:separator/>
      </w:r>
    </w:p>
  </w:endnote>
  <w:endnote w:type="continuationSeparator" w:id="0">
    <w:p w14:paraId="64D72FEB" w14:textId="77777777" w:rsidR="00D5362D" w:rsidRDefault="00D5362D" w:rsidP="00C1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C1D0" w14:textId="77777777" w:rsidR="00D5362D" w:rsidRDefault="00D5362D" w:rsidP="00C14BDC">
      <w:pPr>
        <w:spacing w:after="0" w:line="240" w:lineRule="auto"/>
      </w:pPr>
      <w:r>
        <w:separator/>
      </w:r>
    </w:p>
  </w:footnote>
  <w:footnote w:type="continuationSeparator" w:id="0">
    <w:p w14:paraId="31E1D1FB" w14:textId="77777777" w:rsidR="00D5362D" w:rsidRDefault="00D5362D" w:rsidP="00C1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7189258"/>
      <w:docPartObj>
        <w:docPartGallery w:val="Page Numbers (Top of Page)"/>
        <w:docPartUnique/>
      </w:docPartObj>
    </w:sdtPr>
    <w:sdtEndPr>
      <w:rPr>
        <w:rFonts w:ascii="Constantia" w:hAnsi="Constantia"/>
        <w:noProof/>
        <w:sz w:val="22"/>
        <w:szCs w:val="22"/>
      </w:rPr>
    </w:sdtEndPr>
    <w:sdtContent>
      <w:p w14:paraId="715FC5A5" w14:textId="45EE71A3" w:rsidR="00C14BDC" w:rsidRPr="00C14BDC" w:rsidRDefault="00C14BDC">
        <w:pPr>
          <w:pStyle w:val="Header"/>
          <w:jc w:val="right"/>
          <w:rPr>
            <w:rFonts w:ascii="Constantia" w:hAnsi="Constantia"/>
            <w:sz w:val="22"/>
            <w:szCs w:val="22"/>
          </w:rPr>
        </w:pPr>
        <w:r w:rsidRPr="00C14BDC">
          <w:rPr>
            <w:rFonts w:ascii="Constantia" w:hAnsi="Constantia"/>
            <w:sz w:val="22"/>
            <w:szCs w:val="22"/>
          </w:rPr>
          <w:fldChar w:fldCharType="begin"/>
        </w:r>
        <w:r w:rsidRPr="00C14BDC">
          <w:rPr>
            <w:rFonts w:ascii="Constantia" w:hAnsi="Constantia"/>
            <w:sz w:val="22"/>
            <w:szCs w:val="22"/>
          </w:rPr>
          <w:instrText xml:space="preserve"> PAGE   \* MERGEFORMAT </w:instrText>
        </w:r>
        <w:r w:rsidRPr="00C14BDC">
          <w:rPr>
            <w:rFonts w:ascii="Constantia" w:hAnsi="Constantia"/>
            <w:sz w:val="22"/>
            <w:szCs w:val="22"/>
          </w:rPr>
          <w:fldChar w:fldCharType="separate"/>
        </w:r>
        <w:r w:rsidRPr="00C14BDC">
          <w:rPr>
            <w:rFonts w:ascii="Constantia" w:hAnsi="Constantia"/>
            <w:noProof/>
            <w:sz w:val="22"/>
            <w:szCs w:val="22"/>
          </w:rPr>
          <w:t>2</w:t>
        </w:r>
        <w:r w:rsidRPr="00C14BDC">
          <w:rPr>
            <w:rFonts w:ascii="Constantia" w:hAnsi="Constantia"/>
            <w:noProof/>
            <w:sz w:val="22"/>
            <w:szCs w:val="22"/>
          </w:rPr>
          <w:fldChar w:fldCharType="end"/>
        </w:r>
      </w:p>
    </w:sdtContent>
  </w:sdt>
  <w:p w14:paraId="668087FB" w14:textId="77777777" w:rsidR="00C14BDC" w:rsidRDefault="00C14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2D"/>
    <w:rsid w:val="001A312D"/>
    <w:rsid w:val="00AA7429"/>
    <w:rsid w:val="00C14BDC"/>
    <w:rsid w:val="00D5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347EF"/>
  <w15:chartTrackingRefBased/>
  <w15:docId w15:val="{2A7782E7-DC3E-460D-9480-A12C589E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1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1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1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1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1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1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1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312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DC"/>
  </w:style>
  <w:style w:type="paragraph" w:styleId="Footer">
    <w:name w:val="footer"/>
    <w:basedOn w:val="Normal"/>
    <w:link w:val="FooterChar"/>
    <w:uiPriority w:val="99"/>
    <w:unhideWhenUsed/>
    <w:rsid w:val="00C1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Ganeca</dc:creator>
  <cp:keywords/>
  <dc:description/>
  <cp:lastModifiedBy>Fatih Ganeca</cp:lastModifiedBy>
  <cp:revision>1</cp:revision>
  <dcterms:created xsi:type="dcterms:W3CDTF">2026-03-03T13:01:00Z</dcterms:created>
  <dcterms:modified xsi:type="dcterms:W3CDTF">2026-03-03T13:32:00Z</dcterms:modified>
</cp:coreProperties>
</file>