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32EB4" w14:textId="4C8E8904" w:rsidR="0007360F" w:rsidRDefault="00E84ECA" w:rsidP="00135028">
      <w:pPr>
        <w:spacing w:after="0" w:line="240" w:lineRule="auto"/>
        <w:jc w:val="both"/>
        <w:rPr>
          <w:rFonts w:ascii="Constantia" w:hAnsi="Constantia" w:cs="Times New Roman"/>
          <w:b/>
          <w:bCs/>
          <w:sz w:val="32"/>
          <w:szCs w:val="32"/>
        </w:rPr>
      </w:pPr>
      <w:r w:rsidRPr="00E84ECA">
        <w:rPr>
          <w:rFonts w:ascii="Constantia" w:hAnsi="Constantia" w:cs="Times New Roman"/>
          <w:b/>
          <w:bCs/>
          <w:sz w:val="32"/>
          <w:szCs w:val="32"/>
        </w:rPr>
        <w:t>Analysis of the Potential for Carbon Emission Mitigation from Solid Waste Management at Shipbuilding Institute of Polytechnic Surabaya</w:t>
      </w:r>
    </w:p>
    <w:p w14:paraId="3CE4D6DE" w14:textId="77777777" w:rsidR="00E84ECA" w:rsidRPr="00105C13" w:rsidRDefault="00E84ECA" w:rsidP="00135028">
      <w:pPr>
        <w:spacing w:after="0" w:line="240" w:lineRule="auto"/>
        <w:jc w:val="both"/>
        <w:rPr>
          <w:rFonts w:ascii="Constantia" w:hAnsi="Constantia" w:cs="Times New Roman"/>
          <w:b/>
          <w:bCs/>
          <w:sz w:val="24"/>
          <w:szCs w:val="24"/>
        </w:rPr>
      </w:pPr>
    </w:p>
    <w:p w14:paraId="4FFBC417" w14:textId="4887FFB8" w:rsidR="0007360F" w:rsidRPr="007B7B57" w:rsidRDefault="00D1476D" w:rsidP="00E84ECA">
      <w:pPr>
        <w:spacing w:after="0" w:line="276" w:lineRule="auto"/>
        <w:contextualSpacing/>
        <w:jc w:val="both"/>
        <w:rPr>
          <w:rFonts w:ascii="Constantia" w:hAnsi="Constantia" w:cs="Times New Roman"/>
          <w:b/>
          <w:bCs/>
          <w:sz w:val="24"/>
          <w:szCs w:val="24"/>
        </w:rPr>
      </w:pPr>
      <w:r w:rsidRPr="00105C13">
        <w:rPr>
          <w:rFonts w:ascii="Constantia" w:hAnsi="Constantia" w:cs="Times New Roman"/>
          <w:b/>
          <w:bCs/>
          <w:sz w:val="24"/>
          <w:szCs w:val="24"/>
        </w:rPr>
        <w:t>Vivin Setiani</w:t>
      </w:r>
      <w:r w:rsidRPr="00105C13">
        <w:rPr>
          <w:rFonts w:ascii="Constantia" w:hAnsi="Constantia" w:cs="Times New Roman"/>
          <w:b/>
          <w:bCs/>
          <w:sz w:val="24"/>
          <w:szCs w:val="24"/>
          <w:vertAlign w:val="superscript"/>
        </w:rPr>
        <w:t>1</w:t>
      </w:r>
      <w:r w:rsidRPr="00105C13">
        <w:rPr>
          <w:rFonts w:ascii="Constantia" w:hAnsi="Constantia" w:cs="Times New Roman"/>
          <w:b/>
          <w:bCs/>
          <w:sz w:val="24"/>
          <w:szCs w:val="24"/>
        </w:rPr>
        <w:t>, Ulvi Priastuti</w:t>
      </w:r>
      <w:r w:rsidRPr="00105C13">
        <w:rPr>
          <w:rFonts w:ascii="Constantia" w:hAnsi="Constantia" w:cs="Times New Roman"/>
          <w:b/>
          <w:bCs/>
          <w:sz w:val="24"/>
          <w:szCs w:val="24"/>
          <w:vertAlign w:val="superscript"/>
        </w:rPr>
        <w:t>1</w:t>
      </w:r>
      <w:r w:rsidR="0061440E" w:rsidRPr="00105C13">
        <w:rPr>
          <w:rFonts w:ascii="Constantia" w:hAnsi="Constantia" w:cs="Times New Roman"/>
          <w:b/>
          <w:bCs/>
          <w:sz w:val="24"/>
          <w:szCs w:val="24"/>
        </w:rPr>
        <w:t xml:space="preserve">, </w:t>
      </w:r>
      <w:r w:rsidR="00135028" w:rsidRPr="00105C13">
        <w:rPr>
          <w:rFonts w:ascii="Constantia" w:hAnsi="Constantia" w:cs="Times New Roman"/>
          <w:b/>
          <w:bCs/>
          <w:sz w:val="24"/>
          <w:szCs w:val="24"/>
        </w:rPr>
        <w:t>Ahmad Erlan Afiuddin</w:t>
      </w:r>
      <w:r w:rsidR="00135028" w:rsidRPr="00105C13">
        <w:rPr>
          <w:rFonts w:ascii="Constantia" w:hAnsi="Constantia" w:cs="Times New Roman"/>
          <w:b/>
          <w:bCs/>
          <w:sz w:val="24"/>
          <w:szCs w:val="24"/>
          <w:vertAlign w:val="superscript"/>
        </w:rPr>
        <w:t>1</w:t>
      </w:r>
      <w:r w:rsidR="00135028" w:rsidRPr="00105C13">
        <w:rPr>
          <w:rFonts w:ascii="Constantia" w:hAnsi="Constantia" w:cs="Times New Roman"/>
          <w:b/>
          <w:bCs/>
          <w:sz w:val="24"/>
          <w:szCs w:val="24"/>
        </w:rPr>
        <w:t xml:space="preserve">, </w:t>
      </w:r>
      <w:r w:rsidR="00421DFF" w:rsidRPr="00105C13">
        <w:rPr>
          <w:rFonts w:ascii="Constantia" w:hAnsi="Constantia" w:cs="Times New Roman"/>
          <w:b/>
          <w:bCs/>
          <w:sz w:val="24"/>
          <w:szCs w:val="24"/>
        </w:rPr>
        <w:t>Mar’atus Sholihah</w:t>
      </w:r>
      <w:r w:rsidR="00421DFF" w:rsidRPr="00105C13">
        <w:rPr>
          <w:rFonts w:ascii="Constantia" w:hAnsi="Constantia" w:cs="Times New Roman"/>
          <w:b/>
          <w:bCs/>
          <w:sz w:val="24"/>
          <w:szCs w:val="24"/>
          <w:vertAlign w:val="superscript"/>
        </w:rPr>
        <w:t>1</w:t>
      </w:r>
      <w:r w:rsidR="00135028" w:rsidRPr="00105C13">
        <w:rPr>
          <w:rFonts w:ascii="Constantia" w:hAnsi="Constantia" w:cs="Times New Roman"/>
          <w:b/>
          <w:bCs/>
          <w:sz w:val="24"/>
          <w:szCs w:val="24"/>
        </w:rPr>
        <w:t>, Denny Dermawan</w:t>
      </w:r>
      <w:r w:rsidR="00135028" w:rsidRPr="00105C13">
        <w:rPr>
          <w:rFonts w:ascii="Constantia" w:hAnsi="Constantia" w:cs="Times New Roman"/>
          <w:b/>
          <w:bCs/>
          <w:sz w:val="24"/>
          <w:szCs w:val="24"/>
          <w:vertAlign w:val="superscript"/>
        </w:rPr>
        <w:t>1</w:t>
      </w:r>
      <w:r w:rsidR="00135028" w:rsidRPr="00105C13">
        <w:rPr>
          <w:rFonts w:ascii="Constantia" w:hAnsi="Constantia" w:cs="Times New Roman"/>
          <w:b/>
          <w:bCs/>
          <w:sz w:val="24"/>
          <w:szCs w:val="24"/>
        </w:rPr>
        <w:t>, Mirna Apriani</w:t>
      </w:r>
      <w:r w:rsidR="00135028" w:rsidRPr="00105C13">
        <w:rPr>
          <w:rFonts w:ascii="Constantia" w:hAnsi="Constantia" w:cs="Times New Roman"/>
          <w:b/>
          <w:bCs/>
          <w:sz w:val="24"/>
          <w:szCs w:val="24"/>
          <w:vertAlign w:val="superscript"/>
        </w:rPr>
        <w:t>1</w:t>
      </w:r>
      <w:r w:rsidR="00135028" w:rsidRPr="00105C13">
        <w:rPr>
          <w:rFonts w:ascii="Constantia" w:hAnsi="Constantia" w:cs="Times New Roman"/>
          <w:b/>
          <w:bCs/>
          <w:sz w:val="24"/>
          <w:szCs w:val="24"/>
        </w:rPr>
        <w:t xml:space="preserve">, </w:t>
      </w:r>
      <w:r w:rsidR="00421DFF" w:rsidRPr="00105C13">
        <w:rPr>
          <w:rFonts w:ascii="Constantia" w:hAnsi="Constantia" w:cs="Times New Roman"/>
          <w:b/>
          <w:bCs/>
          <w:sz w:val="24"/>
          <w:szCs w:val="24"/>
        </w:rPr>
        <w:t>Dewi Kurniasih</w:t>
      </w:r>
      <w:r w:rsidR="00421DFF" w:rsidRPr="00105C13">
        <w:rPr>
          <w:rFonts w:ascii="Constantia" w:hAnsi="Constantia" w:cs="Times New Roman"/>
          <w:b/>
          <w:bCs/>
          <w:sz w:val="24"/>
          <w:szCs w:val="24"/>
          <w:vertAlign w:val="superscript"/>
        </w:rPr>
        <w:t>2</w:t>
      </w:r>
      <w:r w:rsidR="00135028" w:rsidRPr="00105C13">
        <w:rPr>
          <w:rFonts w:ascii="Constantia" w:hAnsi="Constantia" w:cs="Times New Roman"/>
          <w:b/>
          <w:bCs/>
          <w:sz w:val="24"/>
          <w:szCs w:val="24"/>
        </w:rPr>
        <w:t xml:space="preserve">, </w:t>
      </w:r>
      <w:r w:rsidR="00421DFF" w:rsidRPr="00105C13">
        <w:rPr>
          <w:rFonts w:ascii="Constantia" w:hAnsi="Constantia" w:cs="Times New Roman"/>
          <w:b/>
          <w:bCs/>
          <w:sz w:val="24"/>
          <w:szCs w:val="24"/>
        </w:rPr>
        <w:t>Agus Khumaidi</w:t>
      </w:r>
      <w:r w:rsidR="00421DFF" w:rsidRPr="00105C13">
        <w:rPr>
          <w:rFonts w:ascii="Constantia" w:hAnsi="Constantia" w:cs="Times New Roman"/>
          <w:b/>
          <w:bCs/>
          <w:sz w:val="24"/>
          <w:szCs w:val="24"/>
          <w:vertAlign w:val="superscript"/>
        </w:rPr>
        <w:t>3</w:t>
      </w:r>
      <w:r w:rsidR="00135028" w:rsidRPr="00105C13">
        <w:rPr>
          <w:rFonts w:ascii="Constantia" w:hAnsi="Constantia" w:cs="Times New Roman"/>
          <w:b/>
          <w:bCs/>
          <w:sz w:val="24"/>
          <w:szCs w:val="24"/>
        </w:rPr>
        <w:t xml:space="preserve">, </w:t>
      </w:r>
      <w:r w:rsidR="0042183A" w:rsidRPr="00105C13">
        <w:rPr>
          <w:rFonts w:ascii="Constantia" w:hAnsi="Constantia" w:cs="Times New Roman"/>
          <w:b/>
          <w:bCs/>
          <w:sz w:val="24"/>
          <w:szCs w:val="24"/>
        </w:rPr>
        <w:t>Aulia Della Cornellia</w:t>
      </w:r>
      <w:r w:rsidR="0042183A" w:rsidRPr="00105C13">
        <w:rPr>
          <w:rFonts w:ascii="Constantia" w:hAnsi="Constantia" w:cs="Times New Roman"/>
          <w:b/>
          <w:bCs/>
          <w:sz w:val="24"/>
          <w:szCs w:val="24"/>
          <w:vertAlign w:val="superscript"/>
        </w:rPr>
        <w:t>1</w:t>
      </w:r>
      <w:r w:rsidR="00135028" w:rsidRPr="00105C13">
        <w:rPr>
          <w:rFonts w:ascii="Constantia" w:hAnsi="Constantia" w:cs="Times New Roman"/>
          <w:b/>
          <w:bCs/>
          <w:sz w:val="24"/>
          <w:szCs w:val="24"/>
        </w:rPr>
        <w:t xml:space="preserve">, </w:t>
      </w:r>
      <w:r w:rsidR="00421DFF" w:rsidRPr="00105C13">
        <w:rPr>
          <w:rFonts w:ascii="Constantia" w:eastAsia="Constantia" w:hAnsi="Constantia" w:cs="Constantia"/>
          <w:b/>
          <w:sz w:val="24"/>
          <w:szCs w:val="24"/>
        </w:rPr>
        <w:t>Lina Indawati</w:t>
      </w:r>
      <w:r w:rsidR="00421DFF" w:rsidRPr="00105C13">
        <w:rPr>
          <w:rFonts w:ascii="Constantia" w:eastAsia="Constantia" w:hAnsi="Constantia" w:cs="Constantia"/>
          <w:b/>
          <w:sz w:val="24"/>
          <w:szCs w:val="24"/>
          <w:vertAlign w:val="superscript"/>
        </w:rPr>
        <w:t>4</w:t>
      </w:r>
      <w:r w:rsidR="007B7B57">
        <w:rPr>
          <w:rFonts w:ascii="Constantia" w:eastAsia="Constantia" w:hAnsi="Constantia" w:cs="Constantia"/>
          <w:b/>
          <w:sz w:val="24"/>
          <w:szCs w:val="24"/>
        </w:rPr>
        <w:t xml:space="preserve">, </w:t>
      </w:r>
      <w:r w:rsidR="007B7B57">
        <w:rPr>
          <w:rFonts w:ascii="Constantia" w:hAnsi="Constantia" w:cs="Times New Roman"/>
          <w:b/>
          <w:bCs/>
          <w:sz w:val="24"/>
          <w:szCs w:val="24"/>
        </w:rPr>
        <w:t>Sekarsari Wibowo</w:t>
      </w:r>
      <w:r w:rsidR="007B7B57" w:rsidRPr="001A3B98">
        <w:rPr>
          <w:rFonts w:ascii="Constantia" w:hAnsi="Constantia" w:cs="Times New Roman"/>
          <w:b/>
          <w:bCs/>
          <w:sz w:val="24"/>
          <w:szCs w:val="24"/>
          <w:vertAlign w:val="superscript"/>
        </w:rPr>
        <w:t>1</w:t>
      </w:r>
    </w:p>
    <w:p w14:paraId="28EE61FD" w14:textId="3DD837F9" w:rsidR="00105C13" w:rsidRPr="00105C13" w:rsidRDefault="00D1476D" w:rsidP="00E84ECA">
      <w:pPr>
        <w:spacing w:after="0" w:line="276" w:lineRule="auto"/>
        <w:contextualSpacing/>
        <w:rPr>
          <w:rFonts w:ascii="Constantia" w:eastAsia="Constantia" w:hAnsi="Constantia" w:cs="Constantia"/>
          <w:sz w:val="20"/>
          <w:szCs w:val="20"/>
        </w:rPr>
      </w:pPr>
      <w:r w:rsidRPr="00105C13">
        <w:rPr>
          <w:rFonts w:ascii="Constantia" w:hAnsi="Constantia" w:cs="Times New Roman"/>
          <w:sz w:val="20"/>
          <w:szCs w:val="20"/>
          <w:vertAlign w:val="superscript"/>
        </w:rPr>
        <w:t>1</w:t>
      </w:r>
      <w:r w:rsidR="00B24E46" w:rsidRPr="00105C13">
        <w:rPr>
          <w:rFonts w:ascii="Constantia" w:hAnsi="Constantia" w:cs="Times New Roman"/>
          <w:sz w:val="20"/>
          <w:szCs w:val="20"/>
        </w:rPr>
        <w:t xml:space="preserve">Waste Management Engineering Study Program, </w:t>
      </w:r>
      <w:r w:rsidR="00105C13" w:rsidRPr="00105C13">
        <w:rPr>
          <w:rFonts w:ascii="Constantia" w:eastAsia="Constantia" w:hAnsi="Constantia" w:cs="Constantia"/>
          <w:sz w:val="20"/>
          <w:szCs w:val="20"/>
        </w:rPr>
        <w:t>Politeknik Perkapalan Negeri Surabaya, Street on Teknik Kimia, Kampus ITS Sukolilo, Surabaya</w:t>
      </w:r>
      <w:r w:rsidR="00105C13" w:rsidRPr="00105C13">
        <w:rPr>
          <w:rFonts w:ascii="Constantia" w:eastAsia="Constantia" w:hAnsi="Constantia" w:cs="Constantia"/>
          <w:sz w:val="20"/>
          <w:szCs w:val="20"/>
        </w:rPr>
        <w:t>, 60111</w:t>
      </w:r>
    </w:p>
    <w:p w14:paraId="46DD8C2A" w14:textId="02FDA0A2" w:rsidR="00105C13" w:rsidRPr="00105C13" w:rsidRDefault="00105C13" w:rsidP="00E84ECA">
      <w:pPr>
        <w:spacing w:after="0" w:line="276" w:lineRule="auto"/>
        <w:contextualSpacing/>
        <w:jc w:val="both"/>
        <w:rPr>
          <w:rFonts w:ascii="Constantia" w:eastAsia="Constantia" w:hAnsi="Constantia" w:cs="Constantia"/>
          <w:sz w:val="20"/>
          <w:szCs w:val="20"/>
        </w:rPr>
      </w:pPr>
      <w:r w:rsidRPr="00105C13">
        <w:rPr>
          <w:rFonts w:ascii="Constantia" w:hAnsi="Constantia" w:cs="Times New Roman"/>
          <w:sz w:val="20"/>
          <w:szCs w:val="20"/>
          <w:vertAlign w:val="superscript"/>
        </w:rPr>
        <w:t>2</w:t>
      </w:r>
      <w:r w:rsidRPr="00105C13">
        <w:rPr>
          <w:rFonts w:ascii="Constantia" w:hAnsi="Constantia" w:cs="Times New Roman"/>
          <w:sz w:val="20"/>
          <w:szCs w:val="20"/>
        </w:rPr>
        <w:t>Occupational  Health  and  Safety  Engineering</w:t>
      </w:r>
      <w:r w:rsidRPr="00105C13">
        <w:rPr>
          <w:rFonts w:ascii="Constantia" w:hAnsi="Constantia" w:cs="Times New Roman"/>
          <w:sz w:val="20"/>
          <w:szCs w:val="20"/>
        </w:rPr>
        <w:t xml:space="preserve"> </w:t>
      </w:r>
      <w:r w:rsidRPr="00105C13">
        <w:rPr>
          <w:rFonts w:ascii="Constantia" w:hAnsi="Constantia" w:cs="Times New Roman"/>
          <w:sz w:val="20"/>
          <w:szCs w:val="20"/>
        </w:rPr>
        <w:t xml:space="preserve">Study Program, </w:t>
      </w:r>
      <w:r w:rsidRPr="00105C13">
        <w:rPr>
          <w:rFonts w:ascii="Constantia" w:eastAsia="Constantia" w:hAnsi="Constantia" w:cs="Constantia"/>
          <w:sz w:val="20"/>
          <w:szCs w:val="20"/>
        </w:rPr>
        <w:t>Politeknik Perkapalan Negeri Surabaya, Street on Teknik Kimia, Kampus ITS Sukolilo, Surabaya, 60111</w:t>
      </w:r>
    </w:p>
    <w:p w14:paraId="4950DC0B" w14:textId="0FDF5C8C" w:rsidR="00421DFF" w:rsidRPr="00105C13" w:rsidRDefault="00105C13" w:rsidP="00E84ECA">
      <w:pPr>
        <w:spacing w:after="0" w:line="276" w:lineRule="auto"/>
        <w:contextualSpacing/>
        <w:jc w:val="both"/>
        <w:rPr>
          <w:rFonts w:ascii="Constantia" w:eastAsia="Constantia" w:hAnsi="Constantia" w:cs="Constantia"/>
          <w:sz w:val="20"/>
          <w:szCs w:val="20"/>
        </w:rPr>
      </w:pPr>
      <w:r w:rsidRPr="00105C13">
        <w:rPr>
          <w:rFonts w:ascii="Constantia" w:hAnsi="Constantia" w:cs="Times New Roman"/>
          <w:sz w:val="20"/>
          <w:szCs w:val="20"/>
          <w:vertAlign w:val="superscript"/>
        </w:rPr>
        <w:t>3</w:t>
      </w:r>
      <w:r w:rsidRPr="00105C13">
        <w:rPr>
          <w:rFonts w:ascii="Constantia" w:eastAsia="Constantia" w:hAnsi="Constantia" w:cs="Constantia"/>
          <w:sz w:val="20"/>
          <w:szCs w:val="20"/>
        </w:rPr>
        <w:t xml:space="preserve"> </w:t>
      </w:r>
      <w:r w:rsidRPr="00105C13">
        <w:rPr>
          <w:rFonts w:ascii="Constantia" w:eastAsia="Constantia" w:hAnsi="Constantia" w:cs="Constantia"/>
          <w:sz w:val="20"/>
          <w:szCs w:val="20"/>
        </w:rPr>
        <w:t>Automation Engineering</w:t>
      </w:r>
      <w:r w:rsidRPr="00105C13">
        <w:rPr>
          <w:rFonts w:ascii="Constantia" w:hAnsi="Constantia" w:cs="Times New Roman"/>
          <w:sz w:val="20"/>
          <w:szCs w:val="20"/>
        </w:rPr>
        <w:t xml:space="preserve"> Study Program, </w:t>
      </w:r>
      <w:r w:rsidRPr="00105C13">
        <w:rPr>
          <w:rFonts w:ascii="Constantia" w:eastAsia="Constantia" w:hAnsi="Constantia" w:cs="Constantia"/>
          <w:sz w:val="20"/>
          <w:szCs w:val="20"/>
        </w:rPr>
        <w:t>Politeknik Perkapalan Negeri Surabaya, Street on Teknik Kimia, Kampus ITS Sukolilo, Surabaya, 60111</w:t>
      </w:r>
    </w:p>
    <w:p w14:paraId="181E7BBF" w14:textId="1440D19E" w:rsidR="00421DFF" w:rsidRPr="00E84ECA" w:rsidRDefault="00421DFF" w:rsidP="00E84ECA">
      <w:pPr>
        <w:spacing w:after="0" w:line="276" w:lineRule="auto"/>
        <w:contextualSpacing/>
        <w:rPr>
          <w:rFonts w:ascii="Constantia" w:eastAsia="Constantia" w:hAnsi="Constantia" w:cs="Constantia"/>
          <w:sz w:val="20"/>
          <w:szCs w:val="20"/>
        </w:rPr>
      </w:pPr>
      <w:r w:rsidRPr="00105C13">
        <w:rPr>
          <w:rFonts w:ascii="Constantia" w:eastAsia="Constantia" w:hAnsi="Constantia" w:cs="Constantia"/>
          <w:sz w:val="20"/>
          <w:szCs w:val="20"/>
          <w:vertAlign w:val="superscript"/>
        </w:rPr>
        <w:t xml:space="preserve">4 </w:t>
      </w:r>
      <w:r w:rsidRPr="00105C13">
        <w:rPr>
          <w:rFonts w:ascii="Constantia" w:eastAsia="Constantia" w:hAnsi="Constantia" w:cs="Constantia"/>
          <w:sz w:val="20"/>
          <w:szCs w:val="20"/>
        </w:rPr>
        <w:t>Department of Civil Engineering, National Central University, Chung-Li, 32001, Taiwan</w:t>
      </w:r>
    </w:p>
    <w:p w14:paraId="4738E65D" w14:textId="0F0D868F" w:rsidR="0007360F" w:rsidRPr="00105C13" w:rsidRDefault="0007360F" w:rsidP="00E84ECA">
      <w:pPr>
        <w:spacing w:after="0" w:line="276" w:lineRule="auto"/>
        <w:contextualSpacing/>
        <w:jc w:val="both"/>
        <w:rPr>
          <w:rFonts w:ascii="Constantia" w:hAnsi="Constantia" w:cs="Times New Roman"/>
          <w:sz w:val="20"/>
          <w:szCs w:val="20"/>
        </w:rPr>
      </w:pPr>
      <w:r w:rsidRPr="00105C13">
        <w:rPr>
          <w:rFonts w:ascii="Constantia" w:hAnsi="Constantia" w:cs="Times New Roman"/>
          <w:sz w:val="20"/>
          <w:szCs w:val="20"/>
        </w:rPr>
        <w:t>*</w:t>
      </w:r>
      <w:r w:rsidR="00135028" w:rsidRPr="00105C13">
        <w:rPr>
          <w:rFonts w:ascii="Constantia" w:hAnsi="Constantia"/>
        </w:rPr>
        <w:t xml:space="preserve"> </w:t>
      </w:r>
      <w:r w:rsidR="00135028" w:rsidRPr="00105C13">
        <w:rPr>
          <w:rFonts w:ascii="Constantia" w:hAnsi="Constantia" w:cs="Times New Roman"/>
          <w:sz w:val="20"/>
          <w:szCs w:val="20"/>
        </w:rPr>
        <w:t>Corresponding Author, email:</w:t>
      </w:r>
      <w:r w:rsidRPr="00105C13">
        <w:rPr>
          <w:rFonts w:ascii="Constantia" w:hAnsi="Constantia" w:cs="Times New Roman"/>
          <w:sz w:val="20"/>
          <w:szCs w:val="20"/>
        </w:rPr>
        <w:t xml:space="preserve"> </w:t>
      </w:r>
      <w:hyperlink r:id="rId8" w:history="1">
        <w:r w:rsidR="00C61908" w:rsidRPr="00105C13">
          <w:rPr>
            <w:rStyle w:val="Hyperlink"/>
            <w:rFonts w:ascii="Constantia" w:hAnsi="Constantia" w:cs="Times New Roman"/>
            <w:sz w:val="20"/>
            <w:szCs w:val="20"/>
          </w:rPr>
          <w:t>vivinsetiani@ppns.ac.id</w:t>
        </w:r>
      </w:hyperlink>
      <w:r w:rsidR="00C61908" w:rsidRPr="00105C13">
        <w:rPr>
          <w:rFonts w:ascii="Constantia" w:hAnsi="Constantia" w:cs="Times New Roman"/>
          <w:sz w:val="20"/>
          <w:szCs w:val="20"/>
        </w:rPr>
        <w:t xml:space="preserve"> </w:t>
      </w:r>
    </w:p>
    <w:p w14:paraId="478E19E7" w14:textId="31849467" w:rsidR="0007360F" w:rsidRPr="00105C13" w:rsidRDefault="0007360F" w:rsidP="00877371">
      <w:pPr>
        <w:spacing w:after="0" w:line="240" w:lineRule="auto"/>
        <w:jc w:val="center"/>
        <w:rPr>
          <w:rFonts w:ascii="Constantia" w:hAnsi="Constantia" w:cs="Times New Roman"/>
          <w:sz w:val="20"/>
          <w:szCs w:val="20"/>
        </w:rPr>
      </w:pPr>
    </w:p>
    <w:p w14:paraId="7CEC290E" w14:textId="77777777" w:rsidR="00B24E46" w:rsidRPr="00105C13" w:rsidRDefault="00B24E46" w:rsidP="00135028">
      <w:pPr>
        <w:spacing w:after="0" w:line="276" w:lineRule="auto"/>
        <w:jc w:val="both"/>
        <w:rPr>
          <w:rFonts w:ascii="Constantia" w:hAnsi="Constantia" w:cs="Times New Roman"/>
          <w:b/>
          <w:bCs/>
          <w:sz w:val="24"/>
          <w:szCs w:val="24"/>
        </w:rPr>
      </w:pPr>
      <w:r w:rsidRPr="00105C13">
        <w:rPr>
          <w:rFonts w:ascii="Constantia" w:hAnsi="Constantia" w:cs="Times New Roman"/>
          <w:b/>
          <w:bCs/>
          <w:sz w:val="24"/>
          <w:szCs w:val="24"/>
        </w:rPr>
        <w:t>Abstract</w:t>
      </w:r>
    </w:p>
    <w:p w14:paraId="670DF828" w14:textId="3CFFE906" w:rsidR="0007360F" w:rsidRPr="00105C13" w:rsidRDefault="00B24E46" w:rsidP="00135028">
      <w:pPr>
        <w:spacing w:after="0" w:line="276" w:lineRule="auto"/>
        <w:jc w:val="both"/>
        <w:rPr>
          <w:rFonts w:ascii="Constantia" w:hAnsi="Constantia" w:cs="Times New Roman"/>
          <w:sz w:val="20"/>
          <w:szCs w:val="20"/>
        </w:rPr>
      </w:pPr>
      <w:r w:rsidRPr="00105C13">
        <w:rPr>
          <w:rFonts w:ascii="Constantia" w:hAnsi="Constantia" w:cs="Times New Roman"/>
          <w:sz w:val="20"/>
          <w:szCs w:val="20"/>
        </w:rPr>
        <w:t xml:space="preserve">Climate change has emerged as a global issue, significantly driven by the increasing emissions of greenhouse gases (GHGs) from solid waste management sectors. Open dumping practices and the uncontrolled decomposition of organic waste have the potential to generate methane (CH₄) and carbon dioxide (CO₂) emissions. This study aims to analyze the carbon emission mitigation potential from </w:t>
      </w:r>
      <w:r w:rsidR="00E84ECA">
        <w:rPr>
          <w:rFonts w:ascii="Constantia" w:hAnsi="Constantia" w:cs="Times New Roman"/>
          <w:sz w:val="20"/>
          <w:szCs w:val="20"/>
        </w:rPr>
        <w:t xml:space="preserve">solid </w:t>
      </w:r>
      <w:r w:rsidRPr="00105C13">
        <w:rPr>
          <w:rFonts w:ascii="Constantia" w:hAnsi="Constantia" w:cs="Times New Roman"/>
          <w:sz w:val="20"/>
          <w:szCs w:val="20"/>
        </w:rPr>
        <w:t>waste management at the State Shipbuilding Polytechnic of Surabaya (PPNS). The methodology employed is a descriptive quantitative approach, adhering to the guidelines established by the IPCC in 2006 and SNI 19-3964-1994. Data were collected through measurements of waste generation and composition across various campus buildings, followed by the calculation of potential emissions based on the composition and type of materials. The findings indicate that the total carbon emissions from the waste sector at PPNS amount to 5.4379 tons of CO₂ annually. By implementing the 3R principles (Reduce, Reuse, Recycle) and optimizing composting activities and recycling through waste banks, emissions can be reduced to 2.0007 tons of CO₂ per year, resulting in a potential emission reduction of 3.4372 tons of CO₂ annually, or approximately 63% of the initial total emissions. The waste composition is predominantly comprised of garden waste (28.3%), plastics (26.3%), and paper (25%), indicating a high potential for reuse and recycling activities. These results demonstrate that integrated waste management significantly contributes to carbon emission mitigation and supports the realization of a low-carbon campus in alignment with Sustainable Development Goals 12 and 13.</w:t>
      </w:r>
      <w:r w:rsidR="009C3222">
        <w:rPr>
          <w:rFonts w:ascii="Constantia" w:hAnsi="Constantia" w:cs="Times New Roman"/>
          <w:sz w:val="20"/>
          <w:szCs w:val="20"/>
        </w:rPr>
        <w:t xml:space="preserve"> </w:t>
      </w:r>
    </w:p>
    <w:p w14:paraId="27441861" w14:textId="7A6807BE" w:rsidR="0007360F" w:rsidRPr="00105C13" w:rsidRDefault="0007360F" w:rsidP="0007360F">
      <w:pPr>
        <w:spacing w:after="0" w:line="240" w:lineRule="auto"/>
        <w:jc w:val="both"/>
        <w:rPr>
          <w:rFonts w:ascii="Constantia" w:hAnsi="Constantia" w:cs="Times New Roman"/>
          <w:sz w:val="20"/>
          <w:szCs w:val="20"/>
        </w:rPr>
      </w:pPr>
    </w:p>
    <w:p w14:paraId="03FE014F" w14:textId="54F3F603" w:rsidR="0007360F" w:rsidRPr="00105C13" w:rsidRDefault="0007360F" w:rsidP="0007360F">
      <w:pPr>
        <w:spacing w:after="0" w:line="240" w:lineRule="auto"/>
        <w:jc w:val="both"/>
        <w:rPr>
          <w:rFonts w:ascii="Constantia" w:hAnsi="Constantia" w:cs="Times New Roman"/>
          <w:b/>
          <w:bCs/>
          <w:i/>
          <w:iCs/>
          <w:sz w:val="20"/>
          <w:szCs w:val="20"/>
        </w:rPr>
      </w:pPr>
      <w:r w:rsidRPr="00105C13">
        <w:rPr>
          <w:rFonts w:ascii="Constantia" w:hAnsi="Constantia" w:cs="Times New Roman"/>
          <w:b/>
          <w:bCs/>
          <w:sz w:val="20"/>
          <w:szCs w:val="20"/>
        </w:rPr>
        <w:t>Keywords:</w:t>
      </w:r>
      <w:r w:rsidR="00612561" w:rsidRPr="00105C13">
        <w:rPr>
          <w:rFonts w:ascii="Constantia" w:hAnsi="Constantia" w:cs="Times New Roman"/>
          <w:b/>
          <w:bCs/>
          <w:i/>
          <w:iCs/>
          <w:sz w:val="20"/>
          <w:szCs w:val="20"/>
        </w:rPr>
        <w:t xml:space="preserve"> </w:t>
      </w:r>
      <w:r w:rsidR="00B24E46" w:rsidRPr="00105C13">
        <w:rPr>
          <w:rFonts w:ascii="Constantia" w:hAnsi="Constantia" w:cs="Times New Roman"/>
          <w:sz w:val="20"/>
          <w:szCs w:val="20"/>
        </w:rPr>
        <w:t xml:space="preserve">Carbon Emissions, Mitigation, Reduce-Reuse-Recycle, Sustainable Campus, </w:t>
      </w:r>
      <w:r w:rsidR="00E84ECA">
        <w:rPr>
          <w:rFonts w:ascii="Constantia" w:hAnsi="Constantia" w:cs="Times New Roman"/>
          <w:sz w:val="20"/>
          <w:szCs w:val="20"/>
        </w:rPr>
        <w:t xml:space="preserve">Solid </w:t>
      </w:r>
      <w:r w:rsidR="00B24E46" w:rsidRPr="00105C13">
        <w:rPr>
          <w:rFonts w:ascii="Constantia" w:hAnsi="Constantia" w:cs="Times New Roman"/>
          <w:sz w:val="20"/>
          <w:szCs w:val="20"/>
        </w:rPr>
        <w:t>Waste Management,</w:t>
      </w:r>
    </w:p>
    <w:p w14:paraId="4B7E616D" w14:textId="5830E4A0" w:rsidR="0007360F" w:rsidRPr="00105C13" w:rsidRDefault="0007360F" w:rsidP="0007360F">
      <w:pPr>
        <w:spacing w:after="0" w:line="240" w:lineRule="auto"/>
        <w:jc w:val="both"/>
        <w:rPr>
          <w:rFonts w:ascii="Constantia" w:hAnsi="Constantia" w:cs="Times New Roman"/>
          <w:b/>
          <w:bCs/>
          <w:i/>
          <w:iCs/>
          <w:sz w:val="20"/>
          <w:szCs w:val="20"/>
        </w:rPr>
      </w:pPr>
    </w:p>
    <w:p w14:paraId="66BFA09E" w14:textId="77777777" w:rsidR="00E35EB3" w:rsidRPr="00105C13" w:rsidRDefault="00E35EB3" w:rsidP="0007360F">
      <w:pPr>
        <w:spacing w:after="0" w:line="240" w:lineRule="auto"/>
        <w:jc w:val="both"/>
        <w:rPr>
          <w:rFonts w:ascii="Constantia" w:hAnsi="Constantia" w:cs="Times New Roman"/>
          <w:b/>
          <w:bCs/>
          <w:i/>
          <w:iCs/>
          <w:sz w:val="20"/>
          <w:szCs w:val="20"/>
        </w:rPr>
      </w:pPr>
    </w:p>
    <w:p w14:paraId="3F3D9731" w14:textId="21E8B36A" w:rsidR="0007360F" w:rsidRPr="00105C13" w:rsidRDefault="001B7D7E" w:rsidP="00E84ECA">
      <w:pPr>
        <w:pStyle w:val="ListParagraph"/>
        <w:numPr>
          <w:ilvl w:val="0"/>
          <w:numId w:val="1"/>
        </w:numPr>
        <w:spacing w:after="100" w:afterAutospacing="1" w:line="240" w:lineRule="auto"/>
        <w:ind w:left="567" w:hanging="567"/>
        <w:jc w:val="both"/>
        <w:rPr>
          <w:rFonts w:ascii="Constantia" w:hAnsi="Constantia" w:cs="Times New Roman"/>
          <w:b/>
          <w:bCs/>
          <w:sz w:val="24"/>
          <w:szCs w:val="24"/>
        </w:rPr>
      </w:pPr>
      <w:r w:rsidRPr="00105C13">
        <w:rPr>
          <w:rFonts w:ascii="Constantia" w:hAnsi="Constantia" w:cs="Times New Roman"/>
          <w:b/>
          <w:bCs/>
          <w:sz w:val="24"/>
          <w:szCs w:val="24"/>
        </w:rPr>
        <w:t>Introduction</w:t>
      </w:r>
    </w:p>
    <w:p w14:paraId="20D7D538" w14:textId="77777777" w:rsidR="00B24E46" w:rsidRPr="00105C13" w:rsidRDefault="00B24E46" w:rsidP="00E84ECA">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 xml:space="preserve">Climate change is a global phenomenon characterized by increasing concentrations of greenhouse gases (GHGs) in the atmosphere, particularly carbon dioxide (CO₂), methane (CH₄), and nitrous oxide (N₂O), primarily resulting from human activities. These gases play a crucial role in trapping heat emitted by the Earth's surface, thereby causing a rise in global temperatures and altering climate patterns (IPCC, 2021). The energy, transportation, industry, and waste management sectors are major contributors to global GHG emissions (UNEP, 2020). Solid waste management practices that still predominantly involve open dumping, combined with uncontrolled decomposition of organic waste and suboptimal recycling systems, significantly contribute to GHG emissions (Kaza et al., 2018). In the context of solid waste </w:t>
      </w:r>
      <w:r w:rsidRPr="00105C13">
        <w:rPr>
          <w:rFonts w:ascii="Constantia" w:hAnsi="Constantia" w:cs="Times New Roman"/>
          <w:sz w:val="20"/>
          <w:szCs w:val="20"/>
        </w:rPr>
        <w:lastRenderedPageBreak/>
        <w:t>management, anaerobic decomposition of organic materials in landfills produces methane, which has a global warming potential 28 times greater than that of carbon dioxide (IPCC, 2021). Thus, inefficient waste management not only poses local environmental challenges but also significantly contributes to the increase in global carbon emissions.</w:t>
      </w:r>
    </w:p>
    <w:p w14:paraId="2573356B" w14:textId="7C43947B" w:rsidR="001B7D7E" w:rsidRPr="00105C13" w:rsidRDefault="00B24E46" w:rsidP="00E84ECA">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To address these issues, modern waste management approaches emphasize the implementation of the 3R principles (Reduce, Reuse, Recycle), aimed at reducing waste generation at the source while maximizing the reuse of still-valuable materials (Kumar et al., 2017). The principle of Reduce focuses on minimizing the use of single-use products, Reuse encourages the repurposing of items without undergoing reprocessing, and Recycle involves converting materials into new products with economic value (Yuan et al., 2020). The application of the 3R principles has proven effective in lowering carbon emissions, as it can reduce the volume of waste sent to landfills and mitigate methane formation from the degradation of organic materials (Lou &amp; Nair, 2019). Consequently, the 3R strategy is a vital component of climate change mitigation policies, both at the national and institutional levels, such as within campus environments.</w:t>
      </w:r>
    </w:p>
    <w:p w14:paraId="11170DC2" w14:textId="77777777" w:rsidR="00B24E46" w:rsidRPr="00105C13" w:rsidRDefault="00B24E46" w:rsidP="00E84ECA">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One tangible application of the 3R principles is composting, which is a method of organic waste management based on aerobic biological processes. In this process, organic materials are decomposed by microorganisms into compost, which is beneficial for soil fertility, with greenhouse gas emissions significantly lower than those from anaerobic decomposition in landfills (Jiang et al., 2018). In addition to reducing the volume of organic waste, composting directly contributes to carbon emission mitigation. Research by Boldrin et al. (2009) indicates that each ton of organic waste composted can prevent emissions ranging from 0.2 to 0.5 tons of CO₂-eq compared to disposal in a landfill. Therefore, composting serves not only as a technical solution for waste reduction but also as a sustainable strategy for carbon emission mitigation.</w:t>
      </w:r>
    </w:p>
    <w:p w14:paraId="4C1A7B59" w14:textId="77777777" w:rsidR="00B24E46" w:rsidRPr="00105C13" w:rsidRDefault="00B24E46" w:rsidP="00E84ECA">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Beyond composting, waste banks also serve as essential instruments in supporting the implementation of the 3R principles across various institutions, including campus environments. Waste banks function as collection and management centers for inorganic waste, such as plastics, paper, and metals, for recycling or resale (Nakamura et al., 2020). Through this system, the volume of waste ending up in landfills can be minimized, thereby reducing the demand for new raw materials from natural sources, which impacts carbon emissions from primary production processes. Furthermore, the presence of waste banks on campus offers high educational value, as they can foster awareness among the academic community regarding the importance of a circular economy and efficient resource management (Rahmawati &amp; Sutanto, 2022). Thus, these initiatives not only have environmental impacts but also enhance social aspects and promote sustainable learning within educational institutions.</w:t>
      </w:r>
    </w:p>
    <w:p w14:paraId="4FA37A12" w14:textId="77777777" w:rsidR="00B24E46" w:rsidRPr="00105C13" w:rsidRDefault="00B24E46" w:rsidP="00E84ECA">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Higher education institutions, as providers of educational services, significantly contribute to greenhouse gas (GHG) emissions (Ismail, 2020). According to Afiuddin and Priastuti (2016), carbon dioxide (CO₂) emissions on campus are generally generated from various energy-intensive activities, such as the use of air conditioning (AC), lighting, and other electrical devices. In addition to emissions from energy consumption, solid waste generated from campus activities also contributes to the institution's carbon footprint. Research by Chuenwong et al. (2022) indicates that the decomposition of organic waste in landfills can produce biogas containing approximately 40% CO₂ and 60% CH₄. Both gases are considered major GHGs that accelerate global warming. Therefore, there is a need for effective carbon emission mitigation efforts to curb the increase of GHGs in higher education environments.</w:t>
      </w:r>
    </w:p>
    <w:p w14:paraId="10D9D99E" w14:textId="77777777" w:rsidR="00B24E46" w:rsidRPr="00105C13" w:rsidRDefault="00B24E46" w:rsidP="00E84ECA">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 xml:space="preserve">The implementation of various waste management programs aligns with the concept of a sustainable campus, which represents a model of educational institution management that balances environmental, social, and economic aspects across all operational activities. One widely used instrument for assessing campus sustainability is the UI GreenMetric World University Ranking, which evaluates higher education institutions based on indicators such as energy, waste, water, transportation, and environmental education (Suwartha &amp; Sari, 2013). Within this framework, the application of the low-carbon campus concept is a strategic step toward reducing the institution's carbon footprint through </w:t>
      </w:r>
      <w:r w:rsidRPr="00105C13">
        <w:rPr>
          <w:rFonts w:ascii="Constantia" w:hAnsi="Constantia" w:cs="Times New Roman"/>
          <w:sz w:val="20"/>
          <w:szCs w:val="20"/>
        </w:rPr>
        <w:lastRenderedPageBreak/>
        <w:t>energy efficiency, green transportation management, and emission reductions from waste management (Alshuwaikhat &amp; Abubakar, 2008). Therefore, effective and sustainable waste management within campus environments holds significant potential in supporting the achievement of carbon emission mitigation targets. The integration of organic waste composting activities, inorganic waste recycling through waste banks, and the implementation of source reduction policies represents strategic steps toward a sustainable low-carbon campus. This approach not only provides ecological benefits but also reflects the social and moral responsibilities of educational institutions in addressing global climate change challenges.</w:t>
      </w:r>
    </w:p>
    <w:p w14:paraId="2D056544" w14:textId="265E048B" w:rsidR="00F141FB" w:rsidRDefault="00B24E46" w:rsidP="00E84ECA">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Efforts toward sustainable waste management through source segregation, organic waste composting, recycling activities via campus waste banks, and reducing single-use plastic consumption are tangible actions that educational institutions can take to curtail carbon emissions. These programs align with the Sustainable Development Goals (SDGs), particularly Goal 12 on Responsible Consumption and Production, and Goal 13 on Climate Action (United Nations, 2015).</w:t>
      </w:r>
      <w:r w:rsidR="00E84ECA">
        <w:rPr>
          <w:rFonts w:ascii="Constantia" w:hAnsi="Constantia" w:cs="Times New Roman"/>
          <w:sz w:val="20"/>
          <w:szCs w:val="20"/>
        </w:rPr>
        <w:t xml:space="preserve"> </w:t>
      </w:r>
      <w:r w:rsidRPr="00105C13">
        <w:rPr>
          <w:rFonts w:ascii="Constantia" w:hAnsi="Constantia" w:cs="Times New Roman"/>
          <w:sz w:val="20"/>
          <w:szCs w:val="20"/>
        </w:rPr>
        <w:t>This research aims to identify and analyze the carbon emission mitigation potential resulting from waste management activities within the campus environment. The study calculates the potential emissions reductions from organic waste composting, inorganic waste recycling, and the application of the 3R principles (Reduce, Reuse, Recycle). The findings are expected to provide a quantitative overview of the contributions of the campus waste management system to carbon emission reductions while establishing a foundation for developing low-carbon campus strategies and supporting educational institutions' involvement in sustainability assessment programs such as UI GreenMetric (Suwartha &amp; Sari, 2013).</w:t>
      </w:r>
    </w:p>
    <w:p w14:paraId="7900A528" w14:textId="77777777" w:rsidR="00E84ECA" w:rsidRPr="00105C13" w:rsidRDefault="00E84ECA" w:rsidP="00E84ECA">
      <w:pPr>
        <w:pStyle w:val="ListParagraph"/>
        <w:spacing w:after="0" w:line="276" w:lineRule="auto"/>
        <w:ind w:left="0" w:firstLine="567"/>
        <w:jc w:val="both"/>
        <w:rPr>
          <w:rFonts w:ascii="Constantia" w:hAnsi="Constantia" w:cs="Times New Roman"/>
          <w:sz w:val="20"/>
          <w:szCs w:val="20"/>
        </w:rPr>
      </w:pPr>
    </w:p>
    <w:p w14:paraId="73299BBA" w14:textId="2119E439" w:rsidR="003B43C1" w:rsidRPr="00105C13" w:rsidRDefault="001B7D7E" w:rsidP="00E84ECA">
      <w:pPr>
        <w:pStyle w:val="ListParagraph"/>
        <w:numPr>
          <w:ilvl w:val="0"/>
          <w:numId w:val="1"/>
        </w:numPr>
        <w:spacing w:after="0" w:line="240" w:lineRule="auto"/>
        <w:ind w:left="567" w:hanging="567"/>
        <w:jc w:val="both"/>
        <w:rPr>
          <w:rFonts w:ascii="Constantia" w:hAnsi="Constantia" w:cs="Times New Roman"/>
          <w:b/>
          <w:bCs/>
          <w:sz w:val="24"/>
          <w:szCs w:val="24"/>
        </w:rPr>
      </w:pPr>
      <w:r w:rsidRPr="00105C13">
        <w:rPr>
          <w:rFonts w:ascii="Constantia" w:hAnsi="Constantia" w:cs="Times New Roman"/>
          <w:b/>
          <w:bCs/>
          <w:sz w:val="24"/>
          <w:szCs w:val="24"/>
        </w:rPr>
        <w:t>Methods</w:t>
      </w:r>
    </w:p>
    <w:p w14:paraId="7A191F69" w14:textId="42CCADFB" w:rsidR="00B24E46" w:rsidRPr="00105C13" w:rsidRDefault="00B24E46" w:rsidP="00E84ECA">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This study employs a descriptive quantitative approach aimed at calculating the carbon emission potential from waste management within the State Shipbuilding Polytechnic of Surabaya (PPNS). The measurement of waste characteristics is conducted through the determination of sampling locations using random sampling methods. Primary data are obtained by collecting waste samples from several representative buildings, including classrooms, laboratories, offices, workshops, gardens, a mosque, and a cafeteria, in accordance with the standards set forth in SNI 19-3964-1994. The average waste generation rate per person per day from each sampled building serves as the basis for estimating waste generation in other buildings with similar characteristics. Subsequently, the weight and composition of the waste are calculated to determine the carbon emissions, referencing the IPCC 2006 methodology, which includes estimating methane (CH₄) and carbon dioxide (CO₂) production from each type of waste. The analysis continues with the calculation of emission mitigation potential through the Recovery Factor (RF) approach based on the types of recyclable materials, including organic matter, plastics, paper, metals, and glass (Kreith &amp; Tchobanoglous, 2002). The results of the analysis are presented in the form of tables and graphs comparing total emissions before and after mitigation efforts, thus illustrating the contributions of the 3R (Reduce, Reuse, Recycle) activities in reducing carbon emissions.</w:t>
      </w:r>
    </w:p>
    <w:p w14:paraId="4E39806C" w14:textId="0622C5DD" w:rsidR="003B43C1" w:rsidRPr="00E84ECA" w:rsidRDefault="003B43C1" w:rsidP="00E84ECA">
      <w:pPr>
        <w:pStyle w:val="ListParagraph"/>
        <w:spacing w:after="0" w:line="276" w:lineRule="auto"/>
        <w:ind w:left="0" w:firstLine="567"/>
        <w:jc w:val="both"/>
        <w:rPr>
          <w:rFonts w:ascii="Constantia" w:hAnsi="Constantia" w:cs="Times New Roman"/>
          <w:b/>
          <w:bCs/>
          <w:sz w:val="24"/>
          <w:szCs w:val="24"/>
        </w:rPr>
      </w:pPr>
      <w:r w:rsidRPr="00E84ECA">
        <w:rPr>
          <w:rFonts w:ascii="Constantia" w:hAnsi="Constantia" w:cs="Times New Roman"/>
          <w:b/>
          <w:bCs/>
          <w:sz w:val="24"/>
          <w:szCs w:val="24"/>
        </w:rPr>
        <w:t>2.</w:t>
      </w:r>
      <w:r w:rsidR="00F141FB" w:rsidRPr="00E84ECA">
        <w:rPr>
          <w:rFonts w:ascii="Constantia" w:hAnsi="Constantia" w:cs="Times New Roman"/>
          <w:b/>
          <w:bCs/>
          <w:sz w:val="24"/>
          <w:szCs w:val="24"/>
        </w:rPr>
        <w:t>1</w:t>
      </w:r>
      <w:r w:rsidRPr="00E84ECA">
        <w:rPr>
          <w:rFonts w:ascii="Constantia" w:hAnsi="Constantia" w:cs="Times New Roman"/>
          <w:b/>
          <w:bCs/>
          <w:sz w:val="24"/>
          <w:szCs w:val="24"/>
        </w:rPr>
        <w:t xml:space="preserve"> </w:t>
      </w:r>
      <w:r w:rsidR="00B24E46" w:rsidRPr="00E84ECA">
        <w:rPr>
          <w:rFonts w:ascii="Constantia" w:hAnsi="Constantia" w:cs="Times New Roman"/>
          <w:b/>
          <w:bCs/>
          <w:sz w:val="24"/>
          <w:szCs w:val="24"/>
        </w:rPr>
        <w:t>Determination of Sampling Quantity</w:t>
      </w:r>
    </w:p>
    <w:p w14:paraId="59E4AC25" w14:textId="43F9729A" w:rsidR="00F141FB" w:rsidRPr="00105C13" w:rsidRDefault="00B24E46" w:rsidP="00E84ECA">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The determination of sampling locations follows the methodology outlined in SNI 19-3964-1994. A total of 10 sampling locations were selected, including Building E, Building T, Building C, the Cafeteria and Inbis, the Repair Workshop, Building J, Building K, Building P and M, the Mosque, and the Garden. The formula used for sample selection, as per SNI 19-3964-1994, is as follows:</w:t>
      </w:r>
    </w:p>
    <w:p w14:paraId="08E22123" w14:textId="46F4B612" w:rsidR="001B7D7E" w:rsidRPr="00105C13" w:rsidRDefault="001B7D7E" w:rsidP="00E84ECA">
      <w:pPr>
        <w:pStyle w:val="ListParagraph"/>
        <w:tabs>
          <w:tab w:val="left" w:pos="8789"/>
        </w:tabs>
        <w:spacing w:after="0" w:line="276" w:lineRule="auto"/>
        <w:ind w:left="0" w:firstLine="567"/>
        <w:jc w:val="both"/>
        <w:rPr>
          <w:rFonts w:ascii="Constantia" w:hAnsi="Constantia"/>
          <w:sz w:val="20"/>
          <w:szCs w:val="20"/>
        </w:rPr>
      </w:pPr>
      <w:r w:rsidRPr="00105C13">
        <w:rPr>
          <w:rFonts w:ascii="Constantia" w:hAnsi="Constantia" w:cs="Times New Roman"/>
          <w:sz w:val="20"/>
          <w:szCs w:val="20"/>
        </w:rPr>
        <w:t>T= C</w:t>
      </w:r>
      <w:r w:rsidRPr="00105C13">
        <w:rPr>
          <w:rFonts w:ascii="Constantia" w:hAnsi="Constantia" w:cs="Times New Roman"/>
          <w:sz w:val="20"/>
          <w:szCs w:val="20"/>
          <w:vertAlign w:val="subscript"/>
        </w:rPr>
        <w:t>d</w:t>
      </w:r>
      <w:r w:rsidRPr="00105C13">
        <w:rPr>
          <w:rFonts w:ascii="Constantia" w:hAnsi="Constantia" w:cs="Times New Roman"/>
          <w:sz w:val="20"/>
          <w:szCs w:val="20"/>
        </w:rPr>
        <w:t xml:space="preserve"> </w:t>
      </w:r>
      <m:oMath>
        <m:rad>
          <m:radPr>
            <m:degHide m:val="1"/>
            <m:ctrlPr>
              <w:rPr>
                <w:rFonts w:ascii="Cambria Math" w:hAnsi="Cambria Math" w:cs="Times New Roman"/>
                <w:i/>
                <w:sz w:val="20"/>
                <w:szCs w:val="20"/>
              </w:rPr>
            </m:ctrlPr>
          </m:radPr>
          <m:deg/>
          <m:e>
            <m:r>
              <m:rPr>
                <m:sty m:val="p"/>
              </m:rPr>
              <w:rPr>
                <w:rFonts w:ascii="Cambria Math" w:hAnsi="Cambria Math" w:cs="Times New Roman"/>
                <w:sz w:val="20"/>
                <w:szCs w:val="20"/>
              </w:rPr>
              <m:t>TS</m:t>
            </m:r>
          </m:e>
        </m:rad>
      </m:oMath>
      <w:r w:rsidRPr="00105C13">
        <w:rPr>
          <w:rFonts w:ascii="Constantia" w:eastAsiaTheme="minorEastAsia" w:hAnsi="Constantia" w:cs="Times New Roman"/>
          <w:sz w:val="20"/>
          <w:szCs w:val="20"/>
        </w:rPr>
        <w:t xml:space="preserve"> </w:t>
      </w:r>
      <w:r w:rsidRPr="00105C13">
        <w:rPr>
          <w:rFonts w:ascii="Constantia" w:eastAsiaTheme="minorEastAsia" w:hAnsi="Constantia" w:cs="Times New Roman"/>
          <w:sz w:val="20"/>
          <w:szCs w:val="20"/>
        </w:rPr>
        <w:tab/>
      </w:r>
      <w:r w:rsidRPr="00105C13">
        <w:rPr>
          <w:rFonts w:ascii="Constantia" w:hAnsi="Constantia"/>
          <w:sz w:val="20"/>
          <w:szCs w:val="20"/>
        </w:rPr>
        <w:t>(1)</w:t>
      </w:r>
    </w:p>
    <w:p w14:paraId="39B257B3" w14:textId="3FC61E75" w:rsidR="001B7D7E" w:rsidRPr="00105C13" w:rsidRDefault="00B24E46" w:rsidP="001B7D7E">
      <w:pPr>
        <w:pStyle w:val="ListParagraph"/>
        <w:tabs>
          <w:tab w:val="left" w:pos="8789"/>
        </w:tabs>
        <w:spacing w:after="0" w:line="276" w:lineRule="auto"/>
        <w:ind w:left="567"/>
        <w:jc w:val="both"/>
        <w:rPr>
          <w:rFonts w:ascii="Constantia" w:hAnsi="Constantia" w:cs="Times New Roman"/>
          <w:sz w:val="20"/>
          <w:szCs w:val="20"/>
        </w:rPr>
      </w:pPr>
      <w:r w:rsidRPr="00105C13">
        <w:rPr>
          <w:rFonts w:ascii="Constantia" w:hAnsi="Constantia" w:cs="Times New Roman"/>
          <w:sz w:val="20"/>
          <w:szCs w:val="20"/>
        </w:rPr>
        <w:t>Where</w:t>
      </w:r>
      <w:r w:rsidR="001B7D7E" w:rsidRPr="00105C13">
        <w:rPr>
          <w:rFonts w:ascii="Constantia" w:hAnsi="Constantia" w:cs="Times New Roman"/>
          <w:sz w:val="20"/>
          <w:szCs w:val="20"/>
        </w:rPr>
        <w:t xml:space="preserve"> :</w:t>
      </w:r>
    </w:p>
    <w:p w14:paraId="1A6ED294" w14:textId="77777777" w:rsidR="00B24E46" w:rsidRPr="00105C13" w:rsidRDefault="001B7D7E" w:rsidP="001B7D7E">
      <w:pPr>
        <w:pStyle w:val="ListParagraph"/>
        <w:spacing w:after="0" w:line="276" w:lineRule="auto"/>
        <w:ind w:left="567"/>
        <w:jc w:val="both"/>
        <w:rPr>
          <w:rFonts w:ascii="Constantia" w:hAnsi="Constantia" w:cs="Times New Roman"/>
          <w:sz w:val="20"/>
          <w:szCs w:val="20"/>
        </w:rPr>
      </w:pPr>
      <w:r w:rsidRPr="00105C13">
        <w:rPr>
          <w:rFonts w:ascii="Constantia" w:hAnsi="Constantia" w:cs="Times New Roman"/>
          <w:sz w:val="20"/>
          <w:szCs w:val="20"/>
        </w:rPr>
        <w:t>T</w:t>
      </w:r>
      <w:r w:rsidRPr="00105C13">
        <w:rPr>
          <w:rFonts w:ascii="Constantia" w:hAnsi="Constantia" w:cs="Times New Roman"/>
          <w:sz w:val="20"/>
          <w:szCs w:val="20"/>
        </w:rPr>
        <w:tab/>
      </w:r>
      <w:r w:rsidRPr="00105C13">
        <w:rPr>
          <w:rFonts w:ascii="Constantia" w:hAnsi="Constantia" w:cs="Times New Roman"/>
          <w:sz w:val="20"/>
          <w:szCs w:val="20"/>
        </w:rPr>
        <w:tab/>
        <w:t xml:space="preserve">= </w:t>
      </w:r>
      <w:r w:rsidR="00B24E46" w:rsidRPr="00105C13">
        <w:rPr>
          <w:rFonts w:ascii="Constantia" w:hAnsi="Constantia" w:cs="Times New Roman"/>
          <w:sz w:val="20"/>
          <w:szCs w:val="20"/>
        </w:rPr>
        <w:t>Number of sampled buildings</w:t>
      </w:r>
    </w:p>
    <w:p w14:paraId="60B2F283" w14:textId="61E14707" w:rsidR="001B7D7E" w:rsidRPr="00105C13" w:rsidRDefault="001B7D7E" w:rsidP="001B7D7E">
      <w:pPr>
        <w:pStyle w:val="ListParagraph"/>
        <w:spacing w:after="0" w:line="276" w:lineRule="auto"/>
        <w:ind w:left="567"/>
        <w:jc w:val="both"/>
        <w:rPr>
          <w:rFonts w:ascii="Constantia" w:hAnsi="Constantia" w:cs="Times New Roman"/>
          <w:sz w:val="20"/>
          <w:szCs w:val="20"/>
        </w:rPr>
      </w:pPr>
      <w:r w:rsidRPr="00105C13">
        <w:rPr>
          <w:rFonts w:ascii="Constantia" w:hAnsi="Constantia" w:cs="Times New Roman"/>
          <w:sz w:val="20"/>
          <w:szCs w:val="20"/>
        </w:rPr>
        <w:t>Cd</w:t>
      </w:r>
      <w:r w:rsidRPr="00105C13">
        <w:rPr>
          <w:rFonts w:ascii="Constantia" w:hAnsi="Constantia" w:cs="Times New Roman"/>
          <w:sz w:val="20"/>
          <w:szCs w:val="20"/>
        </w:rPr>
        <w:tab/>
        <w:t xml:space="preserve">= 1 </w:t>
      </w:r>
    </w:p>
    <w:p w14:paraId="4C0E8832" w14:textId="7C6A217D" w:rsidR="001B7D7E" w:rsidRPr="00105C13" w:rsidRDefault="001B7D7E" w:rsidP="001B7D7E">
      <w:pPr>
        <w:pStyle w:val="ListParagraph"/>
        <w:spacing w:after="0" w:line="276" w:lineRule="auto"/>
        <w:ind w:left="567"/>
        <w:jc w:val="both"/>
        <w:rPr>
          <w:rFonts w:ascii="Constantia" w:hAnsi="Constantia" w:cs="Times New Roman"/>
          <w:sz w:val="20"/>
          <w:szCs w:val="20"/>
        </w:rPr>
      </w:pPr>
      <w:r w:rsidRPr="00105C13">
        <w:rPr>
          <w:rFonts w:ascii="Constantia" w:hAnsi="Constantia" w:cs="Times New Roman"/>
          <w:sz w:val="20"/>
          <w:szCs w:val="20"/>
        </w:rPr>
        <w:t>TS</w:t>
      </w:r>
      <w:r w:rsidRPr="00105C13">
        <w:rPr>
          <w:rFonts w:ascii="Constantia" w:hAnsi="Constantia" w:cs="Times New Roman"/>
          <w:sz w:val="20"/>
          <w:szCs w:val="20"/>
        </w:rPr>
        <w:tab/>
        <w:t xml:space="preserve">= </w:t>
      </w:r>
      <w:r w:rsidR="00B24E46" w:rsidRPr="00105C13">
        <w:rPr>
          <w:rFonts w:ascii="Constantia" w:hAnsi="Constantia" w:cs="Times New Roman"/>
          <w:sz w:val="20"/>
          <w:szCs w:val="20"/>
        </w:rPr>
        <w:t>Total number of buildings</w:t>
      </w:r>
    </w:p>
    <w:p w14:paraId="7A1DD134" w14:textId="77777777" w:rsidR="00CB694D" w:rsidRPr="00105C13" w:rsidRDefault="001B7D7E" w:rsidP="00E84ECA">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ab/>
      </w:r>
      <w:r w:rsidR="00CB694D" w:rsidRPr="00105C13">
        <w:rPr>
          <w:rFonts w:ascii="Constantia" w:hAnsi="Constantia" w:cs="Times New Roman"/>
          <w:sz w:val="20"/>
          <w:szCs w:val="20"/>
        </w:rPr>
        <w:t xml:space="preserve">PPNS has a total of 23 communal waste bins. The sampling method employed here is cluster sampling. The sources of waste to be sampled are categorized into 6 locations based on their building </w:t>
      </w:r>
      <w:r w:rsidR="00CB694D" w:rsidRPr="00105C13">
        <w:rPr>
          <w:rFonts w:ascii="Constantia" w:hAnsi="Constantia" w:cs="Times New Roman"/>
          <w:sz w:val="20"/>
          <w:szCs w:val="20"/>
        </w:rPr>
        <w:lastRenderedPageBreak/>
        <w:t>functions: offices, laboratories/workshops, classrooms, mosque, cafeteria, and garden. The descriptions of these 6 location groups are as follows:</w:t>
      </w:r>
    </w:p>
    <w:p w14:paraId="41FB2782" w14:textId="7A1ECB16" w:rsidR="00CB694D" w:rsidRPr="00E84ECA" w:rsidRDefault="00CB694D" w:rsidP="00D11E28">
      <w:pPr>
        <w:pStyle w:val="ListParagraph"/>
        <w:numPr>
          <w:ilvl w:val="0"/>
          <w:numId w:val="14"/>
        </w:numPr>
        <w:spacing w:after="0" w:line="276" w:lineRule="auto"/>
        <w:jc w:val="both"/>
        <w:rPr>
          <w:rFonts w:ascii="Constantia" w:hAnsi="Constantia" w:cs="Times New Roman"/>
          <w:sz w:val="20"/>
          <w:szCs w:val="20"/>
          <w:lang w:val="en-ID"/>
        </w:rPr>
      </w:pPr>
      <w:r w:rsidRPr="00E84ECA">
        <w:rPr>
          <w:rFonts w:ascii="Constantia" w:hAnsi="Constantia" w:cs="Times New Roman"/>
          <w:sz w:val="20"/>
          <w:szCs w:val="20"/>
          <w:lang w:val="en-ID"/>
        </w:rPr>
        <w:t xml:space="preserve">Offices (8): Library, Directorate Building, Student Practice Building, Theory Building, P3M Building, Teleconference Building, Music Hall, Training Center Building. </w:t>
      </w:r>
    </w:p>
    <w:p w14:paraId="5B278E00" w14:textId="1C0E2E0D" w:rsidR="00CB694D" w:rsidRPr="00E84ECA" w:rsidRDefault="00CB694D" w:rsidP="00D11E28">
      <w:pPr>
        <w:pStyle w:val="ListParagraph"/>
        <w:numPr>
          <w:ilvl w:val="0"/>
          <w:numId w:val="14"/>
        </w:numPr>
        <w:spacing w:after="0" w:line="276" w:lineRule="auto"/>
        <w:jc w:val="both"/>
        <w:rPr>
          <w:rFonts w:ascii="Constantia" w:hAnsi="Constantia" w:cs="Times New Roman"/>
          <w:sz w:val="20"/>
          <w:szCs w:val="20"/>
          <w:lang w:val="en-ID"/>
        </w:rPr>
      </w:pPr>
      <w:r w:rsidRPr="00E84ECA">
        <w:rPr>
          <w:rFonts w:ascii="Constantia" w:hAnsi="Constantia" w:cs="Times New Roman"/>
          <w:sz w:val="20"/>
          <w:szCs w:val="20"/>
          <w:lang w:val="en-ID"/>
        </w:rPr>
        <w:t xml:space="preserve">Laboratories/Workshops (8): Central Workshop, North Workshop, Building J Laboratory, New Workshop, South Workshop, Tool Workshop, Wood Workshop, Building K Laboratory. </w:t>
      </w:r>
    </w:p>
    <w:p w14:paraId="177F85CC" w14:textId="301FC320" w:rsidR="00CB694D" w:rsidRPr="00E84ECA" w:rsidRDefault="00CB694D" w:rsidP="00D11E28">
      <w:pPr>
        <w:pStyle w:val="ListParagraph"/>
        <w:numPr>
          <w:ilvl w:val="0"/>
          <w:numId w:val="14"/>
        </w:numPr>
        <w:spacing w:after="0" w:line="276" w:lineRule="auto"/>
        <w:jc w:val="both"/>
        <w:rPr>
          <w:rFonts w:ascii="Constantia" w:hAnsi="Constantia" w:cs="Times New Roman"/>
          <w:sz w:val="20"/>
          <w:szCs w:val="20"/>
          <w:lang w:val="en-ID"/>
        </w:rPr>
      </w:pPr>
      <w:r w:rsidRPr="00E84ECA">
        <w:rPr>
          <w:rFonts w:ascii="Constantia" w:hAnsi="Constantia" w:cs="Times New Roman"/>
          <w:sz w:val="20"/>
          <w:szCs w:val="20"/>
          <w:lang w:val="en-ID"/>
        </w:rPr>
        <w:t xml:space="preserve">Classrooms (3): Building N, Building P, Building M. </w:t>
      </w:r>
    </w:p>
    <w:p w14:paraId="123C96E3" w14:textId="482AB627" w:rsidR="00CB694D" w:rsidRPr="00E84ECA" w:rsidRDefault="00CB694D" w:rsidP="00D11E28">
      <w:pPr>
        <w:pStyle w:val="ListParagraph"/>
        <w:numPr>
          <w:ilvl w:val="0"/>
          <w:numId w:val="14"/>
        </w:numPr>
        <w:spacing w:after="0" w:line="276" w:lineRule="auto"/>
        <w:jc w:val="both"/>
        <w:rPr>
          <w:rFonts w:ascii="Constantia" w:hAnsi="Constantia" w:cs="Times New Roman"/>
          <w:sz w:val="20"/>
          <w:szCs w:val="20"/>
          <w:lang w:val="en-ID"/>
        </w:rPr>
      </w:pPr>
      <w:r w:rsidRPr="00E84ECA">
        <w:rPr>
          <w:rFonts w:ascii="Constantia" w:hAnsi="Constantia" w:cs="Times New Roman"/>
          <w:sz w:val="20"/>
          <w:szCs w:val="20"/>
          <w:lang w:val="en-ID"/>
        </w:rPr>
        <w:t xml:space="preserve">Mosque </w:t>
      </w:r>
    </w:p>
    <w:p w14:paraId="397549A6" w14:textId="3831E380" w:rsidR="00CB694D" w:rsidRPr="00E84ECA" w:rsidRDefault="00CB694D" w:rsidP="00D11E28">
      <w:pPr>
        <w:pStyle w:val="ListParagraph"/>
        <w:numPr>
          <w:ilvl w:val="0"/>
          <w:numId w:val="14"/>
        </w:numPr>
        <w:spacing w:after="0" w:line="276" w:lineRule="auto"/>
        <w:jc w:val="both"/>
        <w:rPr>
          <w:rFonts w:ascii="Constantia" w:hAnsi="Constantia" w:cs="Times New Roman"/>
          <w:sz w:val="20"/>
          <w:szCs w:val="20"/>
          <w:lang w:val="en-ID"/>
        </w:rPr>
      </w:pPr>
      <w:r w:rsidRPr="00E84ECA">
        <w:rPr>
          <w:rFonts w:ascii="Constantia" w:hAnsi="Constantia" w:cs="Times New Roman"/>
          <w:sz w:val="20"/>
          <w:szCs w:val="20"/>
          <w:lang w:val="en-ID"/>
        </w:rPr>
        <w:t xml:space="preserve">Cafeteria </w:t>
      </w:r>
    </w:p>
    <w:p w14:paraId="17208E6B" w14:textId="1BA2C484" w:rsidR="00CB694D" w:rsidRPr="00E84ECA" w:rsidRDefault="00CB694D" w:rsidP="00D11E28">
      <w:pPr>
        <w:pStyle w:val="ListParagraph"/>
        <w:numPr>
          <w:ilvl w:val="0"/>
          <w:numId w:val="14"/>
        </w:numPr>
        <w:spacing w:after="0" w:line="276" w:lineRule="auto"/>
        <w:jc w:val="both"/>
        <w:rPr>
          <w:rFonts w:ascii="Constantia" w:hAnsi="Constantia" w:cs="Times New Roman"/>
          <w:sz w:val="20"/>
          <w:szCs w:val="20"/>
          <w:lang w:val="en-ID"/>
        </w:rPr>
      </w:pPr>
      <w:r w:rsidRPr="00E84ECA">
        <w:rPr>
          <w:rFonts w:ascii="Constantia" w:hAnsi="Constantia" w:cs="Times New Roman"/>
          <w:sz w:val="20"/>
          <w:szCs w:val="20"/>
          <w:lang w:val="en-ID"/>
        </w:rPr>
        <w:t>Garden: Front Garden and Back Garden</w:t>
      </w:r>
    </w:p>
    <w:p w14:paraId="7CB56CF4" w14:textId="25BDFB46" w:rsidR="00EB1AE5" w:rsidRPr="00105C13" w:rsidRDefault="00CB694D" w:rsidP="00E84ECA">
      <w:pPr>
        <w:spacing w:after="0" w:line="276" w:lineRule="auto"/>
        <w:ind w:firstLine="567"/>
        <w:jc w:val="both"/>
        <w:rPr>
          <w:rFonts w:ascii="Constantia" w:hAnsi="Constantia"/>
          <w:sz w:val="20"/>
          <w:szCs w:val="20"/>
        </w:rPr>
      </w:pPr>
      <w:r w:rsidRPr="00105C13">
        <w:rPr>
          <w:rFonts w:ascii="Constantia" w:hAnsi="Constantia" w:cs="Times New Roman"/>
          <w:sz w:val="20"/>
          <w:szCs w:val="20"/>
        </w:rPr>
        <w:t>Based on the specified number of each location, the results of the sampling calculation are presented in Table 1.</w:t>
      </w:r>
    </w:p>
    <w:p w14:paraId="3AABF9AD" w14:textId="4543D505" w:rsidR="009A491E" w:rsidRPr="00105C13" w:rsidRDefault="009A491E" w:rsidP="00CB694D">
      <w:pPr>
        <w:pStyle w:val="Caption"/>
        <w:keepNext/>
        <w:ind w:firstLine="567"/>
        <w:jc w:val="center"/>
        <w:rPr>
          <w:rFonts w:ascii="Constantia" w:hAnsi="Constantia" w:cs="Times New Roman"/>
          <w:i w:val="0"/>
          <w:iCs w:val="0"/>
          <w:color w:val="auto"/>
          <w:sz w:val="20"/>
          <w:szCs w:val="20"/>
        </w:rPr>
      </w:pPr>
      <w:r w:rsidRPr="00105C13">
        <w:rPr>
          <w:rFonts w:ascii="Constantia" w:hAnsi="Constantia" w:cs="Times New Roman"/>
          <w:i w:val="0"/>
          <w:iCs w:val="0"/>
          <w:color w:val="auto"/>
          <w:sz w:val="20"/>
          <w:szCs w:val="20"/>
        </w:rPr>
        <w:t xml:space="preserve">Tabel </w:t>
      </w:r>
      <w:r w:rsidRPr="00105C13">
        <w:rPr>
          <w:rFonts w:ascii="Constantia" w:hAnsi="Constantia" w:cs="Times New Roman"/>
          <w:i w:val="0"/>
          <w:iCs w:val="0"/>
          <w:color w:val="auto"/>
          <w:sz w:val="20"/>
          <w:szCs w:val="20"/>
        </w:rPr>
        <w:fldChar w:fldCharType="begin"/>
      </w:r>
      <w:r w:rsidRPr="00105C13">
        <w:rPr>
          <w:rFonts w:ascii="Constantia" w:hAnsi="Constantia" w:cs="Times New Roman"/>
          <w:i w:val="0"/>
          <w:iCs w:val="0"/>
          <w:color w:val="auto"/>
          <w:sz w:val="20"/>
          <w:szCs w:val="20"/>
        </w:rPr>
        <w:instrText xml:space="preserve"> SEQ Tabel \* ARABIC </w:instrText>
      </w:r>
      <w:r w:rsidRPr="00105C13">
        <w:rPr>
          <w:rFonts w:ascii="Constantia" w:hAnsi="Constantia" w:cs="Times New Roman"/>
          <w:i w:val="0"/>
          <w:iCs w:val="0"/>
          <w:color w:val="auto"/>
          <w:sz w:val="20"/>
          <w:szCs w:val="20"/>
        </w:rPr>
        <w:fldChar w:fldCharType="separate"/>
      </w:r>
      <w:r w:rsidRPr="00105C13">
        <w:rPr>
          <w:rFonts w:ascii="Constantia" w:hAnsi="Constantia" w:cs="Times New Roman"/>
          <w:i w:val="0"/>
          <w:iCs w:val="0"/>
          <w:noProof/>
          <w:color w:val="auto"/>
          <w:sz w:val="20"/>
          <w:szCs w:val="20"/>
        </w:rPr>
        <w:t>1</w:t>
      </w:r>
      <w:r w:rsidRPr="00105C13">
        <w:rPr>
          <w:rFonts w:ascii="Constantia" w:hAnsi="Constantia" w:cs="Times New Roman"/>
          <w:i w:val="0"/>
          <w:iCs w:val="0"/>
          <w:color w:val="auto"/>
          <w:sz w:val="20"/>
          <w:szCs w:val="20"/>
        </w:rPr>
        <w:fldChar w:fldCharType="end"/>
      </w:r>
      <w:r w:rsidRPr="00105C13">
        <w:rPr>
          <w:rFonts w:ascii="Constantia" w:hAnsi="Constantia" w:cs="Times New Roman"/>
          <w:i w:val="0"/>
          <w:iCs w:val="0"/>
          <w:color w:val="auto"/>
          <w:sz w:val="20"/>
          <w:szCs w:val="20"/>
        </w:rPr>
        <w:t xml:space="preserve"> </w:t>
      </w:r>
      <w:r w:rsidR="00CB694D" w:rsidRPr="00105C13">
        <w:rPr>
          <w:rFonts w:ascii="Constantia" w:hAnsi="Constantia" w:cs="Times New Roman"/>
          <w:i w:val="0"/>
          <w:iCs w:val="0"/>
          <w:color w:val="auto"/>
          <w:sz w:val="20"/>
          <w:szCs w:val="20"/>
        </w:rPr>
        <w:t>Number of Sampled Buildings</w:t>
      </w:r>
    </w:p>
    <w:tbl>
      <w:tblPr>
        <w:tblStyle w:val="TableGrid"/>
        <w:tblW w:w="0" w:type="auto"/>
        <w:jc w:val="center"/>
        <w:tblLook w:val="04A0" w:firstRow="1" w:lastRow="0" w:firstColumn="1" w:lastColumn="0" w:noHBand="0" w:noVBand="1"/>
      </w:tblPr>
      <w:tblGrid>
        <w:gridCol w:w="746"/>
        <w:gridCol w:w="2232"/>
        <w:gridCol w:w="1451"/>
      </w:tblGrid>
      <w:tr w:rsidR="00C61908" w:rsidRPr="00105C13" w14:paraId="4AA11EF5" w14:textId="77777777" w:rsidTr="00CB694D">
        <w:trPr>
          <w:tblHeader/>
          <w:jc w:val="center"/>
        </w:trPr>
        <w:tc>
          <w:tcPr>
            <w:tcW w:w="746" w:type="dxa"/>
            <w:vAlign w:val="center"/>
          </w:tcPr>
          <w:p w14:paraId="46E2FCE0" w14:textId="096B5E3C" w:rsidR="00C61908" w:rsidRPr="00105C13" w:rsidRDefault="00C61908" w:rsidP="00CB694D">
            <w:pPr>
              <w:jc w:val="center"/>
              <w:rPr>
                <w:rFonts w:ascii="Constantia" w:hAnsi="Constantia"/>
                <w:sz w:val="18"/>
                <w:szCs w:val="18"/>
              </w:rPr>
            </w:pPr>
            <w:r w:rsidRPr="00105C13">
              <w:rPr>
                <w:rFonts w:ascii="Constantia" w:hAnsi="Constantia"/>
                <w:sz w:val="18"/>
                <w:szCs w:val="18"/>
              </w:rPr>
              <w:t>No</w:t>
            </w:r>
          </w:p>
        </w:tc>
        <w:tc>
          <w:tcPr>
            <w:tcW w:w="2232" w:type="dxa"/>
            <w:vAlign w:val="center"/>
          </w:tcPr>
          <w:p w14:paraId="0D0BF5DE" w14:textId="1B6112B7" w:rsidR="00C61908" w:rsidRPr="00105C13" w:rsidRDefault="00C61908" w:rsidP="00CB694D">
            <w:pPr>
              <w:jc w:val="center"/>
              <w:rPr>
                <w:rFonts w:ascii="Constantia" w:hAnsi="Constantia"/>
                <w:sz w:val="18"/>
                <w:szCs w:val="18"/>
              </w:rPr>
            </w:pPr>
            <w:r w:rsidRPr="00105C13">
              <w:rPr>
                <w:rFonts w:ascii="Constantia" w:hAnsi="Constantia"/>
                <w:sz w:val="18"/>
                <w:szCs w:val="18"/>
              </w:rPr>
              <w:t>Nama cluster</w:t>
            </w:r>
          </w:p>
        </w:tc>
        <w:tc>
          <w:tcPr>
            <w:tcW w:w="1451" w:type="dxa"/>
            <w:vAlign w:val="center"/>
          </w:tcPr>
          <w:p w14:paraId="1EE40CFC" w14:textId="770AE1FC" w:rsidR="00C61908" w:rsidRPr="00105C13" w:rsidRDefault="00C61908" w:rsidP="00CB694D">
            <w:pPr>
              <w:jc w:val="center"/>
              <w:rPr>
                <w:rFonts w:ascii="Constantia" w:hAnsi="Constantia"/>
                <w:sz w:val="18"/>
                <w:szCs w:val="18"/>
              </w:rPr>
            </w:pPr>
            <w:r w:rsidRPr="00105C13">
              <w:rPr>
                <w:rFonts w:ascii="Constantia" w:hAnsi="Constantia"/>
                <w:sz w:val="18"/>
                <w:szCs w:val="18"/>
              </w:rPr>
              <w:t>Jumlah sampel</w:t>
            </w:r>
          </w:p>
        </w:tc>
      </w:tr>
      <w:tr w:rsidR="00C61908" w:rsidRPr="00105C13" w14:paraId="6A40A348" w14:textId="77777777" w:rsidTr="00CB694D">
        <w:trPr>
          <w:tblHeader/>
          <w:jc w:val="center"/>
        </w:trPr>
        <w:tc>
          <w:tcPr>
            <w:tcW w:w="746" w:type="dxa"/>
            <w:vAlign w:val="center"/>
          </w:tcPr>
          <w:p w14:paraId="222D829C" w14:textId="7DF29838" w:rsidR="00C61908" w:rsidRPr="00105C13" w:rsidRDefault="009A491E" w:rsidP="00CB694D">
            <w:pPr>
              <w:jc w:val="center"/>
              <w:rPr>
                <w:rFonts w:ascii="Constantia" w:hAnsi="Constantia"/>
                <w:sz w:val="18"/>
                <w:szCs w:val="18"/>
              </w:rPr>
            </w:pPr>
            <w:r w:rsidRPr="00105C13">
              <w:rPr>
                <w:rFonts w:ascii="Constantia" w:hAnsi="Constantia"/>
                <w:sz w:val="18"/>
                <w:szCs w:val="18"/>
              </w:rPr>
              <w:t>1</w:t>
            </w:r>
          </w:p>
        </w:tc>
        <w:tc>
          <w:tcPr>
            <w:tcW w:w="2232" w:type="dxa"/>
            <w:vAlign w:val="center"/>
          </w:tcPr>
          <w:p w14:paraId="46F859D6" w14:textId="35FD1A10" w:rsidR="00C61908" w:rsidRPr="00105C13" w:rsidRDefault="00CB694D" w:rsidP="00CB694D">
            <w:pPr>
              <w:jc w:val="center"/>
              <w:rPr>
                <w:rFonts w:ascii="Constantia" w:hAnsi="Constantia"/>
                <w:sz w:val="18"/>
                <w:szCs w:val="18"/>
              </w:rPr>
            </w:pPr>
            <w:r w:rsidRPr="00105C13">
              <w:rPr>
                <w:rFonts w:ascii="Constantia" w:hAnsi="Constantia"/>
                <w:sz w:val="18"/>
                <w:szCs w:val="18"/>
              </w:rPr>
              <w:t>Office</w:t>
            </w:r>
          </w:p>
        </w:tc>
        <w:tc>
          <w:tcPr>
            <w:tcW w:w="1451" w:type="dxa"/>
            <w:vAlign w:val="center"/>
          </w:tcPr>
          <w:p w14:paraId="409B454D" w14:textId="385B18AF" w:rsidR="00C61908" w:rsidRPr="00105C13" w:rsidRDefault="009A491E" w:rsidP="00CB694D">
            <w:pPr>
              <w:jc w:val="center"/>
              <w:rPr>
                <w:rFonts w:ascii="Constantia" w:hAnsi="Constantia"/>
                <w:sz w:val="18"/>
                <w:szCs w:val="18"/>
              </w:rPr>
            </w:pPr>
            <w:r w:rsidRPr="00105C13">
              <w:rPr>
                <w:rFonts w:ascii="Constantia" w:hAnsi="Constantia"/>
                <w:sz w:val="18"/>
                <w:szCs w:val="18"/>
              </w:rPr>
              <w:t>3 sa</w:t>
            </w:r>
            <w:r w:rsidR="00CB694D" w:rsidRPr="00105C13">
              <w:rPr>
                <w:rFonts w:ascii="Constantia" w:hAnsi="Constantia"/>
                <w:sz w:val="18"/>
                <w:szCs w:val="18"/>
              </w:rPr>
              <w:t>mples</w:t>
            </w:r>
          </w:p>
        </w:tc>
      </w:tr>
      <w:tr w:rsidR="00C61908" w:rsidRPr="00105C13" w14:paraId="1E83A762" w14:textId="77777777" w:rsidTr="00CB694D">
        <w:trPr>
          <w:tblHeader/>
          <w:jc w:val="center"/>
        </w:trPr>
        <w:tc>
          <w:tcPr>
            <w:tcW w:w="746" w:type="dxa"/>
            <w:vAlign w:val="center"/>
          </w:tcPr>
          <w:p w14:paraId="4CC4FB97" w14:textId="5EC69E7E" w:rsidR="00C61908" w:rsidRPr="00105C13" w:rsidRDefault="009A491E" w:rsidP="00CB694D">
            <w:pPr>
              <w:jc w:val="center"/>
              <w:rPr>
                <w:rFonts w:ascii="Constantia" w:hAnsi="Constantia"/>
                <w:sz w:val="18"/>
                <w:szCs w:val="18"/>
              </w:rPr>
            </w:pPr>
            <w:r w:rsidRPr="00105C13">
              <w:rPr>
                <w:rFonts w:ascii="Constantia" w:hAnsi="Constantia"/>
                <w:sz w:val="18"/>
                <w:szCs w:val="18"/>
              </w:rPr>
              <w:t>2</w:t>
            </w:r>
          </w:p>
        </w:tc>
        <w:tc>
          <w:tcPr>
            <w:tcW w:w="2232" w:type="dxa"/>
            <w:vAlign w:val="center"/>
          </w:tcPr>
          <w:p w14:paraId="3BF4A20D" w14:textId="0DC04B53" w:rsidR="00C61908" w:rsidRPr="00105C13" w:rsidRDefault="009A491E" w:rsidP="00CB694D">
            <w:pPr>
              <w:jc w:val="center"/>
              <w:rPr>
                <w:rFonts w:ascii="Constantia" w:hAnsi="Constantia"/>
                <w:sz w:val="18"/>
                <w:szCs w:val="18"/>
              </w:rPr>
            </w:pPr>
            <w:r w:rsidRPr="00105C13">
              <w:rPr>
                <w:rFonts w:ascii="Constantia" w:hAnsi="Constantia"/>
                <w:sz w:val="18"/>
                <w:szCs w:val="18"/>
              </w:rPr>
              <w:t>Lab/</w:t>
            </w:r>
            <w:r w:rsidR="00CB694D" w:rsidRPr="00105C13">
              <w:rPr>
                <w:rFonts w:ascii="Constantia" w:hAnsi="Constantia"/>
                <w:sz w:val="18"/>
                <w:szCs w:val="18"/>
              </w:rPr>
              <w:t>Workshop</w:t>
            </w:r>
          </w:p>
        </w:tc>
        <w:tc>
          <w:tcPr>
            <w:tcW w:w="1451" w:type="dxa"/>
            <w:vAlign w:val="center"/>
          </w:tcPr>
          <w:p w14:paraId="32F9B087" w14:textId="41BC075A" w:rsidR="00C61908" w:rsidRPr="00105C13" w:rsidRDefault="009A491E" w:rsidP="00CB694D">
            <w:pPr>
              <w:jc w:val="center"/>
              <w:rPr>
                <w:rFonts w:ascii="Constantia" w:hAnsi="Constantia"/>
                <w:sz w:val="18"/>
                <w:szCs w:val="18"/>
              </w:rPr>
            </w:pPr>
            <w:r w:rsidRPr="00105C13">
              <w:rPr>
                <w:rFonts w:ascii="Constantia" w:hAnsi="Constantia"/>
                <w:sz w:val="18"/>
                <w:szCs w:val="18"/>
              </w:rPr>
              <w:t xml:space="preserve">3 </w:t>
            </w:r>
            <w:r w:rsidR="00CB694D" w:rsidRPr="00105C13">
              <w:rPr>
                <w:rFonts w:ascii="Constantia" w:hAnsi="Constantia"/>
                <w:sz w:val="18"/>
                <w:szCs w:val="18"/>
              </w:rPr>
              <w:t>samples</w:t>
            </w:r>
          </w:p>
        </w:tc>
      </w:tr>
      <w:tr w:rsidR="00C61908" w:rsidRPr="00105C13" w14:paraId="124B6439" w14:textId="77777777" w:rsidTr="00CB694D">
        <w:trPr>
          <w:tblHeader/>
          <w:jc w:val="center"/>
        </w:trPr>
        <w:tc>
          <w:tcPr>
            <w:tcW w:w="746" w:type="dxa"/>
            <w:vAlign w:val="center"/>
          </w:tcPr>
          <w:p w14:paraId="3BB91E56" w14:textId="04BB353F" w:rsidR="00C61908" w:rsidRPr="00105C13" w:rsidRDefault="009A491E" w:rsidP="00CB694D">
            <w:pPr>
              <w:jc w:val="center"/>
              <w:rPr>
                <w:rFonts w:ascii="Constantia" w:hAnsi="Constantia"/>
                <w:sz w:val="18"/>
                <w:szCs w:val="18"/>
              </w:rPr>
            </w:pPr>
            <w:r w:rsidRPr="00105C13">
              <w:rPr>
                <w:rFonts w:ascii="Constantia" w:hAnsi="Constantia"/>
                <w:sz w:val="18"/>
                <w:szCs w:val="18"/>
              </w:rPr>
              <w:t>3</w:t>
            </w:r>
          </w:p>
        </w:tc>
        <w:tc>
          <w:tcPr>
            <w:tcW w:w="2232" w:type="dxa"/>
            <w:vAlign w:val="center"/>
          </w:tcPr>
          <w:p w14:paraId="47CDAAE0" w14:textId="0CA5821D" w:rsidR="00C61908" w:rsidRPr="00105C13" w:rsidRDefault="00CB694D" w:rsidP="00CB694D">
            <w:pPr>
              <w:jc w:val="center"/>
              <w:rPr>
                <w:rFonts w:ascii="Constantia" w:hAnsi="Constantia"/>
                <w:sz w:val="18"/>
                <w:szCs w:val="18"/>
              </w:rPr>
            </w:pPr>
            <w:r w:rsidRPr="00105C13">
              <w:rPr>
                <w:rFonts w:ascii="Constantia" w:hAnsi="Constantia"/>
                <w:sz w:val="18"/>
                <w:szCs w:val="18"/>
              </w:rPr>
              <w:t>Classroom</w:t>
            </w:r>
          </w:p>
        </w:tc>
        <w:tc>
          <w:tcPr>
            <w:tcW w:w="1451" w:type="dxa"/>
            <w:vAlign w:val="center"/>
          </w:tcPr>
          <w:p w14:paraId="382120DA" w14:textId="04684941" w:rsidR="00C61908" w:rsidRPr="00105C13" w:rsidRDefault="009A491E" w:rsidP="00CB694D">
            <w:pPr>
              <w:jc w:val="center"/>
              <w:rPr>
                <w:rFonts w:ascii="Constantia" w:hAnsi="Constantia"/>
                <w:sz w:val="18"/>
                <w:szCs w:val="18"/>
              </w:rPr>
            </w:pPr>
            <w:r w:rsidRPr="00105C13">
              <w:rPr>
                <w:rFonts w:ascii="Constantia" w:hAnsi="Constantia"/>
                <w:sz w:val="18"/>
                <w:szCs w:val="18"/>
              </w:rPr>
              <w:t xml:space="preserve">2 </w:t>
            </w:r>
            <w:r w:rsidR="00CB694D" w:rsidRPr="00105C13">
              <w:rPr>
                <w:rFonts w:ascii="Constantia" w:hAnsi="Constantia"/>
                <w:sz w:val="18"/>
                <w:szCs w:val="18"/>
              </w:rPr>
              <w:t>samples</w:t>
            </w:r>
          </w:p>
        </w:tc>
      </w:tr>
      <w:tr w:rsidR="00C61908" w:rsidRPr="00105C13" w14:paraId="4968964B" w14:textId="77777777" w:rsidTr="00CB694D">
        <w:trPr>
          <w:tblHeader/>
          <w:jc w:val="center"/>
        </w:trPr>
        <w:tc>
          <w:tcPr>
            <w:tcW w:w="746" w:type="dxa"/>
            <w:vAlign w:val="center"/>
          </w:tcPr>
          <w:p w14:paraId="715089B7" w14:textId="1CF673D3" w:rsidR="00C61908" w:rsidRPr="00105C13" w:rsidRDefault="009A491E" w:rsidP="00CB694D">
            <w:pPr>
              <w:jc w:val="center"/>
              <w:rPr>
                <w:rFonts w:ascii="Constantia" w:hAnsi="Constantia"/>
                <w:sz w:val="18"/>
                <w:szCs w:val="18"/>
              </w:rPr>
            </w:pPr>
            <w:r w:rsidRPr="00105C13">
              <w:rPr>
                <w:rFonts w:ascii="Constantia" w:hAnsi="Constantia"/>
                <w:sz w:val="18"/>
                <w:szCs w:val="18"/>
              </w:rPr>
              <w:t>4</w:t>
            </w:r>
          </w:p>
        </w:tc>
        <w:tc>
          <w:tcPr>
            <w:tcW w:w="2232" w:type="dxa"/>
            <w:vAlign w:val="center"/>
          </w:tcPr>
          <w:p w14:paraId="39C0155C" w14:textId="69CA7EBA" w:rsidR="00C61908" w:rsidRPr="00105C13" w:rsidRDefault="00CB694D" w:rsidP="00CB694D">
            <w:pPr>
              <w:jc w:val="center"/>
              <w:rPr>
                <w:rFonts w:ascii="Constantia" w:hAnsi="Constantia"/>
                <w:sz w:val="18"/>
                <w:szCs w:val="18"/>
              </w:rPr>
            </w:pPr>
            <w:r w:rsidRPr="00105C13">
              <w:rPr>
                <w:rFonts w:ascii="Constantia" w:hAnsi="Constantia"/>
                <w:sz w:val="18"/>
                <w:szCs w:val="18"/>
              </w:rPr>
              <w:t>Garden</w:t>
            </w:r>
          </w:p>
        </w:tc>
        <w:tc>
          <w:tcPr>
            <w:tcW w:w="1451" w:type="dxa"/>
            <w:vAlign w:val="center"/>
          </w:tcPr>
          <w:p w14:paraId="19004935" w14:textId="31F19FF6" w:rsidR="00C61908" w:rsidRPr="00105C13" w:rsidRDefault="009A491E" w:rsidP="00CB694D">
            <w:pPr>
              <w:jc w:val="center"/>
              <w:rPr>
                <w:rFonts w:ascii="Constantia" w:hAnsi="Constantia"/>
                <w:sz w:val="18"/>
                <w:szCs w:val="18"/>
              </w:rPr>
            </w:pPr>
            <w:r w:rsidRPr="00105C13">
              <w:rPr>
                <w:rFonts w:ascii="Constantia" w:hAnsi="Constantia"/>
                <w:sz w:val="18"/>
                <w:szCs w:val="18"/>
              </w:rPr>
              <w:t xml:space="preserve">2 </w:t>
            </w:r>
            <w:r w:rsidR="00CB694D" w:rsidRPr="00105C13">
              <w:rPr>
                <w:rFonts w:ascii="Constantia" w:hAnsi="Constantia"/>
                <w:sz w:val="18"/>
                <w:szCs w:val="18"/>
              </w:rPr>
              <w:t>samples</w:t>
            </w:r>
          </w:p>
        </w:tc>
      </w:tr>
    </w:tbl>
    <w:p w14:paraId="610A7690" w14:textId="77777777" w:rsidR="00EB1AE5" w:rsidRPr="00105C13" w:rsidRDefault="00EB1AE5" w:rsidP="00CB694D">
      <w:pPr>
        <w:spacing w:after="0" w:line="240" w:lineRule="auto"/>
        <w:jc w:val="center"/>
        <w:rPr>
          <w:rFonts w:ascii="Constantia" w:hAnsi="Constantia"/>
          <w:sz w:val="20"/>
          <w:szCs w:val="20"/>
        </w:rPr>
      </w:pPr>
    </w:p>
    <w:p w14:paraId="22828D2E" w14:textId="366F82AC" w:rsidR="00992707" w:rsidRPr="00105C13" w:rsidRDefault="00992707" w:rsidP="00CB5E58">
      <w:pPr>
        <w:pStyle w:val="ListParagraph"/>
        <w:spacing w:after="0" w:line="240" w:lineRule="auto"/>
        <w:ind w:left="567" w:hanging="567"/>
        <w:jc w:val="both"/>
        <w:rPr>
          <w:rFonts w:ascii="Constantia" w:hAnsi="Constantia" w:cs="Times New Roman"/>
          <w:b/>
          <w:bCs/>
          <w:sz w:val="24"/>
          <w:szCs w:val="24"/>
        </w:rPr>
      </w:pPr>
      <w:r w:rsidRPr="00105C13">
        <w:rPr>
          <w:rFonts w:ascii="Constantia" w:hAnsi="Constantia" w:cs="Times New Roman"/>
          <w:b/>
          <w:bCs/>
          <w:sz w:val="24"/>
          <w:szCs w:val="24"/>
        </w:rPr>
        <w:t>2.</w:t>
      </w:r>
      <w:r w:rsidR="00F141FB" w:rsidRPr="00105C13">
        <w:rPr>
          <w:rFonts w:ascii="Constantia" w:hAnsi="Constantia" w:cs="Times New Roman"/>
          <w:b/>
          <w:bCs/>
          <w:sz w:val="24"/>
          <w:szCs w:val="24"/>
        </w:rPr>
        <w:t>2</w:t>
      </w:r>
      <w:r w:rsidRPr="00105C13">
        <w:rPr>
          <w:rFonts w:ascii="Constantia" w:hAnsi="Constantia" w:cs="Times New Roman"/>
          <w:b/>
          <w:bCs/>
          <w:sz w:val="24"/>
          <w:szCs w:val="24"/>
        </w:rPr>
        <w:t xml:space="preserve"> </w:t>
      </w:r>
      <w:r w:rsidR="00CB694D" w:rsidRPr="00105C13">
        <w:rPr>
          <w:rFonts w:ascii="Constantia" w:hAnsi="Constantia" w:cs="Times New Roman"/>
          <w:b/>
          <w:bCs/>
          <w:sz w:val="24"/>
          <w:szCs w:val="24"/>
        </w:rPr>
        <w:t>Calculation of Waste Generation Rate</w:t>
      </w:r>
    </w:p>
    <w:p w14:paraId="3CA7041F" w14:textId="24858D4B" w:rsidR="001913C6" w:rsidRPr="00105C13" w:rsidRDefault="00CB694D" w:rsidP="00CB5E58">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According to SNI 19-3964-1994, waste generation measurements are conducted over 8 consecutive days. The calculation of waste generation employs the following formula:</w:t>
      </w:r>
      <w:r w:rsidR="00EB1AE5" w:rsidRPr="00105C13">
        <w:rPr>
          <w:rFonts w:ascii="Constantia" w:hAnsi="Constantia" w:cs="Times New Roman"/>
          <w:sz w:val="20"/>
          <w:szCs w:val="20"/>
        </w:rPr>
        <w:t xml:space="preserve"> </w:t>
      </w:r>
    </w:p>
    <w:p w14:paraId="0894DF2C" w14:textId="7F759BD6" w:rsidR="001913C6" w:rsidRPr="00105C13" w:rsidRDefault="00CB694D" w:rsidP="00CB5E58">
      <w:pPr>
        <w:tabs>
          <w:tab w:val="left" w:pos="8789"/>
        </w:tabs>
        <w:spacing w:after="0" w:line="276" w:lineRule="auto"/>
        <w:ind w:firstLine="567"/>
        <w:jc w:val="both"/>
        <w:rPr>
          <w:rFonts w:ascii="Constantia" w:hAnsi="Constantia" w:cs="Times New Roman"/>
          <w:sz w:val="20"/>
          <w:szCs w:val="20"/>
        </w:rPr>
      </w:pPr>
      <m:oMath>
        <m:r>
          <m:rPr>
            <m:sty m:val="p"/>
          </m:rPr>
          <w:rPr>
            <w:rFonts w:ascii="Cambria Math" w:hAnsi="Cambria Math" w:cs="Times New Roman"/>
            <w:sz w:val="20"/>
            <w:szCs w:val="20"/>
          </w:rPr>
          <m:t>Waste Generation</m:t>
        </m:r>
        <m:r>
          <m:rPr>
            <m:sty m:val="p"/>
          </m:rPr>
          <w:rPr>
            <w:rFonts w:ascii="Cambria Math" w:hAnsi="Cambria Math" w:cs="Times New Roman"/>
            <w:sz w:val="20"/>
            <w:szCs w:val="20"/>
            <w:lang w:val="sv-SE"/>
          </w:rPr>
          <m:t xml:space="preserve">= </m:t>
        </m:r>
        <m:f>
          <m:fPr>
            <m:ctrlPr>
              <w:rPr>
                <w:rFonts w:ascii="Cambria Math" w:hAnsi="Cambria Math" w:cs="Times New Roman"/>
                <w:iCs/>
                <w:sz w:val="20"/>
                <w:szCs w:val="20"/>
                <w:lang w:val="sv-SE"/>
              </w:rPr>
            </m:ctrlPr>
          </m:fPr>
          <m:num>
            <m:r>
              <m:rPr>
                <m:sty m:val="p"/>
              </m:rPr>
              <w:rPr>
                <w:rFonts w:ascii="Cambria Math" w:hAnsi="Cambria Math" w:cs="Times New Roman"/>
                <w:sz w:val="20"/>
                <w:szCs w:val="20"/>
                <w:lang w:val="sv-SE"/>
              </w:rPr>
              <m:t>Vs</m:t>
            </m:r>
          </m:num>
          <m:den>
            <m:r>
              <m:rPr>
                <m:sty m:val="p"/>
              </m:rPr>
              <w:rPr>
                <w:rFonts w:ascii="Cambria Math" w:hAnsi="Cambria Math" w:cs="Times New Roman"/>
                <w:sz w:val="20"/>
                <w:szCs w:val="20"/>
                <w:lang w:val="sv-SE"/>
              </w:rPr>
              <m:t>u</m:t>
            </m:r>
          </m:den>
        </m:f>
      </m:oMath>
      <w:r w:rsidR="001913C6" w:rsidRPr="00105C13">
        <w:rPr>
          <w:rFonts w:ascii="Constantia" w:eastAsiaTheme="minorEastAsia" w:hAnsi="Constantia" w:cs="Times New Roman"/>
          <w:sz w:val="20"/>
          <w:szCs w:val="20"/>
          <w:lang w:val="sv-SE"/>
        </w:rPr>
        <w:t xml:space="preserve"> </w:t>
      </w:r>
      <w:r w:rsidR="00CB5E58">
        <w:rPr>
          <w:rFonts w:ascii="Constantia" w:eastAsiaTheme="minorEastAsia" w:hAnsi="Constantia" w:cs="Times New Roman"/>
          <w:sz w:val="20"/>
          <w:szCs w:val="20"/>
          <w:lang w:val="sv-SE"/>
        </w:rPr>
        <w:t xml:space="preserve">                                                                                                                          </w:t>
      </w:r>
      <w:r w:rsidR="001913C6" w:rsidRPr="00105C13">
        <w:rPr>
          <w:rFonts w:ascii="Constantia" w:eastAsiaTheme="minorEastAsia" w:hAnsi="Constantia" w:cs="Times New Roman"/>
          <w:sz w:val="20"/>
          <w:szCs w:val="20"/>
          <w:lang w:val="sv-SE"/>
        </w:rPr>
        <w:t>(</w:t>
      </w:r>
      <w:r w:rsidR="00CB5E58">
        <w:rPr>
          <w:rFonts w:ascii="Constantia" w:eastAsiaTheme="minorEastAsia" w:hAnsi="Constantia" w:cs="Times New Roman"/>
          <w:sz w:val="20"/>
          <w:szCs w:val="20"/>
          <w:lang w:val="sv-SE"/>
        </w:rPr>
        <w:t>2</w:t>
      </w:r>
      <w:r w:rsidR="001913C6" w:rsidRPr="00105C13">
        <w:rPr>
          <w:rFonts w:ascii="Constantia" w:eastAsiaTheme="minorEastAsia" w:hAnsi="Constantia" w:cs="Times New Roman"/>
          <w:sz w:val="20"/>
          <w:szCs w:val="20"/>
          <w:lang w:val="sv-SE"/>
        </w:rPr>
        <w:t>)</w:t>
      </w:r>
    </w:p>
    <w:p w14:paraId="2541C998" w14:textId="454B6603" w:rsidR="00BB6E74" w:rsidRPr="00105C13" w:rsidRDefault="00CB694D" w:rsidP="00BB6E74">
      <w:pPr>
        <w:pStyle w:val="ListParagraph"/>
        <w:spacing w:after="0" w:line="276" w:lineRule="auto"/>
        <w:ind w:left="284" w:firstLine="283"/>
        <w:jc w:val="both"/>
        <w:rPr>
          <w:rFonts w:ascii="Constantia" w:hAnsi="Constantia" w:cs="Times New Roman"/>
          <w:sz w:val="20"/>
          <w:szCs w:val="20"/>
        </w:rPr>
      </w:pPr>
      <w:r w:rsidRPr="00105C13">
        <w:rPr>
          <w:rFonts w:ascii="Constantia" w:hAnsi="Constantia" w:cs="Times New Roman"/>
          <w:sz w:val="20"/>
          <w:szCs w:val="20"/>
        </w:rPr>
        <w:t>Where</w:t>
      </w:r>
      <w:r w:rsidR="00BB6E74" w:rsidRPr="00105C13">
        <w:rPr>
          <w:rFonts w:ascii="Constantia" w:hAnsi="Constantia" w:cs="Times New Roman"/>
          <w:sz w:val="20"/>
          <w:szCs w:val="20"/>
        </w:rPr>
        <w:t>:</w:t>
      </w:r>
    </w:p>
    <w:p w14:paraId="77D2C091" w14:textId="5DB156F5" w:rsidR="00BB6E74" w:rsidRPr="00105C13" w:rsidRDefault="00BB6E74" w:rsidP="00BB6E74">
      <w:pPr>
        <w:pStyle w:val="ListParagraph"/>
        <w:spacing w:after="0" w:line="276" w:lineRule="auto"/>
        <w:ind w:left="284" w:firstLine="283"/>
        <w:jc w:val="both"/>
        <w:rPr>
          <w:rFonts w:ascii="Constantia" w:hAnsi="Constantia" w:cs="Times New Roman"/>
          <w:sz w:val="20"/>
          <w:szCs w:val="20"/>
        </w:rPr>
      </w:pPr>
      <w:r w:rsidRPr="00105C13">
        <w:rPr>
          <w:rFonts w:ascii="Constantia" w:hAnsi="Constantia" w:cs="Times New Roman"/>
          <w:sz w:val="20"/>
          <w:szCs w:val="20"/>
        </w:rPr>
        <w:t xml:space="preserve">Vs </w:t>
      </w:r>
      <w:r w:rsidRPr="00105C13">
        <w:rPr>
          <w:rFonts w:ascii="Constantia" w:hAnsi="Constantia" w:cs="Times New Roman"/>
          <w:sz w:val="20"/>
          <w:szCs w:val="20"/>
        </w:rPr>
        <w:tab/>
        <w:t xml:space="preserve">: </w:t>
      </w:r>
      <w:r w:rsidR="00CB694D" w:rsidRPr="00105C13">
        <w:rPr>
          <w:rFonts w:ascii="Constantia" w:hAnsi="Constantia" w:cs="Times New Roman"/>
          <w:sz w:val="20"/>
          <w:szCs w:val="20"/>
        </w:rPr>
        <w:t>Measured Waste Volume</w:t>
      </w:r>
    </w:p>
    <w:p w14:paraId="1D32BC63" w14:textId="73A03091" w:rsidR="00992707" w:rsidRPr="00105C13" w:rsidRDefault="00BB6E74" w:rsidP="00BB6E74">
      <w:pPr>
        <w:pStyle w:val="ListParagraph"/>
        <w:spacing w:after="0" w:line="276" w:lineRule="auto"/>
        <w:ind w:left="284" w:firstLine="283"/>
        <w:jc w:val="both"/>
        <w:rPr>
          <w:rFonts w:ascii="Constantia" w:hAnsi="Constantia" w:cs="Times New Roman"/>
          <w:sz w:val="20"/>
          <w:szCs w:val="20"/>
        </w:rPr>
      </w:pPr>
      <w:r w:rsidRPr="00105C13">
        <w:rPr>
          <w:rFonts w:ascii="Constantia" w:hAnsi="Constantia" w:cs="Times New Roman"/>
          <w:sz w:val="20"/>
          <w:szCs w:val="20"/>
        </w:rPr>
        <w:t>U</w:t>
      </w:r>
      <w:r w:rsidRPr="00105C13">
        <w:rPr>
          <w:rFonts w:ascii="Constantia" w:hAnsi="Constantia" w:cs="Times New Roman"/>
          <w:sz w:val="20"/>
          <w:szCs w:val="20"/>
        </w:rPr>
        <w:tab/>
      </w:r>
      <w:r w:rsidRPr="00105C13">
        <w:rPr>
          <w:rFonts w:ascii="Constantia" w:hAnsi="Constantia" w:cs="Times New Roman"/>
          <w:sz w:val="20"/>
          <w:szCs w:val="20"/>
        </w:rPr>
        <w:tab/>
        <w:t xml:space="preserve">: </w:t>
      </w:r>
      <w:r w:rsidR="00CB694D" w:rsidRPr="00105C13">
        <w:rPr>
          <w:rFonts w:ascii="Constantia" w:hAnsi="Constantia" w:cs="Times New Roman"/>
          <w:sz w:val="20"/>
          <w:szCs w:val="20"/>
        </w:rPr>
        <w:t>Number of Waste-Generating Units</w:t>
      </w:r>
    </w:p>
    <w:p w14:paraId="7037774D" w14:textId="1AE8BAB0" w:rsidR="00BB6E74" w:rsidRPr="00105C13" w:rsidRDefault="00BB6E74" w:rsidP="00BB6E74">
      <w:pPr>
        <w:pStyle w:val="ListParagraph"/>
        <w:spacing w:after="0" w:line="276" w:lineRule="auto"/>
        <w:ind w:left="284" w:firstLine="283"/>
        <w:jc w:val="both"/>
        <w:rPr>
          <w:rFonts w:ascii="Constantia" w:hAnsi="Constantia" w:cs="Times New Roman"/>
          <w:sz w:val="20"/>
          <w:szCs w:val="20"/>
        </w:rPr>
      </w:pPr>
    </w:p>
    <w:p w14:paraId="1EEBD2B2" w14:textId="57FEAD96" w:rsidR="00CB694D" w:rsidRPr="00105C13" w:rsidRDefault="00CB694D" w:rsidP="00CB5E58">
      <w:pPr>
        <w:pStyle w:val="ListParagraph"/>
        <w:numPr>
          <w:ilvl w:val="1"/>
          <w:numId w:val="1"/>
        </w:numPr>
        <w:spacing w:after="0" w:line="240" w:lineRule="auto"/>
        <w:ind w:left="567" w:hanging="567"/>
        <w:jc w:val="both"/>
        <w:rPr>
          <w:rFonts w:ascii="Constantia" w:hAnsi="Constantia" w:cs="Times New Roman"/>
          <w:b/>
          <w:bCs/>
          <w:sz w:val="24"/>
          <w:szCs w:val="24"/>
        </w:rPr>
      </w:pPr>
      <w:r w:rsidRPr="00105C13">
        <w:rPr>
          <w:rFonts w:ascii="Constantia" w:hAnsi="Constantia" w:cs="Times New Roman"/>
          <w:b/>
          <w:bCs/>
          <w:sz w:val="24"/>
          <w:szCs w:val="24"/>
        </w:rPr>
        <w:t xml:space="preserve">Carbon Emission Calculation from Waste Management at PPNS </w:t>
      </w:r>
    </w:p>
    <w:p w14:paraId="61432359" w14:textId="77777777" w:rsidR="00CB694D" w:rsidRPr="00105C13" w:rsidRDefault="00CB694D" w:rsidP="00CB5E58">
      <w:pPr>
        <w:tabs>
          <w:tab w:val="left" w:pos="8789"/>
        </w:tabs>
        <w:spacing w:after="0" w:line="240" w:lineRule="auto"/>
        <w:ind w:firstLine="567"/>
        <w:contextualSpacing/>
        <w:jc w:val="both"/>
        <w:rPr>
          <w:rFonts w:ascii="Constantia" w:hAnsi="Constantia" w:cs="Times New Roman"/>
          <w:sz w:val="20"/>
          <w:szCs w:val="20"/>
        </w:rPr>
      </w:pPr>
      <w:r w:rsidRPr="00105C13">
        <w:rPr>
          <w:rFonts w:ascii="Constantia" w:hAnsi="Constantia" w:cs="Times New Roman"/>
          <w:sz w:val="20"/>
          <w:szCs w:val="20"/>
        </w:rPr>
        <w:t>According to IPCC (2006), the calculation of carbon emissions utilizes the following formulas:</w:t>
      </w:r>
    </w:p>
    <w:p w14:paraId="3392CBC9" w14:textId="79C00775" w:rsidR="00A55D70" w:rsidRPr="00105C13" w:rsidRDefault="00A55D70" w:rsidP="00CB5E58">
      <w:pPr>
        <w:pStyle w:val="NormalWeb"/>
        <w:spacing w:before="0" w:beforeAutospacing="0" w:after="0" w:afterAutospacing="0" w:line="276" w:lineRule="auto"/>
        <w:ind w:left="567"/>
        <w:contextualSpacing/>
        <w:rPr>
          <w:rFonts w:ascii="Constantia" w:hAnsi="Constantia"/>
          <w:b/>
          <w:bCs/>
          <w:sz w:val="20"/>
          <w:szCs w:val="20"/>
        </w:rPr>
      </w:pPr>
      <w:r w:rsidRPr="00105C13">
        <w:rPr>
          <w:rStyle w:val="Strong"/>
          <w:rFonts w:ascii="Constantia" w:hAnsi="Constantia"/>
          <w:b w:val="0"/>
          <w:bCs w:val="0"/>
          <w:sz w:val="20"/>
          <w:szCs w:val="20"/>
        </w:rPr>
        <w:t>DDOCm</w:t>
      </w:r>
      <w:r w:rsidR="00CB5E58">
        <w:rPr>
          <w:rStyle w:val="Strong"/>
          <w:rFonts w:ascii="Constantia" w:hAnsi="Constantia"/>
          <w:b w:val="0"/>
          <w:bCs w:val="0"/>
          <w:sz w:val="20"/>
          <w:szCs w:val="20"/>
        </w:rPr>
        <w:tab/>
      </w:r>
      <w:r w:rsidR="00CB5E58">
        <w:rPr>
          <w:rStyle w:val="Strong"/>
          <w:rFonts w:ascii="Constantia" w:hAnsi="Constantia"/>
          <w:b w:val="0"/>
          <w:bCs w:val="0"/>
          <w:sz w:val="20"/>
          <w:szCs w:val="20"/>
        </w:rPr>
        <w:tab/>
      </w:r>
      <w:r w:rsidR="00CB5E58">
        <w:rPr>
          <w:rStyle w:val="Strong"/>
          <w:rFonts w:ascii="Constantia" w:hAnsi="Constantia"/>
          <w:b w:val="0"/>
          <w:bCs w:val="0"/>
          <w:sz w:val="20"/>
          <w:szCs w:val="20"/>
        </w:rPr>
        <w:tab/>
      </w:r>
      <w:r w:rsidRPr="00105C13">
        <w:rPr>
          <w:rStyle w:val="Strong"/>
          <w:rFonts w:ascii="Constantia" w:hAnsi="Constantia"/>
          <w:b w:val="0"/>
          <w:bCs w:val="0"/>
          <w:sz w:val="20"/>
          <w:szCs w:val="20"/>
        </w:rPr>
        <w:t xml:space="preserve"> = W × MCF × DOC × DOCf</w:t>
      </w:r>
      <w:r w:rsidRPr="00105C13">
        <w:rPr>
          <w:rFonts w:ascii="Constantia" w:hAnsi="Constantia"/>
          <w:b/>
          <w:bCs/>
          <w:sz w:val="20"/>
          <w:szCs w:val="20"/>
        </w:rPr>
        <w:t> </w:t>
      </w:r>
      <w:r w:rsidR="00CB5E58">
        <w:rPr>
          <w:rFonts w:ascii="Constantia" w:hAnsi="Constantia"/>
          <w:b/>
          <w:bCs/>
          <w:sz w:val="20"/>
          <w:szCs w:val="20"/>
        </w:rPr>
        <w:t xml:space="preserve">   </w:t>
      </w:r>
      <w:r w:rsidR="00CB5E58">
        <w:rPr>
          <w:rFonts w:ascii="Constantia" w:hAnsi="Constantia"/>
          <w:b/>
          <w:bCs/>
          <w:sz w:val="20"/>
          <w:szCs w:val="20"/>
        </w:rPr>
        <w:tab/>
      </w:r>
      <w:r w:rsidR="00CB5E58">
        <w:rPr>
          <w:rFonts w:ascii="Constantia" w:hAnsi="Constantia"/>
          <w:b/>
          <w:bCs/>
          <w:sz w:val="20"/>
          <w:szCs w:val="20"/>
        </w:rPr>
        <w:tab/>
      </w:r>
      <w:r w:rsidR="00CB5E58">
        <w:rPr>
          <w:rFonts w:ascii="Constantia" w:hAnsi="Constantia"/>
          <w:b/>
          <w:bCs/>
          <w:sz w:val="20"/>
          <w:szCs w:val="20"/>
        </w:rPr>
        <w:tab/>
      </w:r>
      <w:r w:rsidR="00CB5E58">
        <w:rPr>
          <w:rFonts w:ascii="Constantia" w:hAnsi="Constantia"/>
          <w:b/>
          <w:bCs/>
          <w:sz w:val="20"/>
          <w:szCs w:val="20"/>
        </w:rPr>
        <w:tab/>
      </w:r>
      <w:r w:rsidR="00CB5E58">
        <w:rPr>
          <w:rFonts w:ascii="Constantia" w:hAnsi="Constantia"/>
          <w:b/>
          <w:bCs/>
          <w:sz w:val="20"/>
          <w:szCs w:val="20"/>
        </w:rPr>
        <w:tab/>
        <w:t>(</w:t>
      </w:r>
      <w:r w:rsidR="00CB5E58" w:rsidRPr="00F62E55">
        <w:rPr>
          <w:rFonts w:ascii="Constantia" w:hAnsi="Constantia"/>
          <w:b/>
          <w:bCs/>
          <w:sz w:val="20"/>
          <w:szCs w:val="20"/>
        </w:rPr>
        <w:t xml:space="preserve">3)                                                                                        </w:t>
      </w:r>
      <w:r w:rsidRPr="00F62E55">
        <w:rPr>
          <w:rFonts w:ascii="Constantia" w:hAnsi="Constantia"/>
          <w:b/>
          <w:bCs/>
          <w:sz w:val="20"/>
          <w:szCs w:val="20"/>
        </w:rPr>
        <w:br/>
      </w:r>
      <w:r w:rsidRPr="00F62E55">
        <w:rPr>
          <w:rStyle w:val="Strong"/>
          <w:rFonts w:ascii="Constantia" w:hAnsi="Constantia"/>
          <w:b w:val="0"/>
          <w:bCs w:val="0"/>
          <w:sz w:val="20"/>
          <w:szCs w:val="20"/>
        </w:rPr>
        <w:t>Amount of CH₄ (Lo)</w:t>
      </w:r>
      <w:r w:rsidR="00CB5E58" w:rsidRPr="00F62E55">
        <w:rPr>
          <w:rStyle w:val="Strong"/>
          <w:rFonts w:ascii="Constantia" w:hAnsi="Constantia"/>
          <w:b w:val="0"/>
          <w:bCs w:val="0"/>
          <w:sz w:val="20"/>
          <w:szCs w:val="20"/>
        </w:rPr>
        <w:tab/>
      </w:r>
      <w:r w:rsidRPr="00F62E55">
        <w:rPr>
          <w:rStyle w:val="Strong"/>
          <w:rFonts w:ascii="Constantia" w:hAnsi="Constantia"/>
          <w:b w:val="0"/>
          <w:bCs w:val="0"/>
          <w:sz w:val="20"/>
          <w:szCs w:val="20"/>
        </w:rPr>
        <w:t xml:space="preserve"> = DDOCm × 16/12 × F</w:t>
      </w:r>
      <w:r w:rsidRPr="00F62E55">
        <w:rPr>
          <w:rFonts w:ascii="Constantia" w:hAnsi="Constantia"/>
          <w:b/>
          <w:bCs/>
          <w:sz w:val="20"/>
          <w:szCs w:val="20"/>
        </w:rPr>
        <w:t> </w:t>
      </w:r>
      <w:r w:rsidR="00CB5E58" w:rsidRPr="00F62E55">
        <w:rPr>
          <w:rFonts w:ascii="Constantia" w:hAnsi="Constantia"/>
          <w:b/>
          <w:bCs/>
          <w:sz w:val="20"/>
          <w:szCs w:val="20"/>
        </w:rPr>
        <w:tab/>
      </w:r>
      <w:r w:rsidR="00CB5E58" w:rsidRPr="00F62E55">
        <w:rPr>
          <w:rFonts w:ascii="Constantia" w:hAnsi="Constantia"/>
          <w:b/>
          <w:bCs/>
          <w:sz w:val="20"/>
          <w:szCs w:val="20"/>
        </w:rPr>
        <w:tab/>
      </w:r>
      <w:r w:rsidR="00CB5E58" w:rsidRPr="00F62E55">
        <w:rPr>
          <w:rFonts w:ascii="Constantia" w:hAnsi="Constantia"/>
          <w:b/>
          <w:bCs/>
          <w:sz w:val="20"/>
          <w:szCs w:val="20"/>
        </w:rPr>
        <w:tab/>
      </w:r>
      <w:r w:rsidR="00CB5E58" w:rsidRPr="00F62E55">
        <w:rPr>
          <w:rFonts w:ascii="Constantia" w:hAnsi="Constantia"/>
          <w:b/>
          <w:bCs/>
          <w:sz w:val="20"/>
          <w:szCs w:val="20"/>
        </w:rPr>
        <w:tab/>
      </w:r>
      <w:r w:rsidR="00CB5E58" w:rsidRPr="00F62E55">
        <w:rPr>
          <w:rFonts w:ascii="Constantia" w:hAnsi="Constantia"/>
          <w:b/>
          <w:bCs/>
          <w:sz w:val="20"/>
          <w:szCs w:val="20"/>
        </w:rPr>
        <w:tab/>
      </w:r>
      <w:r w:rsidR="00CB5E58" w:rsidRPr="00F62E55">
        <w:rPr>
          <w:rFonts w:ascii="Constantia" w:hAnsi="Constantia"/>
          <w:b/>
          <w:bCs/>
          <w:sz w:val="20"/>
          <w:szCs w:val="20"/>
        </w:rPr>
        <w:tab/>
      </w:r>
      <w:r w:rsidRPr="00F62E55">
        <w:rPr>
          <w:rFonts w:ascii="Constantia" w:hAnsi="Constantia"/>
          <w:b/>
          <w:bCs/>
          <w:sz w:val="20"/>
          <w:szCs w:val="20"/>
        </w:rPr>
        <w:t>(4)</w:t>
      </w:r>
      <w:r w:rsidRPr="00F62E55">
        <w:rPr>
          <w:rFonts w:ascii="Constantia" w:hAnsi="Constantia"/>
          <w:b/>
          <w:bCs/>
          <w:sz w:val="20"/>
          <w:szCs w:val="20"/>
        </w:rPr>
        <w:br/>
      </w:r>
      <w:r w:rsidRPr="00F62E55">
        <w:rPr>
          <w:rStyle w:val="Strong"/>
          <w:rFonts w:ascii="Constantia" w:hAnsi="Constantia"/>
          <w:b w:val="0"/>
          <w:bCs w:val="0"/>
          <w:sz w:val="20"/>
          <w:szCs w:val="20"/>
        </w:rPr>
        <w:t xml:space="preserve">Total CH₄ Emissions </w:t>
      </w:r>
      <w:r w:rsidR="00CB5E58" w:rsidRPr="00F62E55">
        <w:rPr>
          <w:rStyle w:val="Strong"/>
          <w:rFonts w:ascii="Constantia" w:hAnsi="Constantia"/>
          <w:b w:val="0"/>
          <w:bCs w:val="0"/>
          <w:sz w:val="20"/>
          <w:szCs w:val="20"/>
        </w:rPr>
        <w:tab/>
        <w:t xml:space="preserve"> </w:t>
      </w:r>
      <w:r w:rsidRPr="00F62E55">
        <w:rPr>
          <w:rStyle w:val="Strong"/>
          <w:rFonts w:ascii="Constantia" w:hAnsi="Constantia"/>
          <w:b w:val="0"/>
          <w:bCs w:val="0"/>
          <w:sz w:val="20"/>
          <w:szCs w:val="20"/>
        </w:rPr>
        <w:t>= (Amount of Methane – R) × (1 – OX)</w:t>
      </w:r>
      <w:r w:rsidRPr="00F62E55">
        <w:rPr>
          <w:rFonts w:ascii="Constantia" w:hAnsi="Constantia"/>
          <w:b/>
          <w:bCs/>
          <w:sz w:val="20"/>
          <w:szCs w:val="20"/>
        </w:rPr>
        <w:t> </w:t>
      </w:r>
      <w:r w:rsidR="00CB5E58" w:rsidRPr="00F62E55">
        <w:rPr>
          <w:rFonts w:ascii="Constantia" w:hAnsi="Constantia"/>
          <w:b/>
          <w:bCs/>
          <w:sz w:val="20"/>
          <w:szCs w:val="20"/>
        </w:rPr>
        <w:tab/>
      </w:r>
      <w:r w:rsidR="00CB5E58" w:rsidRPr="00F62E55">
        <w:rPr>
          <w:rFonts w:ascii="Constantia" w:hAnsi="Constantia"/>
          <w:b/>
          <w:bCs/>
          <w:sz w:val="20"/>
          <w:szCs w:val="20"/>
        </w:rPr>
        <w:tab/>
      </w:r>
      <w:r w:rsidR="00CB5E58" w:rsidRPr="00F62E55">
        <w:rPr>
          <w:rFonts w:ascii="Constantia" w:hAnsi="Constantia"/>
          <w:b/>
          <w:bCs/>
          <w:sz w:val="20"/>
          <w:szCs w:val="20"/>
        </w:rPr>
        <w:tab/>
      </w:r>
      <w:r w:rsidR="00CB5E58" w:rsidRPr="00F62E55">
        <w:rPr>
          <w:rFonts w:ascii="Constantia" w:hAnsi="Constantia"/>
          <w:b/>
          <w:bCs/>
          <w:sz w:val="20"/>
          <w:szCs w:val="20"/>
        </w:rPr>
        <w:tab/>
      </w:r>
      <w:r w:rsidRPr="00F62E55">
        <w:rPr>
          <w:rFonts w:ascii="Constantia" w:hAnsi="Constantia"/>
          <w:b/>
          <w:bCs/>
          <w:sz w:val="20"/>
          <w:szCs w:val="20"/>
        </w:rPr>
        <w:t>(5)</w:t>
      </w:r>
      <w:r w:rsidRPr="00F62E55">
        <w:rPr>
          <w:rFonts w:ascii="Constantia" w:hAnsi="Constantia"/>
          <w:b/>
          <w:bCs/>
          <w:sz w:val="20"/>
          <w:szCs w:val="20"/>
        </w:rPr>
        <w:br/>
      </w:r>
      <w:r w:rsidRPr="00F62E55">
        <w:rPr>
          <w:rStyle w:val="Strong"/>
          <w:rFonts w:ascii="Constantia" w:hAnsi="Constantia"/>
          <w:b w:val="0"/>
          <w:bCs w:val="0"/>
          <w:sz w:val="20"/>
          <w:szCs w:val="20"/>
        </w:rPr>
        <w:t xml:space="preserve">CO₂ Emissions </w:t>
      </w:r>
      <w:r w:rsidR="00CB5E58" w:rsidRPr="00F62E55">
        <w:rPr>
          <w:rStyle w:val="Strong"/>
          <w:rFonts w:ascii="Constantia" w:hAnsi="Constantia"/>
          <w:b w:val="0"/>
          <w:bCs w:val="0"/>
          <w:sz w:val="20"/>
          <w:szCs w:val="20"/>
        </w:rPr>
        <w:tab/>
      </w:r>
      <w:r w:rsidR="00CB5E58" w:rsidRPr="00F62E55">
        <w:rPr>
          <w:rStyle w:val="Strong"/>
          <w:rFonts w:ascii="Constantia" w:hAnsi="Constantia"/>
          <w:b w:val="0"/>
          <w:bCs w:val="0"/>
          <w:sz w:val="20"/>
          <w:szCs w:val="20"/>
        </w:rPr>
        <w:tab/>
        <w:t xml:space="preserve"> </w:t>
      </w:r>
      <w:r w:rsidRPr="00F62E55">
        <w:rPr>
          <w:rStyle w:val="Strong"/>
          <w:rFonts w:ascii="Constantia" w:hAnsi="Constantia"/>
          <w:b w:val="0"/>
          <w:bCs w:val="0"/>
          <w:sz w:val="20"/>
          <w:szCs w:val="20"/>
        </w:rPr>
        <w:t>= Total CH₄ Emissions × ((1 – F) / F + OX) × (MR CO₂ / MR CH₄)</w:t>
      </w:r>
      <w:r w:rsidR="00CB5E58" w:rsidRPr="00F62E55">
        <w:rPr>
          <w:rFonts w:ascii="Constantia" w:hAnsi="Constantia"/>
          <w:b/>
          <w:bCs/>
          <w:sz w:val="20"/>
          <w:szCs w:val="20"/>
        </w:rPr>
        <w:t xml:space="preserve">   </w:t>
      </w:r>
      <w:r w:rsidRPr="00F62E55">
        <w:rPr>
          <w:rFonts w:ascii="Constantia" w:hAnsi="Constantia"/>
          <w:b/>
          <w:bCs/>
          <w:sz w:val="20"/>
          <w:szCs w:val="20"/>
        </w:rPr>
        <w:t>(6)</w:t>
      </w:r>
      <w:r w:rsidRPr="00F62E55">
        <w:rPr>
          <w:rFonts w:ascii="Constantia" w:hAnsi="Constantia"/>
          <w:b/>
          <w:bCs/>
          <w:sz w:val="20"/>
          <w:szCs w:val="20"/>
        </w:rPr>
        <w:br/>
      </w:r>
      <w:r w:rsidRPr="00F62E55">
        <w:rPr>
          <w:rStyle w:val="Strong"/>
          <w:rFonts w:ascii="Constantia" w:hAnsi="Constantia"/>
          <w:b w:val="0"/>
          <w:bCs w:val="0"/>
          <w:sz w:val="20"/>
          <w:szCs w:val="20"/>
        </w:rPr>
        <w:t xml:space="preserve">Total Emissions </w:t>
      </w:r>
      <w:r w:rsidR="00CB5E58" w:rsidRPr="00F62E55">
        <w:rPr>
          <w:rStyle w:val="Strong"/>
          <w:rFonts w:ascii="Constantia" w:hAnsi="Constantia"/>
          <w:b w:val="0"/>
          <w:bCs w:val="0"/>
          <w:sz w:val="20"/>
          <w:szCs w:val="20"/>
        </w:rPr>
        <w:tab/>
      </w:r>
      <w:r w:rsidR="00CB5E58" w:rsidRPr="00F62E55">
        <w:rPr>
          <w:rStyle w:val="Strong"/>
          <w:rFonts w:ascii="Constantia" w:hAnsi="Constantia"/>
          <w:b w:val="0"/>
          <w:bCs w:val="0"/>
          <w:sz w:val="20"/>
          <w:szCs w:val="20"/>
        </w:rPr>
        <w:tab/>
        <w:t xml:space="preserve"> </w:t>
      </w:r>
      <w:r w:rsidRPr="00F62E55">
        <w:rPr>
          <w:rStyle w:val="Strong"/>
          <w:rFonts w:ascii="Constantia" w:hAnsi="Constantia"/>
          <w:b w:val="0"/>
          <w:bCs w:val="0"/>
          <w:sz w:val="20"/>
          <w:szCs w:val="20"/>
        </w:rPr>
        <w:t>= (Total CH₄ Emissions + CO₂ Emissions) × 365 days</w:t>
      </w:r>
      <w:r w:rsidRPr="00F62E55">
        <w:rPr>
          <w:rFonts w:ascii="Constantia" w:hAnsi="Constantia"/>
          <w:b/>
          <w:bCs/>
          <w:sz w:val="20"/>
          <w:szCs w:val="20"/>
        </w:rPr>
        <w:t> </w:t>
      </w:r>
      <w:r w:rsidR="00CB5E58" w:rsidRPr="00F62E55">
        <w:rPr>
          <w:rFonts w:ascii="Constantia" w:hAnsi="Constantia"/>
          <w:b/>
          <w:bCs/>
          <w:sz w:val="20"/>
          <w:szCs w:val="20"/>
        </w:rPr>
        <w:tab/>
      </w:r>
      <w:r w:rsidR="00CB5E58" w:rsidRPr="00F62E55">
        <w:rPr>
          <w:rFonts w:ascii="Constantia" w:hAnsi="Constantia"/>
          <w:b/>
          <w:bCs/>
          <w:sz w:val="20"/>
          <w:szCs w:val="20"/>
        </w:rPr>
        <w:tab/>
        <w:t xml:space="preserve"> </w:t>
      </w:r>
      <w:r w:rsidRPr="00F62E55">
        <w:rPr>
          <w:rFonts w:ascii="Constantia" w:hAnsi="Constantia"/>
          <w:b/>
          <w:bCs/>
          <w:sz w:val="20"/>
          <w:szCs w:val="20"/>
        </w:rPr>
        <w:t>(7)</w:t>
      </w:r>
    </w:p>
    <w:p w14:paraId="21A0A0C8" w14:textId="70FC435B" w:rsidR="00A55D70" w:rsidRPr="00105C13" w:rsidRDefault="00A55D70" w:rsidP="00CB5E58">
      <w:pPr>
        <w:pStyle w:val="NormalWeb"/>
        <w:spacing w:before="0" w:beforeAutospacing="0" w:after="0" w:afterAutospacing="0" w:line="276" w:lineRule="auto"/>
        <w:ind w:left="567"/>
        <w:contextualSpacing/>
        <w:rPr>
          <w:rFonts w:ascii="Constantia" w:hAnsi="Constantia"/>
        </w:rPr>
      </w:pPr>
      <w:r w:rsidRPr="00105C13">
        <w:rPr>
          <w:rStyle w:val="Strong"/>
          <w:rFonts w:ascii="Constantia" w:hAnsi="Constantia"/>
          <w:sz w:val="20"/>
          <w:szCs w:val="20"/>
        </w:rPr>
        <w:t>Notes:</w:t>
      </w:r>
      <w:r w:rsidRPr="00105C13">
        <w:rPr>
          <w:rFonts w:ascii="Constantia" w:hAnsi="Constantia"/>
          <w:sz w:val="20"/>
          <w:szCs w:val="20"/>
        </w:rPr>
        <w:br/>
        <w:t>W</w:t>
      </w:r>
      <w:r w:rsidRPr="00105C13">
        <w:rPr>
          <w:rFonts w:ascii="Constantia" w:hAnsi="Constantia"/>
          <w:sz w:val="20"/>
          <w:szCs w:val="20"/>
        </w:rPr>
        <w:t> </w:t>
      </w:r>
      <w:r w:rsidRPr="00105C13">
        <w:rPr>
          <w:rFonts w:ascii="Constantia" w:hAnsi="Constantia"/>
          <w:sz w:val="20"/>
          <w:szCs w:val="20"/>
        </w:rPr>
        <w:t> </w:t>
      </w:r>
      <w:r w:rsidR="00CB5E58">
        <w:rPr>
          <w:rFonts w:ascii="Constantia" w:hAnsi="Constantia"/>
          <w:sz w:val="20"/>
          <w:szCs w:val="20"/>
        </w:rPr>
        <w:tab/>
      </w:r>
      <w:r w:rsidRPr="00105C13">
        <w:rPr>
          <w:rFonts w:ascii="Constantia" w:hAnsi="Constantia"/>
          <w:sz w:val="20"/>
          <w:szCs w:val="20"/>
        </w:rPr>
        <w:t>: Weight of waste composition</w:t>
      </w:r>
      <w:r w:rsidRPr="00105C13">
        <w:rPr>
          <w:rFonts w:ascii="Constantia" w:hAnsi="Constantia"/>
          <w:sz w:val="20"/>
          <w:szCs w:val="20"/>
        </w:rPr>
        <w:br/>
        <w:t>MCF</w:t>
      </w:r>
      <w:r w:rsidRPr="00105C13">
        <w:rPr>
          <w:rFonts w:ascii="Constantia" w:hAnsi="Constantia"/>
          <w:sz w:val="20"/>
          <w:szCs w:val="20"/>
        </w:rPr>
        <w:t> </w:t>
      </w:r>
      <w:r w:rsidR="00CB5E58">
        <w:rPr>
          <w:rFonts w:ascii="Constantia" w:hAnsi="Constantia"/>
          <w:sz w:val="20"/>
          <w:szCs w:val="20"/>
        </w:rPr>
        <w:tab/>
      </w:r>
      <w:r w:rsidRPr="00105C13">
        <w:rPr>
          <w:rFonts w:ascii="Constantia" w:hAnsi="Constantia"/>
          <w:sz w:val="20"/>
          <w:szCs w:val="20"/>
        </w:rPr>
        <w:t>: Methane correction factor, 0.8</w:t>
      </w:r>
      <w:r w:rsidRPr="00105C13">
        <w:rPr>
          <w:rFonts w:ascii="Constantia" w:hAnsi="Constantia"/>
          <w:sz w:val="20"/>
          <w:szCs w:val="20"/>
        </w:rPr>
        <w:br/>
        <w:t>DOC</w:t>
      </w:r>
      <w:r w:rsidRPr="00105C13">
        <w:rPr>
          <w:rFonts w:ascii="Constantia" w:hAnsi="Constantia"/>
          <w:sz w:val="20"/>
          <w:szCs w:val="20"/>
        </w:rPr>
        <w:t> </w:t>
      </w:r>
      <w:r w:rsidR="00CB5E58">
        <w:rPr>
          <w:rFonts w:ascii="Constantia" w:hAnsi="Constantia"/>
          <w:sz w:val="20"/>
          <w:szCs w:val="20"/>
        </w:rPr>
        <w:tab/>
      </w:r>
      <w:r w:rsidRPr="00105C13">
        <w:rPr>
          <w:rFonts w:ascii="Constantia" w:hAnsi="Constantia"/>
          <w:sz w:val="20"/>
          <w:szCs w:val="20"/>
        </w:rPr>
        <w:t>: Degradable Organic Carbon, IPCC default value</w:t>
      </w:r>
      <w:r w:rsidRPr="00105C13">
        <w:rPr>
          <w:rFonts w:ascii="Constantia" w:hAnsi="Constantia"/>
          <w:sz w:val="20"/>
          <w:szCs w:val="20"/>
        </w:rPr>
        <w:br/>
        <w:t>DDOCm</w:t>
      </w:r>
      <w:r w:rsidR="00CB5E58">
        <w:rPr>
          <w:rFonts w:ascii="Constantia" w:hAnsi="Constantia"/>
          <w:sz w:val="20"/>
          <w:szCs w:val="20"/>
        </w:rPr>
        <w:tab/>
      </w:r>
      <w:r w:rsidRPr="00105C13">
        <w:rPr>
          <w:rFonts w:ascii="Constantia" w:hAnsi="Constantia"/>
          <w:sz w:val="20"/>
          <w:szCs w:val="20"/>
        </w:rPr>
        <w:t>: Mass of decomposable DOC</w:t>
      </w:r>
      <w:r w:rsidRPr="00105C13">
        <w:rPr>
          <w:rFonts w:ascii="Constantia" w:hAnsi="Constantia"/>
          <w:sz w:val="20"/>
          <w:szCs w:val="20"/>
        </w:rPr>
        <w:br/>
        <w:t>DOCf</w:t>
      </w:r>
      <w:r w:rsidRPr="00105C13">
        <w:rPr>
          <w:rFonts w:ascii="Constantia" w:hAnsi="Constantia"/>
          <w:sz w:val="20"/>
          <w:szCs w:val="20"/>
        </w:rPr>
        <w:t> </w:t>
      </w:r>
      <w:r w:rsidR="00CB5E58">
        <w:rPr>
          <w:rFonts w:ascii="Constantia" w:hAnsi="Constantia"/>
          <w:sz w:val="20"/>
          <w:szCs w:val="20"/>
        </w:rPr>
        <w:tab/>
      </w:r>
      <w:r w:rsidRPr="00105C13">
        <w:rPr>
          <w:rFonts w:ascii="Constantia" w:hAnsi="Constantia"/>
          <w:sz w:val="20"/>
          <w:szCs w:val="20"/>
        </w:rPr>
        <w:t>: Default DOCf value for Indonesia is 0.5</w:t>
      </w:r>
      <w:r w:rsidRPr="00105C13">
        <w:rPr>
          <w:rFonts w:ascii="Constantia" w:hAnsi="Constantia"/>
          <w:sz w:val="20"/>
          <w:szCs w:val="20"/>
        </w:rPr>
        <w:br/>
        <w:t>F</w:t>
      </w:r>
      <w:r w:rsidRPr="00105C13">
        <w:rPr>
          <w:rFonts w:ascii="Constantia" w:hAnsi="Constantia"/>
          <w:sz w:val="20"/>
          <w:szCs w:val="20"/>
        </w:rPr>
        <w:t> </w:t>
      </w:r>
      <w:r w:rsidRPr="00105C13">
        <w:rPr>
          <w:rFonts w:ascii="Constantia" w:hAnsi="Constantia"/>
          <w:sz w:val="20"/>
          <w:szCs w:val="20"/>
        </w:rPr>
        <w:t> </w:t>
      </w:r>
      <w:r w:rsidR="00CB5E58">
        <w:rPr>
          <w:rFonts w:ascii="Constantia" w:hAnsi="Constantia"/>
          <w:sz w:val="20"/>
          <w:szCs w:val="20"/>
        </w:rPr>
        <w:tab/>
      </w:r>
      <w:r w:rsidRPr="00105C13">
        <w:rPr>
          <w:rFonts w:ascii="Constantia" w:hAnsi="Constantia"/>
          <w:sz w:val="20"/>
          <w:szCs w:val="20"/>
        </w:rPr>
        <w:t>: Default value of 0.5 for methane fraction in landfill gas</w:t>
      </w:r>
      <w:r w:rsidRPr="00105C13">
        <w:rPr>
          <w:rFonts w:ascii="Constantia" w:hAnsi="Constantia"/>
          <w:sz w:val="20"/>
          <w:szCs w:val="20"/>
        </w:rPr>
        <w:br/>
        <w:t>R</w:t>
      </w:r>
      <w:r w:rsidRPr="00105C13">
        <w:rPr>
          <w:rFonts w:ascii="Constantia" w:hAnsi="Constantia"/>
          <w:sz w:val="20"/>
          <w:szCs w:val="20"/>
        </w:rPr>
        <w:t> </w:t>
      </w:r>
      <w:r w:rsidRPr="00105C13">
        <w:rPr>
          <w:rFonts w:ascii="Constantia" w:hAnsi="Constantia"/>
          <w:sz w:val="20"/>
          <w:szCs w:val="20"/>
        </w:rPr>
        <w:t> </w:t>
      </w:r>
      <w:r w:rsidR="00CB5E58">
        <w:rPr>
          <w:rFonts w:ascii="Constantia" w:hAnsi="Constantia"/>
          <w:sz w:val="20"/>
          <w:szCs w:val="20"/>
        </w:rPr>
        <w:tab/>
      </w:r>
      <w:r w:rsidRPr="00105C13">
        <w:rPr>
          <w:rFonts w:ascii="Constantia" w:hAnsi="Constantia"/>
          <w:sz w:val="20"/>
          <w:szCs w:val="20"/>
        </w:rPr>
        <w:t xml:space="preserve">: </w:t>
      </w:r>
      <w:r w:rsidR="00CB5E58">
        <w:rPr>
          <w:rFonts w:ascii="Constantia" w:hAnsi="Constantia"/>
          <w:sz w:val="20"/>
          <w:szCs w:val="20"/>
        </w:rPr>
        <w:t>Zero (0)</w:t>
      </w:r>
      <w:r w:rsidRPr="00105C13">
        <w:rPr>
          <w:rFonts w:ascii="Constantia" w:hAnsi="Constantia"/>
          <w:sz w:val="20"/>
          <w:szCs w:val="20"/>
        </w:rPr>
        <w:t>, as Indonesia does not yet have CH₄ treatment facilities</w:t>
      </w:r>
      <w:r w:rsidRPr="00105C13">
        <w:rPr>
          <w:rFonts w:ascii="Constantia" w:hAnsi="Constantia"/>
          <w:sz w:val="20"/>
          <w:szCs w:val="20"/>
        </w:rPr>
        <w:br/>
        <w:t>OX</w:t>
      </w:r>
      <w:r w:rsidRPr="00105C13">
        <w:rPr>
          <w:rFonts w:ascii="Constantia" w:hAnsi="Constantia"/>
          <w:sz w:val="20"/>
          <w:szCs w:val="20"/>
        </w:rPr>
        <w:t> </w:t>
      </w:r>
      <w:r w:rsidR="00CB5E58">
        <w:rPr>
          <w:rFonts w:ascii="Constantia" w:hAnsi="Constantia"/>
          <w:sz w:val="20"/>
          <w:szCs w:val="20"/>
        </w:rPr>
        <w:tab/>
      </w:r>
      <w:r w:rsidRPr="00105C13">
        <w:rPr>
          <w:rFonts w:ascii="Constantia" w:hAnsi="Constantia"/>
          <w:sz w:val="20"/>
          <w:szCs w:val="20"/>
        </w:rPr>
        <w:t>: Default oxidation factor, 0.1</w:t>
      </w:r>
      <w:r w:rsidRPr="00105C13">
        <w:rPr>
          <w:rFonts w:ascii="Constantia" w:hAnsi="Constantia"/>
          <w:sz w:val="20"/>
          <w:szCs w:val="20"/>
        </w:rPr>
        <w:br/>
        <w:t>16/12</w:t>
      </w:r>
      <w:r w:rsidRPr="00105C13">
        <w:rPr>
          <w:rFonts w:ascii="Constantia" w:hAnsi="Constantia"/>
          <w:sz w:val="20"/>
          <w:szCs w:val="20"/>
        </w:rPr>
        <w:t> </w:t>
      </w:r>
      <w:r w:rsidR="00CB5E58">
        <w:rPr>
          <w:rFonts w:ascii="Constantia" w:hAnsi="Constantia"/>
          <w:sz w:val="20"/>
          <w:szCs w:val="20"/>
        </w:rPr>
        <w:tab/>
      </w:r>
      <w:r w:rsidRPr="00105C13">
        <w:rPr>
          <w:rFonts w:ascii="Constantia" w:hAnsi="Constantia"/>
          <w:sz w:val="20"/>
          <w:szCs w:val="20"/>
        </w:rPr>
        <w:t>: Molecular weight ratio of CH₄/C</w:t>
      </w:r>
      <w:r w:rsidRPr="00105C13">
        <w:rPr>
          <w:rFonts w:ascii="Constantia" w:hAnsi="Constantia"/>
          <w:sz w:val="20"/>
          <w:szCs w:val="20"/>
        </w:rPr>
        <w:br/>
        <w:t>16/44</w:t>
      </w:r>
      <w:r w:rsidRPr="00105C13">
        <w:rPr>
          <w:rFonts w:ascii="Constantia" w:hAnsi="Constantia"/>
          <w:sz w:val="20"/>
          <w:szCs w:val="20"/>
        </w:rPr>
        <w:t> </w:t>
      </w:r>
      <w:r w:rsidR="00CB5E58">
        <w:rPr>
          <w:rFonts w:ascii="Constantia" w:hAnsi="Constantia"/>
          <w:sz w:val="20"/>
          <w:szCs w:val="20"/>
        </w:rPr>
        <w:tab/>
      </w:r>
      <w:r w:rsidRPr="00105C13">
        <w:rPr>
          <w:rFonts w:ascii="Constantia" w:hAnsi="Constantia"/>
          <w:sz w:val="20"/>
          <w:szCs w:val="20"/>
        </w:rPr>
        <w:t xml:space="preserve">: MR CH₄ / MR </w:t>
      </w:r>
      <w:r w:rsidRPr="00105C13">
        <w:rPr>
          <w:rFonts w:ascii="Constantia" w:hAnsi="Constantia"/>
        </w:rPr>
        <w:t>CO₂</w:t>
      </w:r>
    </w:p>
    <w:p w14:paraId="77CB8B02" w14:textId="41085985" w:rsidR="001913C6" w:rsidRPr="00105C13" w:rsidRDefault="001913C6" w:rsidP="00992707">
      <w:pPr>
        <w:pStyle w:val="ListParagraph"/>
        <w:spacing w:after="0" w:line="240" w:lineRule="auto"/>
        <w:ind w:left="284"/>
        <w:jc w:val="both"/>
        <w:rPr>
          <w:rFonts w:ascii="Constantia" w:hAnsi="Constantia" w:cs="Times New Roman"/>
          <w:b/>
          <w:bCs/>
          <w:sz w:val="20"/>
          <w:szCs w:val="20"/>
        </w:rPr>
      </w:pPr>
    </w:p>
    <w:p w14:paraId="785F07DF" w14:textId="2AF0ACBF" w:rsidR="00BB6E74" w:rsidRPr="00105C13" w:rsidRDefault="00BB6E74" w:rsidP="00CB5E58">
      <w:pPr>
        <w:pStyle w:val="ListParagraph"/>
        <w:spacing w:after="0" w:line="240" w:lineRule="auto"/>
        <w:ind w:left="567" w:hanging="567"/>
        <w:jc w:val="both"/>
        <w:rPr>
          <w:rFonts w:ascii="Constantia" w:hAnsi="Constantia" w:cs="Times New Roman"/>
          <w:b/>
          <w:bCs/>
          <w:sz w:val="24"/>
          <w:szCs w:val="24"/>
        </w:rPr>
      </w:pPr>
      <w:r w:rsidRPr="00105C13">
        <w:rPr>
          <w:rFonts w:ascii="Constantia" w:hAnsi="Constantia" w:cs="Times New Roman"/>
          <w:b/>
          <w:bCs/>
          <w:sz w:val="24"/>
          <w:szCs w:val="24"/>
        </w:rPr>
        <w:t xml:space="preserve">2.4 </w:t>
      </w:r>
      <w:r w:rsidR="00CB5E58">
        <w:rPr>
          <w:rFonts w:ascii="Constantia" w:hAnsi="Constantia" w:cs="Times New Roman"/>
          <w:b/>
          <w:bCs/>
          <w:sz w:val="24"/>
          <w:szCs w:val="24"/>
        </w:rPr>
        <w:tab/>
      </w:r>
      <w:r w:rsidR="00CB694D" w:rsidRPr="00105C13">
        <w:rPr>
          <w:rFonts w:ascii="Constantia" w:hAnsi="Constantia" w:cs="Times New Roman"/>
          <w:b/>
          <w:bCs/>
          <w:sz w:val="24"/>
          <w:szCs w:val="24"/>
        </w:rPr>
        <w:t>Calculation of Recovery Factor</w:t>
      </w:r>
    </w:p>
    <w:p w14:paraId="2B4D9A11" w14:textId="69DF3DD2" w:rsidR="00CB694D" w:rsidRPr="00105C13" w:rsidRDefault="00CB694D" w:rsidP="00CB5E58">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 xml:space="preserve">According to Tchobanoglous (2002), waste has the potential for recycling, commonly referred to as the recovery factor. The determination of the recovery factor for each waste composition at PPNS is </w:t>
      </w:r>
      <w:r w:rsidRPr="00105C13">
        <w:rPr>
          <w:rFonts w:ascii="Constantia" w:hAnsi="Constantia" w:cs="Times New Roman"/>
          <w:sz w:val="20"/>
          <w:szCs w:val="20"/>
        </w:rPr>
        <w:lastRenderedPageBreak/>
        <w:t xml:space="preserve">conducted through direct field observations while adhering to the reference values established by Kreith and Tchobanoglous (2002). The recovery factor can be calculated using the following formula: </w:t>
      </w:r>
    </w:p>
    <w:p w14:paraId="6FEF82DF" w14:textId="78954E90" w:rsidR="00BB6E74" w:rsidRPr="00105C13" w:rsidRDefault="00BB6E74" w:rsidP="00CB5E58">
      <w:pPr>
        <w:pStyle w:val="ListParagraph"/>
        <w:spacing w:after="0" w:line="276" w:lineRule="auto"/>
        <w:ind w:left="0" w:firstLine="567"/>
        <w:jc w:val="both"/>
        <w:rPr>
          <w:rFonts w:ascii="Constantia" w:eastAsiaTheme="minorEastAsia" w:hAnsi="Constantia" w:cs="Times New Roman"/>
          <w:sz w:val="20"/>
          <w:szCs w:val="20"/>
        </w:rPr>
      </w:pPr>
      <w:r w:rsidRPr="00105C13">
        <w:rPr>
          <w:rFonts w:ascii="Constantia" w:hAnsi="Constantia" w:cs="Times New Roman"/>
          <w:sz w:val="24"/>
          <w:szCs w:val="24"/>
        </w:rPr>
        <w:t>%RF</w:t>
      </w:r>
      <w:r w:rsidR="006643EB" w:rsidRPr="00105C13">
        <w:rPr>
          <w:rFonts w:ascii="Constantia" w:hAnsi="Constantia" w:cs="Times New Roman"/>
          <w:sz w:val="24"/>
          <w:szCs w:val="24"/>
        </w:rPr>
        <w:t xml:space="preserve"> </w:t>
      </w:r>
      <w:r w:rsidRPr="00105C13">
        <w:rPr>
          <w:rFonts w:ascii="Constantia" w:hAnsi="Constantia"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Final Waste Mass</m:t>
            </m:r>
          </m:num>
          <m:den>
            <m:r>
              <w:rPr>
                <w:rFonts w:ascii="Cambria Math" w:hAnsi="Cambria Math" w:cs="Times New Roman"/>
                <w:sz w:val="24"/>
                <w:szCs w:val="24"/>
              </w:rPr>
              <m:t>Initial Waste Mass</m:t>
            </m:r>
          </m:den>
        </m:f>
      </m:oMath>
      <w:r w:rsidRPr="00105C13">
        <w:rPr>
          <w:rFonts w:ascii="Constantia" w:eastAsiaTheme="minorEastAsia" w:hAnsi="Constantia" w:cs="Times New Roman"/>
          <w:sz w:val="24"/>
          <w:szCs w:val="24"/>
        </w:rPr>
        <w:t xml:space="preserve"> x 100%</w:t>
      </w:r>
      <w:r w:rsidRPr="00105C13">
        <w:rPr>
          <w:rFonts w:ascii="Constantia" w:eastAsiaTheme="minorEastAsia" w:hAnsi="Constantia" w:cs="Times New Roman"/>
          <w:sz w:val="24"/>
          <w:szCs w:val="24"/>
        </w:rPr>
        <w:tab/>
      </w:r>
      <w:r w:rsidRPr="00105C13">
        <w:rPr>
          <w:rFonts w:ascii="Constantia" w:eastAsiaTheme="minorEastAsia" w:hAnsi="Constantia" w:cs="Times New Roman"/>
          <w:sz w:val="20"/>
          <w:szCs w:val="20"/>
          <w:lang w:val="sv-SE"/>
        </w:rPr>
        <w:t>(7</w:t>
      </w:r>
      <w:r w:rsidRPr="00105C13">
        <w:rPr>
          <w:rFonts w:ascii="Constantia" w:eastAsiaTheme="minorEastAsia" w:hAnsi="Constantia" w:cs="Times New Roman"/>
          <w:sz w:val="20"/>
          <w:szCs w:val="20"/>
        </w:rPr>
        <w:t>)</w:t>
      </w:r>
    </w:p>
    <w:p w14:paraId="23133009" w14:textId="429F4973" w:rsidR="006643EB" w:rsidRPr="00105C13" w:rsidRDefault="006643EB" w:rsidP="00CB5E58">
      <w:pPr>
        <w:spacing w:after="0" w:line="276" w:lineRule="auto"/>
        <w:ind w:firstLine="567"/>
        <w:jc w:val="both"/>
        <w:rPr>
          <w:rFonts w:ascii="Constantia" w:hAnsi="Constantia" w:cs="Times New Roman"/>
          <w:sz w:val="20"/>
          <w:szCs w:val="20"/>
        </w:rPr>
      </w:pPr>
      <w:r w:rsidRPr="00105C13">
        <w:rPr>
          <w:rFonts w:ascii="Constantia" w:hAnsi="Constantia" w:cs="Times New Roman"/>
          <w:sz w:val="20"/>
          <w:szCs w:val="20"/>
        </w:rPr>
        <w:tab/>
      </w:r>
      <w:r w:rsidR="00CB694D" w:rsidRPr="00105C13">
        <w:rPr>
          <w:rFonts w:ascii="Constantia" w:hAnsi="Constantia" w:cs="Times New Roman"/>
          <w:sz w:val="20"/>
          <w:szCs w:val="20"/>
        </w:rPr>
        <w:t>Determining the recovery factor is the process of identifying the percentage of waste mass that can potentially be recovered (such as through recycling, composting, or reuse) from the total waste mass generated (Dwi et al., 2024). The explanation is as follows:</w:t>
      </w:r>
    </w:p>
    <w:p w14:paraId="257189FA" w14:textId="77777777" w:rsidR="00A55D70" w:rsidRPr="00F62E55" w:rsidRDefault="00A55D70" w:rsidP="00F62E55">
      <w:pPr>
        <w:spacing w:after="0" w:line="276" w:lineRule="auto"/>
        <w:jc w:val="both"/>
        <w:rPr>
          <w:rFonts w:ascii="Constantia" w:hAnsi="Constantia" w:cs="Times New Roman"/>
          <w:sz w:val="20"/>
          <w:szCs w:val="20"/>
          <w:lang w:val="en-ID"/>
        </w:rPr>
      </w:pPr>
      <w:r w:rsidRPr="00F62E55">
        <w:rPr>
          <w:rFonts w:ascii="Constantia" w:hAnsi="Constantia" w:cs="Times New Roman"/>
          <w:sz w:val="20"/>
          <w:szCs w:val="20"/>
          <w:lang w:val="en-ID"/>
        </w:rPr>
        <w:t>Total Waste Mass: The total weight of waste collected from its source (e.g., within the PPNS environment) before any sorting is conducted.</w:t>
      </w:r>
    </w:p>
    <w:p w14:paraId="43794294" w14:textId="3869D71C" w:rsidR="00A55D70" w:rsidRPr="00105C13" w:rsidRDefault="00A55D70" w:rsidP="00F62E55">
      <w:pPr>
        <w:spacing w:after="0" w:line="276" w:lineRule="auto"/>
        <w:jc w:val="both"/>
        <w:rPr>
          <w:rFonts w:ascii="Constantia" w:hAnsi="Constantia" w:cs="Times New Roman"/>
          <w:sz w:val="20"/>
          <w:szCs w:val="20"/>
          <w:lang w:val="en-ID"/>
        </w:rPr>
      </w:pPr>
      <w:r w:rsidRPr="00F62E55">
        <w:rPr>
          <w:rFonts w:ascii="Constantia" w:hAnsi="Constantia" w:cs="Times New Roman"/>
          <w:sz w:val="20"/>
          <w:szCs w:val="20"/>
          <w:lang w:val="en-ID"/>
        </w:rPr>
        <w:t>Recoverable Waste Mass:</w:t>
      </w:r>
      <w:r w:rsidRPr="00105C13">
        <w:rPr>
          <w:rFonts w:ascii="Constantia" w:hAnsi="Constantia" w:cs="Times New Roman"/>
          <w:sz w:val="20"/>
          <w:szCs w:val="20"/>
          <w:lang w:val="en-ID"/>
        </w:rPr>
        <w:t xml:space="preserve"> The weight of waste components that are technically and economically feasible to recover. This category typically consists of materials with economic value or reuse potential, such as:</w:t>
      </w:r>
      <w:r w:rsidR="00F62E55">
        <w:rPr>
          <w:rFonts w:ascii="Constantia" w:hAnsi="Constantia" w:cs="Times New Roman"/>
          <w:sz w:val="20"/>
          <w:szCs w:val="20"/>
          <w:lang w:val="en-ID"/>
        </w:rPr>
        <w:t xml:space="preserve"> </w:t>
      </w:r>
      <w:r w:rsidRPr="00105C13">
        <w:rPr>
          <w:rFonts w:ascii="Constantia" w:hAnsi="Constantia" w:cs="Times New Roman"/>
          <w:sz w:val="20"/>
          <w:szCs w:val="20"/>
          <w:lang w:val="en-ID"/>
        </w:rPr>
        <w:t>Plastics (bottles, packaging)</w:t>
      </w:r>
      <w:r w:rsidR="00F62E55">
        <w:rPr>
          <w:rFonts w:ascii="Constantia" w:hAnsi="Constantia" w:cs="Times New Roman"/>
          <w:sz w:val="20"/>
          <w:szCs w:val="20"/>
          <w:lang w:val="en-ID"/>
        </w:rPr>
        <w:t xml:space="preserve">, </w:t>
      </w:r>
      <w:r w:rsidRPr="00105C13">
        <w:rPr>
          <w:rFonts w:ascii="Constantia" w:hAnsi="Constantia" w:cs="Times New Roman"/>
          <w:sz w:val="20"/>
          <w:szCs w:val="20"/>
          <w:lang w:val="en-ID"/>
        </w:rPr>
        <w:t>Paper and cardboard</w:t>
      </w:r>
      <w:r w:rsidR="00F62E55">
        <w:rPr>
          <w:rFonts w:ascii="Constantia" w:hAnsi="Constantia" w:cs="Times New Roman"/>
          <w:sz w:val="20"/>
          <w:szCs w:val="20"/>
          <w:lang w:val="en-ID"/>
        </w:rPr>
        <w:t xml:space="preserve">, </w:t>
      </w:r>
      <w:r w:rsidRPr="00105C13">
        <w:rPr>
          <w:rFonts w:ascii="Constantia" w:hAnsi="Constantia" w:cs="Times New Roman"/>
          <w:sz w:val="20"/>
          <w:szCs w:val="20"/>
          <w:lang w:val="en-ID"/>
        </w:rPr>
        <w:t>Metals (iron, aluminum)</w:t>
      </w:r>
      <w:r w:rsidR="00F62E55">
        <w:rPr>
          <w:rFonts w:ascii="Constantia" w:hAnsi="Constantia" w:cs="Times New Roman"/>
          <w:sz w:val="20"/>
          <w:szCs w:val="20"/>
          <w:lang w:val="en-ID"/>
        </w:rPr>
        <w:t xml:space="preserve">, </w:t>
      </w:r>
      <w:r w:rsidRPr="00105C13">
        <w:rPr>
          <w:rFonts w:ascii="Constantia" w:hAnsi="Constantia" w:cs="Times New Roman"/>
          <w:sz w:val="20"/>
          <w:szCs w:val="20"/>
          <w:lang w:val="en-ID"/>
        </w:rPr>
        <w:t>Glass</w:t>
      </w:r>
      <w:r w:rsidR="00F62E55">
        <w:rPr>
          <w:rFonts w:ascii="Constantia" w:hAnsi="Constantia" w:cs="Times New Roman"/>
          <w:sz w:val="20"/>
          <w:szCs w:val="20"/>
          <w:lang w:val="en-ID"/>
        </w:rPr>
        <w:t xml:space="preserve"> and </w:t>
      </w:r>
      <w:r w:rsidRPr="00105C13">
        <w:rPr>
          <w:rFonts w:ascii="Constantia" w:hAnsi="Constantia" w:cs="Times New Roman"/>
          <w:sz w:val="20"/>
          <w:szCs w:val="20"/>
          <w:lang w:val="en-ID"/>
        </w:rPr>
        <w:t>Organic waste (for composting)</w:t>
      </w:r>
    </w:p>
    <w:p w14:paraId="1DFC1384" w14:textId="77777777" w:rsidR="00A55D70" w:rsidRPr="00105C13" w:rsidRDefault="00A55D70" w:rsidP="00CB5E58">
      <w:pPr>
        <w:spacing w:after="0" w:line="276" w:lineRule="auto"/>
        <w:ind w:firstLine="567"/>
        <w:jc w:val="both"/>
        <w:rPr>
          <w:rFonts w:ascii="Constantia" w:hAnsi="Constantia" w:cs="Times New Roman"/>
          <w:sz w:val="20"/>
          <w:szCs w:val="20"/>
          <w:lang w:val="en-ID"/>
        </w:rPr>
      </w:pPr>
      <w:r w:rsidRPr="00105C13">
        <w:rPr>
          <w:rFonts w:ascii="Constantia" w:hAnsi="Constantia" w:cs="Times New Roman"/>
          <w:sz w:val="20"/>
          <w:szCs w:val="20"/>
          <w:lang w:val="en-ID"/>
        </w:rPr>
        <w:t>By calculating the recovery factor percentage, it is possible to determine the potential extent of waste reduction achievable through recycling and material recovery activities. A high %RF value indicates that a significant portion of the generated waste still possesses economic value and can be diverted from final disposal (landfill), thereby supporting the implementation of sustainable waste management principles.</w:t>
      </w:r>
    </w:p>
    <w:p w14:paraId="00CD61C9" w14:textId="622D11BE" w:rsidR="00143433" w:rsidRPr="00105C13" w:rsidRDefault="00143433" w:rsidP="00143433">
      <w:pPr>
        <w:spacing w:after="0" w:line="276" w:lineRule="auto"/>
        <w:jc w:val="both"/>
        <w:rPr>
          <w:rFonts w:ascii="Constantia" w:hAnsi="Constantia" w:cs="Times New Roman"/>
          <w:sz w:val="24"/>
          <w:szCs w:val="24"/>
        </w:rPr>
      </w:pPr>
    </w:p>
    <w:p w14:paraId="760E88ED" w14:textId="16B07990" w:rsidR="00143433" w:rsidRPr="00F62E55" w:rsidRDefault="00143433" w:rsidP="00F62E55">
      <w:pPr>
        <w:spacing w:after="0" w:line="240" w:lineRule="auto"/>
        <w:ind w:left="567" w:hanging="567"/>
        <w:jc w:val="both"/>
        <w:rPr>
          <w:rFonts w:ascii="Constantia" w:hAnsi="Constantia" w:cs="Times New Roman"/>
          <w:b/>
          <w:bCs/>
          <w:sz w:val="24"/>
          <w:szCs w:val="24"/>
        </w:rPr>
      </w:pPr>
      <w:r w:rsidRPr="00F62E55">
        <w:rPr>
          <w:rFonts w:ascii="Constantia" w:hAnsi="Constantia" w:cs="Times New Roman"/>
          <w:b/>
          <w:bCs/>
          <w:sz w:val="24"/>
          <w:szCs w:val="24"/>
        </w:rPr>
        <w:t>2.5</w:t>
      </w:r>
      <w:r w:rsidR="00F62E55">
        <w:rPr>
          <w:rFonts w:ascii="Constantia" w:hAnsi="Constantia" w:cs="Times New Roman"/>
          <w:b/>
          <w:bCs/>
          <w:sz w:val="24"/>
          <w:szCs w:val="24"/>
        </w:rPr>
        <w:tab/>
      </w:r>
      <w:r w:rsidR="00CB694D" w:rsidRPr="00F62E55">
        <w:rPr>
          <w:rFonts w:ascii="Constantia" w:hAnsi="Constantia" w:cs="Times New Roman"/>
          <w:b/>
          <w:bCs/>
          <w:sz w:val="24"/>
          <w:szCs w:val="24"/>
        </w:rPr>
        <w:t>Emision Mapping</w:t>
      </w:r>
    </w:p>
    <w:p w14:paraId="13031E17" w14:textId="08019CCD" w:rsidR="00BB6E74" w:rsidRPr="00105C13" w:rsidRDefault="00CB694D" w:rsidP="00F62E55">
      <w:pPr>
        <w:pStyle w:val="ListParagraph"/>
        <w:spacing w:after="0" w:line="276" w:lineRule="auto"/>
        <w:ind w:left="0" w:firstLine="567"/>
        <w:jc w:val="both"/>
        <w:rPr>
          <w:rFonts w:ascii="Constantia" w:hAnsi="Constantia" w:cs="Times New Roman"/>
          <w:i/>
          <w:iCs/>
          <w:sz w:val="20"/>
          <w:szCs w:val="20"/>
        </w:rPr>
      </w:pPr>
      <w:r w:rsidRPr="00105C13">
        <w:rPr>
          <w:rFonts w:ascii="Constantia" w:hAnsi="Constantia" w:cs="Times New Roman"/>
          <w:sz w:val="20"/>
          <w:szCs w:val="20"/>
        </w:rPr>
        <w:t>The mapping of emissions data calculated using the formulas in accordance with the IPCC Guidelines will be represented using AutoCAD software. The results of these calculations will be mapped based on frequency distribution calculations. The following describes the process for determining the range and number of colors used for mapping carbon footprints:</w:t>
      </w:r>
    </w:p>
    <w:p w14:paraId="03EF0349" w14:textId="77777777" w:rsidR="009420E4" w:rsidRDefault="00CB694D" w:rsidP="00F62E55">
      <w:pPr>
        <w:spacing w:after="0" w:line="276" w:lineRule="auto"/>
        <w:jc w:val="both"/>
        <w:rPr>
          <w:rFonts w:ascii="Constantia" w:hAnsi="Constantia"/>
          <w:sz w:val="20"/>
          <w:szCs w:val="20"/>
        </w:rPr>
      </w:pPr>
      <w:r w:rsidRPr="00105C13">
        <w:rPr>
          <w:rFonts w:ascii="Constantia" w:hAnsi="Constantia"/>
          <w:sz w:val="20"/>
          <w:szCs w:val="20"/>
        </w:rPr>
        <w:t xml:space="preserve">Determining the Range </w:t>
      </w:r>
      <w:r w:rsidR="00E97E9D" w:rsidRPr="00105C13">
        <w:rPr>
          <w:rFonts w:ascii="Constantia" w:hAnsi="Constantia"/>
          <w:sz w:val="20"/>
          <w:szCs w:val="20"/>
        </w:rPr>
        <w:t>(</w:t>
      </w:r>
      <w:r w:rsidR="00E97E9D" w:rsidRPr="00105C13">
        <w:rPr>
          <w:rFonts w:ascii="Constantia" w:hAnsi="Constantia"/>
          <w:i/>
          <w:iCs/>
          <w:sz w:val="20"/>
          <w:szCs w:val="20"/>
        </w:rPr>
        <w:t>Range</w:t>
      </w:r>
      <w:r w:rsidR="00E97E9D" w:rsidRPr="00105C13">
        <w:rPr>
          <w:rFonts w:ascii="Constantia" w:hAnsi="Constantia"/>
          <w:sz w:val="20"/>
          <w:szCs w:val="20"/>
        </w:rPr>
        <w:t xml:space="preserve">) </w:t>
      </w:r>
      <w:r w:rsidR="00F62E55">
        <w:rPr>
          <w:rFonts w:ascii="Constantia" w:hAnsi="Constantia"/>
          <w:sz w:val="20"/>
          <w:szCs w:val="20"/>
        </w:rPr>
        <w:t xml:space="preserve">= </w:t>
      </w:r>
    </w:p>
    <w:p w14:paraId="625C12D2" w14:textId="452859C4" w:rsidR="00E97E9D" w:rsidRPr="00105C13" w:rsidRDefault="00E97E9D" w:rsidP="00F62E55">
      <w:pPr>
        <w:spacing w:after="0" w:line="276" w:lineRule="auto"/>
        <w:jc w:val="both"/>
        <w:rPr>
          <w:rFonts w:ascii="Constantia" w:hAnsi="Constantia"/>
          <w:sz w:val="20"/>
          <w:szCs w:val="20"/>
        </w:rPr>
      </w:pPr>
      <w:r w:rsidRPr="00105C13">
        <w:rPr>
          <w:rFonts w:ascii="Constantia" w:hAnsi="Constantia"/>
          <w:sz w:val="20"/>
          <w:szCs w:val="20"/>
        </w:rPr>
        <w:t>Jangkauan</w:t>
      </w:r>
      <w:r w:rsidR="00F62E55">
        <w:rPr>
          <w:rFonts w:ascii="Constantia" w:hAnsi="Constantia"/>
          <w:sz w:val="20"/>
          <w:szCs w:val="20"/>
        </w:rPr>
        <w:t xml:space="preserve"> </w:t>
      </w:r>
      <w:r w:rsidRPr="00105C13">
        <w:rPr>
          <w:rFonts w:ascii="Constantia" w:hAnsi="Constantia"/>
          <w:sz w:val="20"/>
          <w:szCs w:val="20"/>
        </w:rPr>
        <w:t>(</w:t>
      </w:r>
      <w:r w:rsidRPr="00105C13">
        <w:rPr>
          <w:rFonts w:ascii="Constantia" w:hAnsi="Constantia"/>
          <w:i/>
          <w:iCs/>
          <w:sz w:val="20"/>
          <w:szCs w:val="20"/>
        </w:rPr>
        <w:t>Range</w:t>
      </w:r>
      <w:r w:rsidRPr="00105C13">
        <w:rPr>
          <w:rFonts w:ascii="Constantia" w:hAnsi="Constantia"/>
          <w:sz w:val="20"/>
          <w:szCs w:val="20"/>
        </w:rPr>
        <w:t>)</w:t>
      </w:r>
      <w:r w:rsidR="00F62E55">
        <w:rPr>
          <w:rFonts w:ascii="Constantia" w:hAnsi="Constantia"/>
          <w:sz w:val="20"/>
          <w:szCs w:val="20"/>
        </w:rPr>
        <w:t xml:space="preserve"> </w:t>
      </w:r>
      <w:r w:rsidRPr="00105C13">
        <w:rPr>
          <w:rFonts w:ascii="Constantia" w:hAnsi="Constantia"/>
          <w:sz w:val="20"/>
          <w:szCs w:val="20"/>
        </w:rPr>
        <w:t>=</w:t>
      </w:r>
      <w:r w:rsidR="00F62E55">
        <w:rPr>
          <w:rFonts w:ascii="Constantia" w:hAnsi="Constantia"/>
          <w:sz w:val="20"/>
          <w:szCs w:val="20"/>
        </w:rPr>
        <w:t xml:space="preserve"> </w:t>
      </w:r>
      <w:r w:rsidRPr="00105C13">
        <w:rPr>
          <w:rFonts w:ascii="Constantia" w:hAnsi="Constantia"/>
          <w:sz w:val="20"/>
          <w:szCs w:val="20"/>
        </w:rPr>
        <w:t xml:space="preserve">X max − X min </w:t>
      </w:r>
      <w:r w:rsidRPr="00105C13">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Pr="00105C13">
        <w:rPr>
          <w:rFonts w:ascii="Constantia" w:eastAsiaTheme="minorEastAsia" w:hAnsi="Constantia" w:cs="Times New Roman"/>
          <w:sz w:val="20"/>
          <w:szCs w:val="20"/>
          <w:lang w:val="sv-SE"/>
        </w:rPr>
        <w:t>(8</w:t>
      </w:r>
      <w:r w:rsidRPr="00105C13">
        <w:rPr>
          <w:rFonts w:ascii="Constantia" w:eastAsiaTheme="minorEastAsia" w:hAnsi="Constantia" w:cs="Times New Roman"/>
          <w:sz w:val="20"/>
          <w:szCs w:val="20"/>
        </w:rPr>
        <w:t>)</w:t>
      </w:r>
    </w:p>
    <w:p w14:paraId="7E17AC59" w14:textId="77777777" w:rsidR="009420E4" w:rsidRDefault="00CB694D" w:rsidP="009420E4">
      <w:pPr>
        <w:spacing w:after="0" w:line="276" w:lineRule="auto"/>
        <w:jc w:val="both"/>
        <w:rPr>
          <w:rFonts w:ascii="Constantia" w:hAnsi="Constantia"/>
          <w:sz w:val="20"/>
          <w:szCs w:val="20"/>
        </w:rPr>
      </w:pPr>
      <w:r w:rsidRPr="00105C13">
        <w:rPr>
          <w:rFonts w:ascii="Constantia" w:hAnsi="Constantia"/>
          <w:sz w:val="20"/>
          <w:szCs w:val="20"/>
        </w:rPr>
        <w:t xml:space="preserve">Determining the Number of Classes (k) </w:t>
      </w:r>
    </w:p>
    <w:p w14:paraId="0F77C5FB" w14:textId="03141F71" w:rsidR="00E97E9D" w:rsidRPr="00105C13" w:rsidRDefault="00E97E9D" w:rsidP="009420E4">
      <w:pPr>
        <w:spacing w:after="0" w:line="276" w:lineRule="auto"/>
        <w:jc w:val="both"/>
        <w:rPr>
          <w:rFonts w:ascii="Constantia" w:hAnsi="Constantia"/>
          <w:sz w:val="20"/>
          <w:szCs w:val="20"/>
        </w:rPr>
      </w:pPr>
      <w:r w:rsidRPr="00105C13">
        <w:rPr>
          <w:rFonts w:ascii="Constantia" w:hAnsi="Constantia"/>
          <w:sz w:val="20"/>
          <w:szCs w:val="20"/>
        </w:rPr>
        <w:t xml:space="preserve">K = 1+ 3,3 log n </w:t>
      </w:r>
      <w:r w:rsidRPr="00105C13">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009420E4">
        <w:rPr>
          <w:rFonts w:ascii="Constantia" w:hAnsi="Constantia"/>
          <w:sz w:val="20"/>
          <w:szCs w:val="20"/>
        </w:rPr>
        <w:tab/>
      </w:r>
      <w:r w:rsidRPr="00105C13">
        <w:rPr>
          <w:rFonts w:ascii="Constantia" w:eastAsiaTheme="minorEastAsia" w:hAnsi="Constantia" w:cs="Times New Roman"/>
          <w:sz w:val="20"/>
          <w:szCs w:val="20"/>
          <w:lang w:val="sv-SE"/>
        </w:rPr>
        <w:t>(9</w:t>
      </w:r>
      <w:r w:rsidRPr="00105C13">
        <w:rPr>
          <w:rFonts w:ascii="Constantia" w:eastAsiaTheme="minorEastAsia" w:hAnsi="Constantia" w:cs="Times New Roman"/>
          <w:sz w:val="20"/>
          <w:szCs w:val="20"/>
        </w:rPr>
        <w:t>)</w:t>
      </w:r>
    </w:p>
    <w:p w14:paraId="01BAC724" w14:textId="38087E62" w:rsidR="00E97E9D" w:rsidRPr="00105C13" w:rsidRDefault="00CB694D" w:rsidP="009420E4">
      <w:pPr>
        <w:tabs>
          <w:tab w:val="left" w:pos="2552"/>
          <w:tab w:val="right" w:pos="9026"/>
        </w:tabs>
        <w:spacing w:after="0" w:line="276" w:lineRule="auto"/>
        <w:jc w:val="both"/>
        <w:rPr>
          <w:rFonts w:ascii="Constantia" w:eastAsiaTheme="minorEastAsia" w:hAnsi="Constantia"/>
          <w:sz w:val="24"/>
          <w:szCs w:val="24"/>
        </w:rPr>
      </w:pPr>
      <w:r w:rsidRPr="00105C13">
        <w:rPr>
          <w:rFonts w:ascii="Constantia" w:hAnsi="Constantia"/>
          <w:sz w:val="20"/>
          <w:szCs w:val="20"/>
        </w:rPr>
        <w:t xml:space="preserve">Determining the Class Interval Length (i)  </w:t>
      </w:r>
      <w:r w:rsidR="00E97E9D" w:rsidRPr="00105C13">
        <w:rPr>
          <w:rFonts w:ascii="Constantia" w:hAnsi="Constantia"/>
          <w:sz w:val="20"/>
          <w:szCs w:val="20"/>
        </w:rPr>
        <w:t xml:space="preserve">I = </w:t>
      </w:r>
      <m:oMath>
        <m:f>
          <m:fPr>
            <m:ctrlPr>
              <w:rPr>
                <w:rFonts w:ascii="Cambria Math" w:hAnsi="Cambria Math" w:cs="Times New Roman"/>
                <w:i/>
                <w:sz w:val="24"/>
                <w:szCs w:val="24"/>
              </w:rPr>
            </m:ctrlPr>
          </m:fPr>
          <m:num>
            <m:r>
              <w:rPr>
                <w:rFonts w:ascii="Cambria Math" w:hAnsi="Cambria Math" w:cs="Times New Roman"/>
                <w:sz w:val="24"/>
                <w:szCs w:val="24"/>
              </w:rPr>
              <m:t>Range</m:t>
            </m:r>
          </m:num>
          <m:den>
            <m:r>
              <w:rPr>
                <w:rFonts w:ascii="Cambria Math" w:hAnsi="Cambria Math" w:cs="Times New Roman"/>
                <w:sz w:val="24"/>
                <w:szCs w:val="24"/>
              </w:rPr>
              <m:t>K</m:t>
            </m:r>
          </m:den>
        </m:f>
      </m:oMath>
      <w:r w:rsidR="00E97E9D" w:rsidRPr="00105C13">
        <w:rPr>
          <w:rFonts w:ascii="Constantia" w:eastAsiaTheme="minorEastAsia" w:hAnsi="Constantia"/>
          <w:sz w:val="24"/>
          <w:szCs w:val="24"/>
        </w:rPr>
        <w:t xml:space="preserve"> </w:t>
      </w:r>
      <w:r w:rsidR="00E97E9D" w:rsidRPr="00105C13">
        <w:rPr>
          <w:rFonts w:ascii="Constantia" w:eastAsiaTheme="minorEastAsia" w:hAnsi="Constantia"/>
          <w:sz w:val="24"/>
          <w:szCs w:val="24"/>
        </w:rPr>
        <w:tab/>
      </w:r>
      <w:r w:rsidR="00E97E9D" w:rsidRPr="00105C13">
        <w:rPr>
          <w:rFonts w:ascii="Constantia" w:eastAsiaTheme="minorEastAsia" w:hAnsi="Constantia"/>
          <w:sz w:val="20"/>
          <w:szCs w:val="20"/>
        </w:rPr>
        <w:t>(10)</w:t>
      </w:r>
    </w:p>
    <w:p w14:paraId="1989D124" w14:textId="41F0A95B" w:rsidR="00143433" w:rsidRPr="00105C13" w:rsidRDefault="00E97E9D" w:rsidP="00E97E9D">
      <w:pPr>
        <w:spacing w:after="0" w:line="276" w:lineRule="auto"/>
        <w:jc w:val="both"/>
        <w:rPr>
          <w:rFonts w:ascii="Constantia" w:eastAsiaTheme="minorEastAsia" w:hAnsi="Constantia"/>
          <w:sz w:val="20"/>
          <w:szCs w:val="20"/>
        </w:rPr>
      </w:pPr>
      <w:r w:rsidRPr="00105C13">
        <w:rPr>
          <w:rFonts w:ascii="Constantia" w:hAnsi="Constantia"/>
          <w:sz w:val="20"/>
          <w:szCs w:val="20"/>
        </w:rPr>
        <w:tab/>
      </w:r>
      <w:r w:rsidRPr="00105C13">
        <w:rPr>
          <w:rFonts w:ascii="Constantia" w:hAnsi="Constantia"/>
          <w:sz w:val="20"/>
          <w:szCs w:val="20"/>
        </w:rPr>
        <w:tab/>
      </w:r>
    </w:p>
    <w:p w14:paraId="5735B1C8" w14:textId="716F28C0" w:rsidR="00992707" w:rsidRPr="009420E4" w:rsidRDefault="006643EB" w:rsidP="00992707">
      <w:pPr>
        <w:pStyle w:val="ListParagraph"/>
        <w:numPr>
          <w:ilvl w:val="0"/>
          <w:numId w:val="1"/>
        </w:numPr>
        <w:spacing w:after="0" w:line="240" w:lineRule="auto"/>
        <w:ind w:left="284" w:hanging="284"/>
        <w:jc w:val="both"/>
        <w:rPr>
          <w:rFonts w:ascii="Constantia" w:hAnsi="Constantia" w:cs="Times New Roman"/>
          <w:b/>
          <w:bCs/>
          <w:sz w:val="24"/>
          <w:szCs w:val="24"/>
        </w:rPr>
      </w:pPr>
      <w:r w:rsidRPr="009420E4">
        <w:rPr>
          <w:rFonts w:ascii="Constantia" w:hAnsi="Constantia" w:cs="Times New Roman"/>
          <w:b/>
          <w:bCs/>
          <w:sz w:val="24"/>
          <w:szCs w:val="24"/>
        </w:rPr>
        <w:t>Result and Discussion</w:t>
      </w:r>
    </w:p>
    <w:p w14:paraId="507B3EAB" w14:textId="325755C5" w:rsidR="006643EB" w:rsidRPr="0094363A" w:rsidRDefault="009420E4" w:rsidP="0094363A">
      <w:pPr>
        <w:pStyle w:val="ListParagraph"/>
        <w:numPr>
          <w:ilvl w:val="1"/>
          <w:numId w:val="15"/>
        </w:numPr>
        <w:ind w:left="567" w:hanging="567"/>
        <w:rPr>
          <w:rFonts w:ascii="Constantia" w:hAnsi="Constantia" w:cs="Times New Roman"/>
          <w:b/>
          <w:bCs/>
          <w:sz w:val="20"/>
          <w:szCs w:val="20"/>
        </w:rPr>
      </w:pPr>
      <w:r w:rsidRPr="0094363A">
        <w:rPr>
          <w:rFonts w:ascii="Constantia" w:hAnsi="Constantia" w:cs="Times New Roman"/>
          <w:b/>
          <w:bCs/>
          <w:sz w:val="20"/>
          <w:szCs w:val="20"/>
        </w:rPr>
        <w:t xml:space="preserve">Solid </w:t>
      </w:r>
      <w:r w:rsidR="004D5C74" w:rsidRPr="0094363A">
        <w:rPr>
          <w:rFonts w:ascii="Constantia" w:hAnsi="Constantia" w:cs="Times New Roman"/>
          <w:b/>
          <w:bCs/>
          <w:sz w:val="20"/>
          <w:szCs w:val="20"/>
        </w:rPr>
        <w:t>Waste Management in</w:t>
      </w:r>
      <w:r w:rsidR="006643EB" w:rsidRPr="0094363A">
        <w:rPr>
          <w:rFonts w:ascii="Constantia" w:hAnsi="Constantia" w:cs="Times New Roman"/>
          <w:b/>
          <w:bCs/>
          <w:sz w:val="20"/>
          <w:szCs w:val="20"/>
        </w:rPr>
        <w:t xml:space="preserve"> PPNS </w:t>
      </w:r>
    </w:p>
    <w:p w14:paraId="3C72B11B" w14:textId="6A33A850" w:rsidR="00992707" w:rsidRPr="00105C13" w:rsidRDefault="004D5C74" w:rsidP="009420E4">
      <w:pPr>
        <w:pStyle w:val="ListParagraph"/>
        <w:spacing w:after="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This study focuses on estimating greenhouse gas (GHG) emissions generated from the non-hazardous solid waste management sector. In its classification, waste generation is divided into six categories—classrooms, laboratories, offices, workshops, gardens, mosques, and cafeterias—referring to the Indonesian National Standard (SNI) 19-3964-1994. All stages of waste management—from generation, collection, transportation, processing, to final disposal—contribute to GHG emissions (Kristanto &amp; Koven, 2019). Waste management activities within the PPNS environment are presented in Figure 1.</w:t>
      </w:r>
    </w:p>
    <w:p w14:paraId="0D39E5C3" w14:textId="7A322A92" w:rsidR="006643EB" w:rsidRPr="00105C13" w:rsidRDefault="006643EB" w:rsidP="006643EB">
      <w:pPr>
        <w:spacing w:after="0" w:line="240" w:lineRule="auto"/>
        <w:ind w:firstLine="720"/>
        <w:jc w:val="both"/>
        <w:rPr>
          <w:rFonts w:ascii="Constantia" w:hAnsi="Constantia"/>
          <w:sz w:val="20"/>
          <w:szCs w:val="20"/>
        </w:rPr>
      </w:pPr>
    </w:p>
    <w:p w14:paraId="01302171" w14:textId="298F2DDE" w:rsidR="006643EB" w:rsidRPr="00105C13" w:rsidRDefault="009420E4" w:rsidP="006643EB">
      <w:pPr>
        <w:spacing w:after="0" w:line="240" w:lineRule="auto"/>
        <w:ind w:firstLine="720"/>
        <w:jc w:val="both"/>
        <w:rPr>
          <w:rFonts w:ascii="Constantia" w:hAnsi="Constantia"/>
          <w:sz w:val="20"/>
          <w:szCs w:val="20"/>
        </w:rPr>
      </w:pPr>
      <w:r w:rsidRPr="00105C13">
        <w:rPr>
          <w:rFonts w:ascii="Constantia" w:hAnsi="Constantia"/>
          <w:noProof/>
          <w:sz w:val="20"/>
          <w:szCs w:val="20"/>
        </w:rPr>
        <mc:AlternateContent>
          <mc:Choice Requires="wps">
            <w:drawing>
              <wp:anchor distT="45720" distB="45720" distL="114300" distR="114300" simplePos="0" relativeHeight="251663360" behindDoc="0" locked="0" layoutInCell="1" allowOverlap="1" wp14:anchorId="62D3562F" wp14:editId="7E3BB137">
                <wp:simplePos x="0" y="0"/>
                <wp:positionH relativeFrom="column">
                  <wp:posOffset>2071370</wp:posOffset>
                </wp:positionH>
                <wp:positionV relativeFrom="paragraph">
                  <wp:posOffset>20320</wp:posOffset>
                </wp:positionV>
                <wp:extent cx="1210945" cy="448310"/>
                <wp:effectExtent l="0" t="0" r="27305" b="279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448310"/>
                        </a:xfrm>
                        <a:prstGeom prst="rect">
                          <a:avLst/>
                        </a:prstGeom>
                        <a:solidFill>
                          <a:srgbClr val="FFFFFF"/>
                        </a:solidFill>
                        <a:ln w="9525">
                          <a:solidFill>
                            <a:srgbClr val="000000"/>
                          </a:solidFill>
                          <a:miter lim="800000"/>
                          <a:headEnd/>
                          <a:tailEnd/>
                        </a:ln>
                      </wps:spPr>
                      <wps:txbx>
                        <w:txbxContent>
                          <w:p w14:paraId="2007BD1F" w14:textId="77777777" w:rsidR="004D5C74" w:rsidRPr="009420E4" w:rsidRDefault="004D5C74" w:rsidP="004D5C74">
                            <w:pPr>
                              <w:rPr>
                                <w:rFonts w:ascii="Constantia" w:hAnsi="Constantia"/>
                                <w:sz w:val="20"/>
                                <w:szCs w:val="20"/>
                                <w:lang w:val="en-ID"/>
                              </w:rPr>
                            </w:pPr>
                            <w:r w:rsidRPr="009420E4">
                              <w:rPr>
                                <w:rFonts w:ascii="Constantia" w:hAnsi="Constantia"/>
                                <w:sz w:val="20"/>
                                <w:szCs w:val="20"/>
                              </w:rPr>
                              <w:t xml:space="preserve">Waste </w:t>
                            </w:r>
                            <w:r w:rsidRPr="009420E4">
                              <w:rPr>
                                <w:rFonts w:ascii="Constantia" w:hAnsi="Constantia"/>
                                <w:sz w:val="20"/>
                                <w:szCs w:val="20"/>
                                <w:lang w:val="en"/>
                              </w:rPr>
                              <w:t>Collection at TPS</w:t>
                            </w:r>
                          </w:p>
                          <w:p w14:paraId="096436EF" w14:textId="63EF1332" w:rsidR="006643EB" w:rsidRDefault="006643EB" w:rsidP="006643E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D3562F" id="_x0000_t202" coordsize="21600,21600" o:spt="202" path="m,l,21600r21600,l21600,xe">
                <v:stroke joinstyle="miter"/>
                <v:path gradientshapeok="t" o:connecttype="rect"/>
              </v:shapetype>
              <v:shape id="Text Box 7" o:spid="_x0000_s1026" type="#_x0000_t202" style="position:absolute;left:0;text-align:left;margin-left:163.1pt;margin-top:1.6pt;width:95.35pt;height:35.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">
                <v:textbox>
                  <w:txbxContent>
                    <w:p w14:paraId="2007BD1F" w14:textId="77777777" w:rsidR="004D5C74" w:rsidRPr="009420E4" w:rsidRDefault="004D5C74" w:rsidP="004D5C74">
                      <w:pPr>
                        <w:rPr>
                          <w:rFonts w:ascii="Constantia" w:hAnsi="Constantia"/>
                          <w:sz w:val="20"/>
                          <w:szCs w:val="20"/>
                          <w:lang w:val="en-ID"/>
                        </w:rPr>
                      </w:pPr>
                      <w:r w:rsidRPr="009420E4">
                        <w:rPr>
                          <w:rFonts w:ascii="Constantia" w:hAnsi="Constantia"/>
                          <w:sz w:val="20"/>
                          <w:szCs w:val="20"/>
                        </w:rPr>
                        <w:t xml:space="preserve">Waste </w:t>
                      </w:r>
                      <w:r w:rsidRPr="009420E4">
                        <w:rPr>
                          <w:rFonts w:ascii="Constantia" w:hAnsi="Constantia"/>
                          <w:sz w:val="20"/>
                          <w:szCs w:val="20"/>
                          <w:lang w:val="en"/>
                        </w:rPr>
                        <w:t>Collection at TPS</w:t>
                      </w:r>
                    </w:p>
                    <w:p w14:paraId="096436EF" w14:textId="63EF1332" w:rsidR="006643EB" w:rsidRDefault="006643EB" w:rsidP="006643EB"/>
                  </w:txbxContent>
                </v:textbox>
                <w10:wrap type="square"/>
              </v:shape>
            </w:pict>
          </mc:Fallback>
        </mc:AlternateContent>
      </w:r>
      <w:r w:rsidR="006643EB" w:rsidRPr="00105C13">
        <w:rPr>
          <w:rFonts w:ascii="Constantia" w:hAnsi="Constantia"/>
          <w:noProof/>
        </w:rPr>
        <mc:AlternateContent>
          <mc:Choice Requires="wps">
            <w:drawing>
              <wp:anchor distT="45720" distB="45720" distL="114300" distR="114300" simplePos="0" relativeHeight="251662336" behindDoc="0" locked="0" layoutInCell="1" allowOverlap="1" wp14:anchorId="23144A51" wp14:editId="689BDB36">
                <wp:simplePos x="0" y="0"/>
                <wp:positionH relativeFrom="column">
                  <wp:posOffset>561340</wp:posOffset>
                </wp:positionH>
                <wp:positionV relativeFrom="paragraph">
                  <wp:posOffset>74930</wp:posOffset>
                </wp:positionV>
                <wp:extent cx="1210945" cy="315595"/>
                <wp:effectExtent l="8890" t="8255" r="8890" b="952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315595"/>
                        </a:xfrm>
                        <a:prstGeom prst="rect">
                          <a:avLst/>
                        </a:prstGeom>
                        <a:solidFill>
                          <a:srgbClr val="FFFFFF"/>
                        </a:solidFill>
                        <a:ln w="9525">
                          <a:solidFill>
                            <a:srgbClr val="000000"/>
                          </a:solidFill>
                          <a:miter lim="800000"/>
                          <a:headEnd/>
                          <a:tailEnd/>
                        </a:ln>
                      </wps:spPr>
                      <wps:txbx>
                        <w:txbxContent>
                          <w:p w14:paraId="065581D0" w14:textId="190B7534" w:rsidR="006643EB" w:rsidRPr="009420E4" w:rsidRDefault="004D5C74" w:rsidP="006643EB">
                            <w:pPr>
                              <w:rPr>
                                <w:rFonts w:ascii="Constantia" w:hAnsi="Constantia"/>
                              </w:rPr>
                            </w:pPr>
                            <w:r w:rsidRPr="009420E4">
                              <w:rPr>
                                <w:rFonts w:ascii="Constantia" w:hAnsi="Constantia"/>
                                <w:sz w:val="20"/>
                                <w:szCs w:val="20"/>
                              </w:rPr>
                              <w:t>Waste Source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44A51" id="Text Box 9" o:spid="_x0000_s1027" type="#_x0000_t202" style="position:absolute;left:0;text-align:left;margin-left:44.2pt;margin-top:5.9pt;width:95.35pt;height:24.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">
                <v:textbox>
                  <w:txbxContent>
                    <w:p w14:paraId="065581D0" w14:textId="190B7534" w:rsidR="006643EB" w:rsidRPr="009420E4" w:rsidRDefault="004D5C74" w:rsidP="006643EB">
                      <w:pPr>
                        <w:rPr>
                          <w:rFonts w:ascii="Constantia" w:hAnsi="Constantia"/>
                        </w:rPr>
                      </w:pPr>
                      <w:r w:rsidRPr="009420E4">
                        <w:rPr>
                          <w:rFonts w:ascii="Constantia" w:hAnsi="Constantia"/>
                          <w:sz w:val="20"/>
                          <w:szCs w:val="20"/>
                        </w:rPr>
                        <w:t>Waste Source</w:t>
                      </w:r>
                    </w:p>
                  </w:txbxContent>
                </v:textbox>
                <w10:wrap type="square"/>
              </v:shape>
            </w:pict>
          </mc:Fallback>
        </mc:AlternateContent>
      </w:r>
      <w:r w:rsidR="006643EB" w:rsidRPr="00105C13">
        <w:rPr>
          <w:rFonts w:ascii="Constantia" w:hAnsi="Constantia"/>
          <w:noProof/>
          <w:sz w:val="20"/>
          <w:szCs w:val="20"/>
        </w:rPr>
        <mc:AlternateContent>
          <mc:Choice Requires="wps">
            <w:drawing>
              <wp:anchor distT="45720" distB="45720" distL="114300" distR="114300" simplePos="0" relativeHeight="251665408" behindDoc="0" locked="0" layoutInCell="1" allowOverlap="1" wp14:anchorId="5C73D586" wp14:editId="26209CE8">
                <wp:simplePos x="0" y="0"/>
                <wp:positionH relativeFrom="column">
                  <wp:posOffset>3575050</wp:posOffset>
                </wp:positionH>
                <wp:positionV relativeFrom="paragraph">
                  <wp:posOffset>18415</wp:posOffset>
                </wp:positionV>
                <wp:extent cx="1210945" cy="400050"/>
                <wp:effectExtent l="12700" t="8890" r="5080" b="1016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400050"/>
                        </a:xfrm>
                        <a:prstGeom prst="rect">
                          <a:avLst/>
                        </a:prstGeom>
                        <a:solidFill>
                          <a:srgbClr val="FFFFFF"/>
                        </a:solidFill>
                        <a:ln w="9525">
                          <a:solidFill>
                            <a:srgbClr val="000000"/>
                          </a:solidFill>
                          <a:miter lim="800000"/>
                          <a:headEnd/>
                          <a:tailEnd/>
                        </a:ln>
                      </wps:spPr>
                      <wps:txbx>
                        <w:txbxContent>
                          <w:p w14:paraId="52C2DC79" w14:textId="21BEABD4" w:rsidR="006643EB" w:rsidRPr="009420E4" w:rsidRDefault="004D5C74" w:rsidP="006643EB">
                            <w:pPr>
                              <w:rPr>
                                <w:rFonts w:ascii="Constantia" w:hAnsi="Constantia"/>
                              </w:rPr>
                            </w:pPr>
                            <w:r w:rsidRPr="009420E4">
                              <w:rPr>
                                <w:rFonts w:ascii="Constantia" w:hAnsi="Constantia"/>
                                <w:sz w:val="20"/>
                                <w:szCs w:val="20"/>
                              </w:rPr>
                              <w:t xml:space="preserve">Piling Waste in </w:t>
                            </w:r>
                            <w:r w:rsidR="006643EB" w:rsidRPr="009420E4">
                              <w:rPr>
                                <w:rFonts w:ascii="Constantia" w:hAnsi="Constantia"/>
                                <w:sz w:val="20"/>
                                <w:szCs w:val="20"/>
                              </w:rPr>
                              <w:t>Benowo</w:t>
                            </w:r>
                            <w:r w:rsidRPr="009420E4">
                              <w:rPr>
                                <w:rFonts w:ascii="Constantia" w:hAnsi="Constantia"/>
                                <w:sz w:val="20"/>
                                <w:szCs w:val="20"/>
                              </w:rPr>
                              <w:t xml:space="preserve"> Landfill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73D586" id="Text Box 8" o:spid="_x0000_s1028" type="#_x0000_t202" style="position:absolute;left:0;text-align:left;margin-left:281.5pt;margin-top:1.45pt;width:95.35pt;height:3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">
                <v:textbox>
                  <w:txbxContent>
                    <w:p w14:paraId="52C2DC79" w14:textId="21BEABD4" w:rsidR="006643EB" w:rsidRPr="009420E4" w:rsidRDefault="004D5C74" w:rsidP="006643EB">
                      <w:pPr>
                        <w:rPr>
                          <w:rFonts w:ascii="Constantia" w:hAnsi="Constantia"/>
                        </w:rPr>
                      </w:pPr>
                      <w:r w:rsidRPr="009420E4">
                        <w:rPr>
                          <w:rFonts w:ascii="Constantia" w:hAnsi="Constantia"/>
                          <w:sz w:val="20"/>
                          <w:szCs w:val="20"/>
                        </w:rPr>
                        <w:t xml:space="preserve">Piling Waste in </w:t>
                      </w:r>
                      <w:r w:rsidR="006643EB" w:rsidRPr="009420E4">
                        <w:rPr>
                          <w:rFonts w:ascii="Constantia" w:hAnsi="Constantia"/>
                          <w:sz w:val="20"/>
                          <w:szCs w:val="20"/>
                        </w:rPr>
                        <w:t>Benowo</w:t>
                      </w:r>
                      <w:r w:rsidRPr="009420E4">
                        <w:rPr>
                          <w:rFonts w:ascii="Constantia" w:hAnsi="Constantia"/>
                          <w:sz w:val="20"/>
                          <w:szCs w:val="20"/>
                        </w:rPr>
                        <w:t xml:space="preserve"> Landfill</w:t>
                      </w:r>
                    </w:p>
                  </w:txbxContent>
                </v:textbox>
                <w10:wrap type="square"/>
              </v:shape>
            </w:pict>
          </mc:Fallback>
        </mc:AlternateContent>
      </w:r>
    </w:p>
    <w:p w14:paraId="2E7F96FC" w14:textId="348CEB94" w:rsidR="006643EB" w:rsidRPr="009420E4" w:rsidRDefault="006643EB" w:rsidP="006643EB">
      <w:pPr>
        <w:spacing w:after="0" w:line="240" w:lineRule="auto"/>
        <w:ind w:firstLine="720"/>
        <w:jc w:val="both"/>
        <w:rPr>
          <w:rFonts w:ascii="Constantia" w:hAnsi="Constantia"/>
          <w:sz w:val="20"/>
          <w:szCs w:val="20"/>
        </w:rPr>
      </w:pPr>
      <w:r w:rsidRPr="00105C13">
        <w:rPr>
          <w:rFonts w:ascii="Constantia" w:hAnsi="Constantia"/>
          <w:noProof/>
          <w:sz w:val="20"/>
          <w:szCs w:val="20"/>
        </w:rPr>
        <mc:AlternateContent>
          <mc:Choice Requires="wps">
            <w:drawing>
              <wp:anchor distT="0" distB="0" distL="114300" distR="114300" simplePos="0" relativeHeight="251668480" behindDoc="0" locked="0" layoutInCell="1" allowOverlap="1" wp14:anchorId="609E477A" wp14:editId="442E0544">
                <wp:simplePos x="0" y="0"/>
                <wp:positionH relativeFrom="column">
                  <wp:posOffset>1924050</wp:posOffset>
                </wp:positionH>
                <wp:positionV relativeFrom="paragraph">
                  <wp:posOffset>97790</wp:posOffset>
                </wp:positionV>
                <wp:extent cx="635" cy="552450"/>
                <wp:effectExtent l="57150" t="12065" r="56515" b="1651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8558C3" id="_x0000_t32" coordsize="21600,21600" o:spt="32" o:oned="t" path="m,l21600,21600e" filled="f">
                <v:path arrowok="t" fillok="f" o:connecttype="none"/>
                <o:lock v:ext="edit" shapetype="t"/>
              </v:shapetype>
              <v:shape id="Straight Arrow Connector 6" o:spid="_x0000_s1026" type="#_x0000_t32" style="position:absolute;margin-left:151.5pt;margin-top:7.7pt;width:.05pt;height: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">
                <v:stroke endarrow="block"/>
              </v:shape>
            </w:pict>
          </mc:Fallback>
        </mc:AlternateContent>
      </w:r>
      <w:r w:rsidRPr="00105C13">
        <w:rPr>
          <w:rFonts w:ascii="Constantia" w:hAnsi="Constantia"/>
          <w:noProof/>
          <w:sz w:val="20"/>
          <w:szCs w:val="20"/>
        </w:rPr>
        <mc:AlternateContent>
          <mc:Choice Requires="wps">
            <w:drawing>
              <wp:anchor distT="0" distB="0" distL="114300" distR="114300" simplePos="0" relativeHeight="251666432" behindDoc="0" locked="0" layoutInCell="1" allowOverlap="1" wp14:anchorId="3328FD92" wp14:editId="1CEB7825">
                <wp:simplePos x="0" y="0"/>
                <wp:positionH relativeFrom="column">
                  <wp:posOffset>3279140</wp:posOffset>
                </wp:positionH>
                <wp:positionV relativeFrom="paragraph">
                  <wp:posOffset>97790</wp:posOffset>
                </wp:positionV>
                <wp:extent cx="295910" cy="0"/>
                <wp:effectExtent l="12065" t="59690" r="15875" b="5461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9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966C7" id="Straight Arrow Connector 5" o:spid="_x0000_s1026" type="#_x0000_t32" style="position:absolute;margin-left:258.2pt;margin-top:7.7pt;width:23.3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">
                <v:stroke endarrow="block"/>
              </v:shape>
            </w:pict>
          </mc:Fallback>
        </mc:AlternateContent>
      </w:r>
      <w:r w:rsidRPr="00105C13">
        <w:rPr>
          <w:rFonts w:ascii="Constantia" w:hAnsi="Constantia"/>
          <w:noProof/>
          <w:sz w:val="20"/>
          <w:szCs w:val="20"/>
        </w:rPr>
        <mc:AlternateContent>
          <mc:Choice Requires="wps">
            <w:drawing>
              <wp:anchor distT="0" distB="0" distL="114300" distR="114300" simplePos="0" relativeHeight="251664384" behindDoc="0" locked="0" layoutInCell="1" allowOverlap="1" wp14:anchorId="4694933E" wp14:editId="2618B70E">
                <wp:simplePos x="0" y="0"/>
                <wp:positionH relativeFrom="column">
                  <wp:posOffset>1772285</wp:posOffset>
                </wp:positionH>
                <wp:positionV relativeFrom="paragraph">
                  <wp:posOffset>97790</wp:posOffset>
                </wp:positionV>
                <wp:extent cx="295910" cy="0"/>
                <wp:effectExtent l="10160" t="59690" r="17780" b="5461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9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D0B085" id="Straight Arrow Connector 4" o:spid="_x0000_s1026" type="#_x0000_t32" style="position:absolute;margin-left:139.55pt;margin-top:7.7pt;width:23.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">
                <v:stroke endarrow="block"/>
              </v:shape>
            </w:pict>
          </mc:Fallback>
        </mc:AlternateContent>
      </w:r>
    </w:p>
    <w:p w14:paraId="6FD01E75" w14:textId="77777777" w:rsidR="006643EB" w:rsidRPr="009420E4" w:rsidRDefault="006643EB" w:rsidP="006643EB">
      <w:pPr>
        <w:spacing w:after="0" w:line="240" w:lineRule="auto"/>
        <w:ind w:firstLine="720"/>
        <w:jc w:val="both"/>
        <w:rPr>
          <w:rFonts w:ascii="Constantia" w:hAnsi="Constantia"/>
          <w:sz w:val="20"/>
          <w:szCs w:val="20"/>
        </w:rPr>
      </w:pPr>
    </w:p>
    <w:p w14:paraId="1E2D5CD7" w14:textId="77777777" w:rsidR="006643EB" w:rsidRPr="009420E4" w:rsidRDefault="006643EB" w:rsidP="006643EB">
      <w:pPr>
        <w:spacing w:after="0" w:line="240" w:lineRule="auto"/>
        <w:ind w:firstLine="720"/>
        <w:jc w:val="both"/>
        <w:rPr>
          <w:rFonts w:ascii="Constantia" w:hAnsi="Constantia"/>
          <w:sz w:val="20"/>
          <w:szCs w:val="20"/>
        </w:rPr>
      </w:pPr>
    </w:p>
    <w:p w14:paraId="4D4F5662" w14:textId="77777777" w:rsidR="006643EB" w:rsidRPr="009420E4" w:rsidRDefault="006643EB" w:rsidP="006643EB">
      <w:pPr>
        <w:spacing w:after="0" w:line="240" w:lineRule="auto"/>
        <w:ind w:firstLine="720"/>
        <w:jc w:val="both"/>
        <w:rPr>
          <w:rFonts w:ascii="Constantia" w:hAnsi="Constantia"/>
          <w:sz w:val="20"/>
          <w:szCs w:val="20"/>
        </w:rPr>
      </w:pPr>
    </w:p>
    <w:p w14:paraId="77B1C2DE" w14:textId="1E0835C7" w:rsidR="006643EB" w:rsidRPr="009420E4" w:rsidRDefault="006643EB" w:rsidP="006643EB">
      <w:pPr>
        <w:spacing w:after="0" w:line="240" w:lineRule="auto"/>
        <w:jc w:val="both"/>
        <w:rPr>
          <w:rFonts w:ascii="Constantia" w:hAnsi="Constantia"/>
          <w:sz w:val="20"/>
          <w:szCs w:val="20"/>
        </w:rPr>
      </w:pPr>
      <w:r w:rsidRPr="009420E4">
        <w:rPr>
          <w:rFonts w:ascii="Constantia" w:hAnsi="Constantia"/>
          <w:noProof/>
          <w:sz w:val="20"/>
          <w:szCs w:val="20"/>
        </w:rPr>
        <mc:AlternateContent>
          <mc:Choice Requires="wps">
            <w:drawing>
              <wp:anchor distT="45720" distB="45720" distL="114300" distR="114300" simplePos="0" relativeHeight="251667456" behindDoc="0" locked="0" layoutInCell="1" allowOverlap="1" wp14:anchorId="4CE19D1F" wp14:editId="276EE6D3">
                <wp:simplePos x="0" y="0"/>
                <wp:positionH relativeFrom="column">
                  <wp:posOffset>1265555</wp:posOffset>
                </wp:positionH>
                <wp:positionV relativeFrom="paragraph">
                  <wp:posOffset>66040</wp:posOffset>
                </wp:positionV>
                <wp:extent cx="1694815" cy="316230"/>
                <wp:effectExtent l="0" t="0" r="19685"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815" cy="316230"/>
                        </a:xfrm>
                        <a:prstGeom prst="rect">
                          <a:avLst/>
                        </a:prstGeom>
                        <a:solidFill>
                          <a:srgbClr val="FFFFFF"/>
                        </a:solidFill>
                        <a:ln w="9525">
                          <a:solidFill>
                            <a:srgbClr val="000000"/>
                          </a:solidFill>
                          <a:miter lim="800000"/>
                          <a:headEnd/>
                          <a:tailEnd/>
                        </a:ln>
                      </wps:spPr>
                      <wps:txbx>
                        <w:txbxContent>
                          <w:p w14:paraId="537565CF" w14:textId="6492CFB3" w:rsidR="006643EB" w:rsidRDefault="004D5C74" w:rsidP="006643EB">
                            <w:pPr>
                              <w:jc w:val="center"/>
                            </w:pPr>
                            <w:r w:rsidRPr="004D5C74">
                              <w:rPr>
                                <w:rFonts w:ascii="Times New Roman" w:hAnsi="Times New Roman"/>
                                <w:sz w:val="20"/>
                                <w:szCs w:val="20"/>
                              </w:rPr>
                              <w:t xml:space="preserve">PPNS </w:t>
                            </w:r>
                            <w:r w:rsidR="009420E4">
                              <w:rPr>
                                <w:rFonts w:ascii="Times New Roman" w:hAnsi="Times New Roman"/>
                                <w:sz w:val="20"/>
                                <w:szCs w:val="20"/>
                              </w:rPr>
                              <w:t xml:space="preserve">solid </w:t>
                            </w:r>
                            <w:r w:rsidRPr="004D5C74">
                              <w:rPr>
                                <w:rFonts w:ascii="Times New Roman" w:hAnsi="Times New Roman"/>
                                <w:sz w:val="20"/>
                                <w:szCs w:val="20"/>
                              </w:rPr>
                              <w:t>waste bank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E19D1F" id="Text Box 2" o:spid="_x0000_s1029" type="#_x0000_t202" style="position:absolute;left:0;text-align:left;margin-left:99.65pt;margin-top:5.2pt;width:133.45pt;height:24.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">
                <v:textbox>
                  <w:txbxContent>
                    <w:p w14:paraId="537565CF" w14:textId="6492CFB3" w:rsidR="006643EB" w:rsidRDefault="004D5C74" w:rsidP="006643EB">
                      <w:pPr>
                        <w:jc w:val="center"/>
                      </w:pPr>
                      <w:r w:rsidRPr="004D5C74">
                        <w:rPr>
                          <w:rFonts w:ascii="Times New Roman" w:hAnsi="Times New Roman"/>
                          <w:sz w:val="20"/>
                          <w:szCs w:val="20"/>
                        </w:rPr>
                        <w:t xml:space="preserve">PPNS </w:t>
                      </w:r>
                      <w:r w:rsidR="009420E4">
                        <w:rPr>
                          <w:rFonts w:ascii="Times New Roman" w:hAnsi="Times New Roman"/>
                          <w:sz w:val="20"/>
                          <w:szCs w:val="20"/>
                        </w:rPr>
                        <w:t xml:space="preserve">solid </w:t>
                      </w:r>
                      <w:r w:rsidRPr="004D5C74">
                        <w:rPr>
                          <w:rFonts w:ascii="Times New Roman" w:hAnsi="Times New Roman"/>
                          <w:sz w:val="20"/>
                          <w:szCs w:val="20"/>
                        </w:rPr>
                        <w:t>waste bank</w:t>
                      </w:r>
                    </w:p>
                  </w:txbxContent>
                </v:textbox>
                <w10:wrap type="square"/>
              </v:shape>
            </w:pict>
          </mc:Fallback>
        </mc:AlternateContent>
      </w:r>
    </w:p>
    <w:p w14:paraId="798DB39C" w14:textId="77777777" w:rsidR="006643EB" w:rsidRPr="009420E4" w:rsidRDefault="006643EB" w:rsidP="006643EB">
      <w:pPr>
        <w:spacing w:after="0" w:line="240" w:lineRule="auto"/>
        <w:jc w:val="both"/>
        <w:rPr>
          <w:rFonts w:ascii="Constantia" w:hAnsi="Constantia"/>
          <w:sz w:val="20"/>
          <w:szCs w:val="20"/>
        </w:rPr>
      </w:pPr>
    </w:p>
    <w:p w14:paraId="0067CD65" w14:textId="04DB6FAC" w:rsidR="00C07A14" w:rsidRPr="009420E4" w:rsidRDefault="00C07A14" w:rsidP="00DF3A7A">
      <w:pPr>
        <w:pStyle w:val="ListParagraph"/>
        <w:spacing w:after="0" w:line="240" w:lineRule="auto"/>
        <w:ind w:left="284" w:firstLine="436"/>
        <w:jc w:val="both"/>
        <w:rPr>
          <w:rFonts w:ascii="Constantia" w:hAnsi="Constantia" w:cs="Times New Roman"/>
          <w:sz w:val="20"/>
          <w:szCs w:val="20"/>
        </w:rPr>
      </w:pPr>
    </w:p>
    <w:p w14:paraId="7F141E10" w14:textId="77777777" w:rsidR="009420E4" w:rsidRDefault="009420E4" w:rsidP="009420E4">
      <w:pPr>
        <w:pStyle w:val="Caption"/>
        <w:jc w:val="center"/>
        <w:rPr>
          <w:rFonts w:ascii="Constantia" w:hAnsi="Constantia" w:cs="Times New Roman"/>
          <w:b/>
          <w:bCs/>
          <w:i w:val="0"/>
          <w:iCs w:val="0"/>
          <w:color w:val="auto"/>
          <w:sz w:val="20"/>
          <w:szCs w:val="20"/>
        </w:rPr>
      </w:pPr>
    </w:p>
    <w:p w14:paraId="5049D60C" w14:textId="3CC6C2AC" w:rsidR="00C07A14" w:rsidRPr="009420E4" w:rsidRDefault="009420E4" w:rsidP="009420E4">
      <w:pPr>
        <w:pStyle w:val="Caption"/>
        <w:rPr>
          <w:rFonts w:ascii="Constantia" w:hAnsi="Constantia" w:cs="Times New Roman"/>
          <w:i w:val="0"/>
          <w:iCs w:val="0"/>
          <w:noProof/>
          <w:color w:val="auto"/>
          <w:sz w:val="20"/>
          <w:szCs w:val="20"/>
        </w:rPr>
      </w:pPr>
      <w:r>
        <w:rPr>
          <w:rFonts w:ascii="Constantia" w:hAnsi="Constantia" w:cs="Times New Roman"/>
          <w:b/>
          <w:bCs/>
          <w:i w:val="0"/>
          <w:iCs w:val="0"/>
          <w:color w:val="auto"/>
          <w:sz w:val="20"/>
          <w:szCs w:val="20"/>
        </w:rPr>
        <w:t xml:space="preserve">                                                     </w:t>
      </w:r>
      <w:r w:rsidRPr="009420E4">
        <w:rPr>
          <w:rFonts w:ascii="Constantia" w:hAnsi="Constantia" w:cs="Times New Roman"/>
          <w:b/>
          <w:bCs/>
          <w:i w:val="0"/>
          <w:iCs w:val="0"/>
          <w:color w:val="auto"/>
          <w:sz w:val="20"/>
          <w:szCs w:val="20"/>
        </w:rPr>
        <w:t xml:space="preserve">Gambar </w:t>
      </w:r>
      <w:r w:rsidRPr="009420E4">
        <w:rPr>
          <w:rFonts w:ascii="Constantia" w:hAnsi="Constantia" w:cs="Times New Roman"/>
          <w:b/>
          <w:bCs/>
          <w:i w:val="0"/>
          <w:iCs w:val="0"/>
          <w:color w:val="auto"/>
          <w:sz w:val="20"/>
          <w:szCs w:val="20"/>
        </w:rPr>
        <w:fldChar w:fldCharType="begin"/>
      </w:r>
      <w:r w:rsidRPr="009420E4">
        <w:rPr>
          <w:rFonts w:ascii="Constantia" w:hAnsi="Constantia" w:cs="Times New Roman"/>
          <w:b/>
          <w:bCs/>
          <w:i w:val="0"/>
          <w:iCs w:val="0"/>
          <w:color w:val="auto"/>
          <w:sz w:val="20"/>
          <w:szCs w:val="20"/>
        </w:rPr>
        <w:instrText xml:space="preserve"> SEQ Gambar \* ARABIC </w:instrText>
      </w:r>
      <w:r w:rsidRPr="009420E4">
        <w:rPr>
          <w:rFonts w:ascii="Constantia" w:hAnsi="Constantia" w:cs="Times New Roman"/>
          <w:b/>
          <w:bCs/>
          <w:i w:val="0"/>
          <w:iCs w:val="0"/>
          <w:color w:val="auto"/>
          <w:sz w:val="20"/>
          <w:szCs w:val="20"/>
        </w:rPr>
        <w:fldChar w:fldCharType="separate"/>
      </w:r>
      <w:r w:rsidRPr="009420E4">
        <w:rPr>
          <w:rFonts w:ascii="Constantia" w:hAnsi="Constantia" w:cs="Times New Roman"/>
          <w:b/>
          <w:bCs/>
          <w:i w:val="0"/>
          <w:iCs w:val="0"/>
          <w:noProof/>
          <w:color w:val="auto"/>
          <w:sz w:val="20"/>
          <w:szCs w:val="20"/>
        </w:rPr>
        <w:t>1</w:t>
      </w:r>
      <w:r w:rsidRPr="009420E4">
        <w:rPr>
          <w:rFonts w:ascii="Constantia" w:hAnsi="Constantia" w:cs="Times New Roman"/>
          <w:b/>
          <w:bCs/>
          <w:i w:val="0"/>
          <w:iCs w:val="0"/>
          <w:color w:val="auto"/>
          <w:sz w:val="20"/>
          <w:szCs w:val="20"/>
        </w:rPr>
        <w:fldChar w:fldCharType="end"/>
      </w:r>
      <w:r w:rsidRPr="009420E4">
        <w:rPr>
          <w:rFonts w:ascii="Constantia" w:hAnsi="Constantia" w:cs="Times New Roman"/>
          <w:i w:val="0"/>
          <w:iCs w:val="0"/>
          <w:color w:val="auto"/>
          <w:sz w:val="20"/>
          <w:szCs w:val="20"/>
        </w:rPr>
        <w:t>. Existing Waste Flow in PPNS</w:t>
      </w:r>
    </w:p>
    <w:p w14:paraId="089CACAB" w14:textId="77777777" w:rsidR="006643EB" w:rsidRPr="00105C13" w:rsidRDefault="006643EB" w:rsidP="006643EB">
      <w:pPr>
        <w:pStyle w:val="ListParagraph"/>
        <w:spacing w:after="0" w:line="240" w:lineRule="auto"/>
        <w:ind w:left="284" w:firstLine="436"/>
        <w:jc w:val="both"/>
        <w:rPr>
          <w:rFonts w:ascii="Constantia" w:hAnsi="Constantia" w:cs="Times New Roman"/>
          <w:sz w:val="20"/>
          <w:szCs w:val="20"/>
        </w:rPr>
      </w:pPr>
    </w:p>
    <w:p w14:paraId="33470C52" w14:textId="2A095017" w:rsidR="00E97E9D" w:rsidRPr="00105C13" w:rsidRDefault="004D5C74" w:rsidP="009420E4">
      <w:pPr>
        <w:pStyle w:val="ListParagraph"/>
        <w:spacing w:after="120"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Figure 1 illustrates the waste management flow within PPNS. Waste originating from various buildings is collected by cleaning personnel and temporarily stored at the PPNS Temporary Storage Facility (TPS). Subsequently, the accumulated waste is transported by a third party for further processing. The accumulation of waste at PPNS has the potential to generate GHG emissions, as noted by Kristanto &amp; Koven (2019). The calculation of carbon emissions from waste management at PPNS is based on the weight of each waste composition. Figure 2 presents a visualization of the waste composition generated from all buildings selected as sampling points at PPNS. SNI 19-3964-1994 outlines that waste composition includes physical components such as food waste, paper and cardboard, wood, textiles, rubber and leather, plastics, ferrous and non-ferrous metals, glass, and other materials such as soil, sand, stones, and ceramics.</w:t>
      </w:r>
    </w:p>
    <w:p w14:paraId="7F8E477B" w14:textId="72CC58C0" w:rsidR="004D5C74" w:rsidRPr="00105C13" w:rsidRDefault="004D5C74" w:rsidP="00E97E9D">
      <w:pPr>
        <w:pStyle w:val="ListParagraph"/>
        <w:spacing w:after="120" w:line="276" w:lineRule="auto"/>
        <w:ind w:left="284"/>
        <w:jc w:val="both"/>
        <w:rPr>
          <w:rFonts w:ascii="Constantia" w:hAnsi="Constantia" w:cs="Times New Roman"/>
          <w:sz w:val="20"/>
          <w:szCs w:val="20"/>
        </w:rPr>
      </w:pPr>
      <w:r w:rsidRPr="00105C13">
        <w:rPr>
          <w:rFonts w:ascii="Constantia" w:hAnsi="Constantia"/>
          <w:noProof/>
        </w:rPr>
        <w:drawing>
          <wp:anchor distT="0" distB="0" distL="114300" distR="114300" simplePos="0" relativeHeight="251669504" behindDoc="0" locked="0" layoutInCell="1" allowOverlap="1" wp14:anchorId="32CBC1A0" wp14:editId="48043BA4">
            <wp:simplePos x="0" y="0"/>
            <wp:positionH relativeFrom="margin">
              <wp:posOffset>718538</wp:posOffset>
            </wp:positionH>
            <wp:positionV relativeFrom="paragraph">
              <wp:posOffset>6082</wp:posOffset>
            </wp:positionV>
            <wp:extent cx="4647246" cy="2918515"/>
            <wp:effectExtent l="0" t="0" r="1270" b="15240"/>
            <wp:wrapNone/>
            <wp:docPr id="11" name="Chart 11" descr="Title: Diagram"/>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19523C18" w14:textId="116BE211" w:rsidR="00C03F8E" w:rsidRPr="00105C13" w:rsidRDefault="00C03F8E" w:rsidP="006643EB">
      <w:pPr>
        <w:pStyle w:val="ListParagraph"/>
        <w:spacing w:after="120" w:line="276" w:lineRule="auto"/>
        <w:ind w:left="284"/>
        <w:jc w:val="both"/>
        <w:rPr>
          <w:rFonts w:ascii="Constantia" w:hAnsi="Constantia" w:cs="Times New Roman"/>
          <w:sz w:val="20"/>
          <w:szCs w:val="20"/>
        </w:rPr>
      </w:pPr>
    </w:p>
    <w:p w14:paraId="3BAB73B8" w14:textId="5D571DC5" w:rsidR="00C03F8E" w:rsidRPr="00105C13" w:rsidRDefault="00C03F8E" w:rsidP="006643EB">
      <w:pPr>
        <w:pStyle w:val="ListParagraph"/>
        <w:spacing w:after="120" w:line="276" w:lineRule="auto"/>
        <w:ind w:left="284"/>
        <w:jc w:val="both"/>
        <w:rPr>
          <w:rFonts w:ascii="Constantia" w:hAnsi="Constantia" w:cs="Times New Roman"/>
          <w:sz w:val="20"/>
          <w:szCs w:val="20"/>
        </w:rPr>
      </w:pPr>
    </w:p>
    <w:p w14:paraId="721E0420" w14:textId="04913F9B" w:rsidR="00C03F8E" w:rsidRPr="00105C13" w:rsidRDefault="00C03F8E" w:rsidP="006643EB">
      <w:pPr>
        <w:pStyle w:val="ListParagraph"/>
        <w:spacing w:after="120" w:line="276" w:lineRule="auto"/>
        <w:ind w:left="284"/>
        <w:jc w:val="both"/>
        <w:rPr>
          <w:rFonts w:ascii="Constantia" w:hAnsi="Constantia" w:cs="Times New Roman"/>
          <w:sz w:val="20"/>
          <w:szCs w:val="20"/>
        </w:rPr>
      </w:pPr>
    </w:p>
    <w:p w14:paraId="5341DA13" w14:textId="2057F0A8" w:rsidR="00C03F8E" w:rsidRPr="00105C13" w:rsidRDefault="00C03F8E" w:rsidP="006643EB">
      <w:pPr>
        <w:pStyle w:val="ListParagraph"/>
        <w:spacing w:after="120" w:line="276" w:lineRule="auto"/>
        <w:ind w:left="284"/>
        <w:jc w:val="both"/>
        <w:rPr>
          <w:rFonts w:ascii="Constantia" w:hAnsi="Constantia" w:cs="Times New Roman"/>
          <w:sz w:val="20"/>
          <w:szCs w:val="20"/>
        </w:rPr>
      </w:pPr>
    </w:p>
    <w:p w14:paraId="68B82A21" w14:textId="7C3530AA" w:rsidR="00C03F8E" w:rsidRPr="00105C13" w:rsidRDefault="00C03F8E" w:rsidP="006643EB">
      <w:pPr>
        <w:pStyle w:val="ListParagraph"/>
        <w:spacing w:after="120" w:line="276" w:lineRule="auto"/>
        <w:ind w:left="284"/>
        <w:jc w:val="both"/>
        <w:rPr>
          <w:rFonts w:ascii="Constantia" w:hAnsi="Constantia" w:cs="Times New Roman"/>
          <w:sz w:val="20"/>
          <w:szCs w:val="20"/>
        </w:rPr>
      </w:pPr>
    </w:p>
    <w:p w14:paraId="1F98F38E" w14:textId="49C4438F" w:rsidR="00C03F8E" w:rsidRPr="00105C13" w:rsidRDefault="00C03F8E" w:rsidP="006643EB">
      <w:pPr>
        <w:pStyle w:val="ListParagraph"/>
        <w:spacing w:after="120" w:line="276" w:lineRule="auto"/>
        <w:ind w:left="284"/>
        <w:jc w:val="both"/>
        <w:rPr>
          <w:rFonts w:ascii="Constantia" w:hAnsi="Constantia" w:cs="Times New Roman"/>
          <w:sz w:val="20"/>
          <w:szCs w:val="20"/>
        </w:rPr>
      </w:pPr>
    </w:p>
    <w:p w14:paraId="0960AEE7" w14:textId="77777777" w:rsidR="00C03F8E" w:rsidRPr="00105C13" w:rsidRDefault="00C03F8E" w:rsidP="006643EB">
      <w:pPr>
        <w:pStyle w:val="ListParagraph"/>
        <w:spacing w:after="120" w:line="276" w:lineRule="auto"/>
        <w:ind w:left="284"/>
        <w:jc w:val="both"/>
        <w:rPr>
          <w:rFonts w:ascii="Constantia" w:hAnsi="Constantia" w:cs="Times New Roman"/>
          <w:sz w:val="20"/>
          <w:szCs w:val="20"/>
        </w:rPr>
      </w:pPr>
    </w:p>
    <w:p w14:paraId="31A51D4C" w14:textId="310A5EC9" w:rsidR="00C03F8E" w:rsidRPr="00105C13" w:rsidRDefault="00C03F8E" w:rsidP="006643EB">
      <w:pPr>
        <w:pStyle w:val="ListParagraph"/>
        <w:spacing w:after="120" w:line="276" w:lineRule="auto"/>
        <w:ind w:left="284"/>
        <w:jc w:val="both"/>
        <w:rPr>
          <w:rFonts w:ascii="Constantia" w:hAnsi="Constantia" w:cs="Times New Roman"/>
          <w:sz w:val="20"/>
          <w:szCs w:val="20"/>
        </w:rPr>
      </w:pPr>
    </w:p>
    <w:p w14:paraId="75E303CE" w14:textId="2115FE48" w:rsidR="002C53D6" w:rsidRPr="00105C13" w:rsidRDefault="002C53D6" w:rsidP="006643EB">
      <w:pPr>
        <w:pStyle w:val="ListParagraph"/>
        <w:spacing w:after="120" w:line="276" w:lineRule="auto"/>
        <w:ind w:left="284"/>
        <w:jc w:val="both"/>
        <w:rPr>
          <w:rFonts w:ascii="Constantia" w:hAnsi="Constantia" w:cs="Times New Roman"/>
          <w:sz w:val="20"/>
          <w:szCs w:val="20"/>
        </w:rPr>
      </w:pPr>
    </w:p>
    <w:p w14:paraId="63C8E127" w14:textId="2C727C92" w:rsidR="002C53D6" w:rsidRPr="00105C13" w:rsidRDefault="002C53D6" w:rsidP="006643EB">
      <w:pPr>
        <w:pStyle w:val="ListParagraph"/>
        <w:spacing w:after="120" w:line="276" w:lineRule="auto"/>
        <w:ind w:left="284"/>
        <w:jc w:val="both"/>
        <w:rPr>
          <w:rFonts w:ascii="Constantia" w:hAnsi="Constantia" w:cs="Times New Roman"/>
          <w:sz w:val="20"/>
          <w:szCs w:val="20"/>
        </w:rPr>
      </w:pPr>
    </w:p>
    <w:p w14:paraId="3F21B9FE" w14:textId="77777777" w:rsidR="002C53D6" w:rsidRPr="00105C13" w:rsidRDefault="002C53D6" w:rsidP="006643EB">
      <w:pPr>
        <w:pStyle w:val="ListParagraph"/>
        <w:spacing w:after="120" w:line="276" w:lineRule="auto"/>
        <w:ind w:left="284"/>
        <w:jc w:val="both"/>
        <w:rPr>
          <w:rFonts w:ascii="Constantia" w:hAnsi="Constantia" w:cs="Times New Roman"/>
          <w:sz w:val="20"/>
          <w:szCs w:val="20"/>
        </w:rPr>
      </w:pPr>
    </w:p>
    <w:p w14:paraId="0C976307" w14:textId="26BEB1A0" w:rsidR="00C03F8E" w:rsidRPr="00105C13" w:rsidRDefault="00C03F8E" w:rsidP="006643EB">
      <w:pPr>
        <w:pStyle w:val="ListParagraph"/>
        <w:spacing w:after="120" w:line="276" w:lineRule="auto"/>
        <w:ind w:left="284"/>
        <w:jc w:val="both"/>
        <w:rPr>
          <w:rFonts w:ascii="Constantia" w:hAnsi="Constantia" w:cs="Times New Roman"/>
          <w:sz w:val="20"/>
          <w:szCs w:val="20"/>
        </w:rPr>
      </w:pPr>
    </w:p>
    <w:p w14:paraId="7CB115CC" w14:textId="309E28AC" w:rsidR="00C03F8E" w:rsidRPr="00105C13" w:rsidRDefault="00C03F8E" w:rsidP="006643EB">
      <w:pPr>
        <w:pStyle w:val="ListParagraph"/>
        <w:spacing w:after="120" w:line="276" w:lineRule="auto"/>
        <w:ind w:left="284"/>
        <w:jc w:val="both"/>
        <w:rPr>
          <w:rFonts w:ascii="Constantia" w:hAnsi="Constantia" w:cs="Times New Roman"/>
          <w:sz w:val="20"/>
          <w:szCs w:val="20"/>
        </w:rPr>
      </w:pPr>
    </w:p>
    <w:p w14:paraId="3AD7D242" w14:textId="0F30677F" w:rsidR="00C03F8E" w:rsidRDefault="00C03F8E" w:rsidP="00C03F8E">
      <w:pPr>
        <w:pStyle w:val="ListParagraph"/>
        <w:keepNext/>
        <w:spacing w:after="120" w:line="276" w:lineRule="auto"/>
        <w:ind w:left="284"/>
        <w:jc w:val="both"/>
        <w:rPr>
          <w:rFonts w:ascii="Constantia" w:hAnsi="Constantia"/>
        </w:rPr>
      </w:pPr>
    </w:p>
    <w:p w14:paraId="35350D03" w14:textId="77777777" w:rsidR="009420E4" w:rsidRPr="00105C13" w:rsidRDefault="009420E4" w:rsidP="00C03F8E">
      <w:pPr>
        <w:pStyle w:val="ListParagraph"/>
        <w:keepNext/>
        <w:spacing w:after="120" w:line="276" w:lineRule="auto"/>
        <w:ind w:left="284"/>
        <w:jc w:val="both"/>
        <w:rPr>
          <w:rFonts w:ascii="Constantia" w:hAnsi="Constantia"/>
        </w:rPr>
      </w:pPr>
    </w:p>
    <w:p w14:paraId="360016F4" w14:textId="2C6AF298" w:rsidR="00C03F8E" w:rsidRPr="009420E4" w:rsidRDefault="009420E4" w:rsidP="00C03F8E">
      <w:pPr>
        <w:pStyle w:val="Caption"/>
        <w:jc w:val="center"/>
        <w:rPr>
          <w:rFonts w:ascii="Constantia" w:hAnsi="Constantia" w:cs="Times New Roman"/>
          <w:i w:val="0"/>
          <w:iCs w:val="0"/>
          <w:color w:val="auto"/>
          <w:sz w:val="20"/>
          <w:szCs w:val="20"/>
        </w:rPr>
      </w:pPr>
      <w:r>
        <w:rPr>
          <w:rFonts w:ascii="Constantia" w:hAnsi="Constantia" w:cs="Times New Roman"/>
          <w:i w:val="0"/>
          <w:iCs w:val="0"/>
          <w:color w:val="auto"/>
          <w:sz w:val="20"/>
          <w:szCs w:val="20"/>
        </w:rPr>
        <w:t>F</w:t>
      </w:r>
      <w:r w:rsidRPr="009420E4">
        <w:rPr>
          <w:rFonts w:ascii="Constantia" w:hAnsi="Constantia" w:cs="Times New Roman"/>
          <w:b/>
          <w:bCs/>
          <w:i w:val="0"/>
          <w:iCs w:val="0"/>
          <w:color w:val="auto"/>
          <w:sz w:val="20"/>
          <w:szCs w:val="20"/>
        </w:rPr>
        <w:t>igure</w:t>
      </w:r>
      <w:r w:rsidR="00C03F8E" w:rsidRPr="009420E4">
        <w:rPr>
          <w:rFonts w:ascii="Constantia" w:hAnsi="Constantia" w:cs="Times New Roman"/>
          <w:b/>
          <w:bCs/>
          <w:i w:val="0"/>
          <w:iCs w:val="0"/>
          <w:color w:val="auto"/>
          <w:sz w:val="20"/>
          <w:szCs w:val="20"/>
        </w:rPr>
        <w:t xml:space="preserve"> </w:t>
      </w:r>
      <w:r w:rsidR="00C03F8E" w:rsidRPr="009420E4">
        <w:rPr>
          <w:rFonts w:ascii="Constantia" w:hAnsi="Constantia" w:cs="Times New Roman"/>
          <w:b/>
          <w:bCs/>
          <w:i w:val="0"/>
          <w:iCs w:val="0"/>
          <w:color w:val="auto"/>
          <w:sz w:val="20"/>
          <w:szCs w:val="20"/>
        </w:rPr>
        <w:fldChar w:fldCharType="begin"/>
      </w:r>
      <w:r w:rsidR="00C03F8E" w:rsidRPr="009420E4">
        <w:rPr>
          <w:rFonts w:ascii="Constantia" w:hAnsi="Constantia" w:cs="Times New Roman"/>
          <w:b/>
          <w:bCs/>
          <w:i w:val="0"/>
          <w:iCs w:val="0"/>
          <w:color w:val="auto"/>
          <w:sz w:val="20"/>
          <w:szCs w:val="20"/>
        </w:rPr>
        <w:instrText xml:space="preserve"> SEQ Gambar \* ARABIC </w:instrText>
      </w:r>
      <w:r w:rsidR="00C03F8E" w:rsidRPr="009420E4">
        <w:rPr>
          <w:rFonts w:ascii="Constantia" w:hAnsi="Constantia" w:cs="Times New Roman"/>
          <w:b/>
          <w:bCs/>
          <w:i w:val="0"/>
          <w:iCs w:val="0"/>
          <w:color w:val="auto"/>
          <w:sz w:val="20"/>
          <w:szCs w:val="20"/>
        </w:rPr>
        <w:fldChar w:fldCharType="separate"/>
      </w:r>
      <w:r w:rsidR="003C5A99" w:rsidRPr="009420E4">
        <w:rPr>
          <w:rFonts w:ascii="Constantia" w:hAnsi="Constantia" w:cs="Times New Roman"/>
          <w:b/>
          <w:bCs/>
          <w:i w:val="0"/>
          <w:iCs w:val="0"/>
          <w:noProof/>
          <w:color w:val="auto"/>
          <w:sz w:val="20"/>
          <w:szCs w:val="20"/>
        </w:rPr>
        <w:t>2</w:t>
      </w:r>
      <w:r w:rsidR="00C03F8E" w:rsidRPr="009420E4">
        <w:rPr>
          <w:rFonts w:ascii="Constantia" w:hAnsi="Constantia" w:cs="Times New Roman"/>
          <w:b/>
          <w:bCs/>
          <w:i w:val="0"/>
          <w:iCs w:val="0"/>
          <w:color w:val="auto"/>
          <w:sz w:val="20"/>
          <w:szCs w:val="20"/>
        </w:rPr>
        <w:fldChar w:fldCharType="end"/>
      </w:r>
      <w:r w:rsidR="00C03F8E" w:rsidRPr="009420E4">
        <w:rPr>
          <w:rFonts w:ascii="Constantia" w:hAnsi="Constantia" w:cs="Times New Roman"/>
          <w:b/>
          <w:bCs/>
          <w:i w:val="0"/>
          <w:iCs w:val="0"/>
          <w:color w:val="auto"/>
          <w:sz w:val="20"/>
          <w:szCs w:val="20"/>
        </w:rPr>
        <w:t xml:space="preserve"> </w:t>
      </w:r>
      <w:r>
        <w:rPr>
          <w:rFonts w:ascii="Constantia" w:hAnsi="Constantia" w:cs="Times New Roman"/>
          <w:i w:val="0"/>
          <w:iCs w:val="0"/>
          <w:color w:val="auto"/>
          <w:sz w:val="20"/>
          <w:szCs w:val="20"/>
        </w:rPr>
        <w:t xml:space="preserve">Solid </w:t>
      </w:r>
      <w:r w:rsidR="004D5C74" w:rsidRPr="009420E4">
        <w:rPr>
          <w:rFonts w:ascii="Constantia" w:hAnsi="Constantia" w:cs="Times New Roman"/>
          <w:i w:val="0"/>
          <w:iCs w:val="0"/>
          <w:color w:val="auto"/>
          <w:sz w:val="20"/>
          <w:szCs w:val="20"/>
        </w:rPr>
        <w:t>Waste Composition at PPNS</w:t>
      </w:r>
    </w:p>
    <w:p w14:paraId="10584342" w14:textId="41C02F2E" w:rsidR="003445A2" w:rsidRPr="00105C13" w:rsidRDefault="003445A2" w:rsidP="0094363A">
      <w:pPr>
        <w:pStyle w:val="ListParagraph"/>
        <w:spacing w:after="120" w:line="276" w:lineRule="auto"/>
        <w:ind w:left="0" w:firstLine="567"/>
        <w:jc w:val="both"/>
        <w:rPr>
          <w:rFonts w:ascii="Constantia" w:hAnsi="Constantia" w:cs="Times New Roman"/>
          <w:sz w:val="20"/>
          <w:szCs w:val="20"/>
          <w:lang w:val="en-ID"/>
        </w:rPr>
      </w:pPr>
      <w:r w:rsidRPr="00105C13">
        <w:rPr>
          <w:rFonts w:ascii="Constantia" w:hAnsi="Constantia" w:cs="Times New Roman"/>
          <w:sz w:val="20"/>
          <w:szCs w:val="20"/>
          <w:lang w:val="en-ID"/>
        </w:rPr>
        <w:t xml:space="preserve">Figure 2 shows that the largest </w:t>
      </w:r>
      <w:r w:rsidR="009420E4">
        <w:rPr>
          <w:rFonts w:ascii="Constantia" w:hAnsi="Constantia" w:cs="Times New Roman"/>
          <w:sz w:val="20"/>
          <w:szCs w:val="20"/>
          <w:lang w:val="en-ID"/>
        </w:rPr>
        <w:t xml:space="preserve">solid </w:t>
      </w:r>
      <w:r w:rsidRPr="00105C13">
        <w:rPr>
          <w:rFonts w:ascii="Constantia" w:hAnsi="Constantia" w:cs="Times New Roman"/>
          <w:sz w:val="20"/>
          <w:szCs w:val="20"/>
          <w:lang w:val="en-ID"/>
        </w:rPr>
        <w:t xml:space="preserve">waste composition in PPNS is garden waste (28.3%), while the smallest is diaper waste (1.2%). The majority consists of non-compostable waste such as plastics and glass, which have high potential for recycling. This finding aligns with Fauzi et al. (2022), who stated that </w:t>
      </w:r>
      <w:r w:rsidR="00451644">
        <w:rPr>
          <w:rFonts w:ascii="Constantia" w:hAnsi="Constantia" w:cs="Times New Roman"/>
          <w:sz w:val="20"/>
          <w:szCs w:val="20"/>
          <w:lang w:val="en-ID"/>
        </w:rPr>
        <w:t xml:space="preserve">solid </w:t>
      </w:r>
      <w:r w:rsidRPr="00105C13">
        <w:rPr>
          <w:rFonts w:ascii="Constantia" w:hAnsi="Constantia" w:cs="Times New Roman"/>
          <w:sz w:val="20"/>
          <w:szCs w:val="20"/>
          <w:lang w:val="en-ID"/>
        </w:rPr>
        <w:t>waste sorting and recycling can reduce landfill accumulation while generating economic value. A study at Diponegoro University reported that emissions from solid waste management contributed 0.76% of total carbon emissions (Willentiana et al., 2019). Strategies such as composting, recycling, and waste sorting have been proven effective in reducing emissions (Saputra et al., 2024; Sunarto, 2013). Waste bank programs and environmental education also contribute to reducing waste volume. An analysis conducted at Bhayangkara University supports similar conclusions, indicating that waste dominated by recyclable materials can reduce waste accumulation by up to 94% (Meilani et al., 2021).</w:t>
      </w:r>
    </w:p>
    <w:p w14:paraId="64F8D8E1" w14:textId="3210056C" w:rsidR="0061440E" w:rsidRPr="00105C13" w:rsidRDefault="003445A2" w:rsidP="0094363A">
      <w:pPr>
        <w:pStyle w:val="ListParagraph"/>
        <w:spacing w:after="120" w:line="276" w:lineRule="auto"/>
        <w:ind w:left="0" w:firstLine="567"/>
        <w:jc w:val="both"/>
        <w:rPr>
          <w:rFonts w:ascii="Constantia" w:hAnsi="Constantia" w:cs="Times New Roman"/>
          <w:sz w:val="20"/>
          <w:szCs w:val="20"/>
          <w:lang w:val="en-ID"/>
        </w:rPr>
      </w:pPr>
      <w:r w:rsidRPr="00105C13">
        <w:rPr>
          <w:rFonts w:ascii="Constantia" w:hAnsi="Constantia" w:cs="Times New Roman"/>
          <w:sz w:val="20"/>
          <w:szCs w:val="20"/>
          <w:lang w:val="en-ID"/>
        </w:rPr>
        <w:t xml:space="preserve">The average </w:t>
      </w:r>
      <w:r w:rsidR="0094363A">
        <w:rPr>
          <w:rFonts w:ascii="Constantia" w:hAnsi="Constantia" w:cs="Times New Roman"/>
          <w:sz w:val="20"/>
          <w:szCs w:val="20"/>
          <w:lang w:val="en-ID"/>
        </w:rPr>
        <w:t xml:space="preserve">solid </w:t>
      </w:r>
      <w:r w:rsidRPr="00105C13">
        <w:rPr>
          <w:rFonts w:ascii="Constantia" w:hAnsi="Constantia" w:cs="Times New Roman"/>
          <w:sz w:val="20"/>
          <w:szCs w:val="20"/>
          <w:lang w:val="en-ID"/>
        </w:rPr>
        <w:t xml:space="preserve">waste generation rate per person per day across all sampled buildings is used as a reference to calculate the average weight of each waste composition in buildings where direct sampling has not been conducted. This approach provides a more representative overview of waste generation across all buildings, ensuring that the resulting data reflects existing conditions even when not all buildings are measured directly. A study by Pihawiano et al. (2024) notes that carbon emission values obtained from sampled buildings may be compared to, and used as representations for, unsampled buildings, provided that both share similar characteristics. The building representations include: Building E representing Teleconference (S), Building T representing Buildings A and B, the Canteen and Inbis representing the Library and Shipmart, the Repair Workshop representing the Tool, Construction, Welding, CNC, and Wood Workshops, and Buildings P and M representing Building N. This classification </w:t>
      </w:r>
      <w:r w:rsidRPr="00105C13">
        <w:rPr>
          <w:rFonts w:ascii="Constantia" w:hAnsi="Constantia" w:cs="Times New Roman"/>
          <w:sz w:val="20"/>
          <w:szCs w:val="20"/>
          <w:lang w:val="en-ID"/>
        </w:rPr>
        <w:lastRenderedPageBreak/>
        <w:t>is used to estimate the waste composition weights for buildings without direct sampling. These estimated weights support subsequent analyses related to the potential for recycling and the calculation of resulting emissions</w:t>
      </w:r>
      <w:r w:rsidR="0094363A">
        <w:rPr>
          <w:rFonts w:ascii="Constantia" w:hAnsi="Constantia" w:cs="Times New Roman"/>
          <w:sz w:val="20"/>
          <w:szCs w:val="20"/>
          <w:lang w:val="en-ID"/>
        </w:rPr>
        <w:t xml:space="preserve"> (Figure 3.).</w:t>
      </w:r>
    </w:p>
    <w:p w14:paraId="2410396D" w14:textId="671D6006" w:rsidR="00911836" w:rsidRPr="00105C13" w:rsidRDefault="00911836" w:rsidP="00911836">
      <w:pPr>
        <w:jc w:val="center"/>
        <w:rPr>
          <w:rFonts w:ascii="Constantia" w:hAnsi="Constantia"/>
        </w:rPr>
      </w:pPr>
    </w:p>
    <w:p w14:paraId="131A936B" w14:textId="5151B7E8" w:rsidR="0094363A" w:rsidRDefault="0094363A" w:rsidP="00911836">
      <w:pPr>
        <w:jc w:val="center"/>
        <w:rPr>
          <w:rFonts w:ascii="Constantia" w:hAnsi="Constantia" w:cs="Times New Roman"/>
        </w:rPr>
      </w:pPr>
      <w:r>
        <w:rPr>
          <w:noProof/>
        </w:rPr>
        <w:drawing>
          <wp:inline distT="0" distB="0" distL="0" distR="0" wp14:anchorId="47092110" wp14:editId="00672764">
            <wp:extent cx="4572000" cy="2567354"/>
            <wp:effectExtent l="0" t="0" r="0" b="4445"/>
            <wp:docPr id="1438176527" name="Chart 1">
              <a:extLst xmlns:a="http://schemas.openxmlformats.org/drawingml/2006/main">
                <a:ext uri="{FF2B5EF4-FFF2-40B4-BE49-F238E27FC236}">
                  <a16:creationId xmlns:a16="http://schemas.microsoft.com/office/drawing/2014/main" id="{D468F462-DBE6-EA94-D724-72DC9F2030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86DFA0" w14:textId="67DD6C5A" w:rsidR="00911836" w:rsidRPr="0094363A" w:rsidRDefault="0094363A" w:rsidP="0094363A">
      <w:pPr>
        <w:pStyle w:val="Caption"/>
        <w:jc w:val="center"/>
        <w:rPr>
          <w:rFonts w:ascii="Constantia" w:hAnsi="Constantia" w:cs="Times New Roman"/>
          <w:i w:val="0"/>
          <w:iCs w:val="0"/>
          <w:color w:val="auto"/>
          <w:sz w:val="20"/>
          <w:szCs w:val="20"/>
        </w:rPr>
      </w:pPr>
      <w:r w:rsidRPr="0094363A">
        <w:rPr>
          <w:rFonts w:ascii="Constantia" w:hAnsi="Constantia" w:cs="Times New Roman"/>
          <w:i w:val="0"/>
          <w:iCs w:val="0"/>
          <w:color w:val="auto"/>
          <w:sz w:val="20"/>
          <w:szCs w:val="20"/>
        </w:rPr>
        <w:t>F</w:t>
      </w:r>
      <w:r w:rsidRPr="0094363A">
        <w:rPr>
          <w:rFonts w:ascii="Constantia" w:hAnsi="Constantia" w:cs="Times New Roman"/>
          <w:b/>
          <w:bCs/>
          <w:i w:val="0"/>
          <w:iCs w:val="0"/>
          <w:color w:val="auto"/>
          <w:sz w:val="20"/>
          <w:szCs w:val="20"/>
        </w:rPr>
        <w:t xml:space="preserve">igure </w:t>
      </w:r>
      <w:r w:rsidRPr="0094363A">
        <w:rPr>
          <w:rFonts w:ascii="Constantia" w:hAnsi="Constantia" w:cs="Times New Roman"/>
          <w:b/>
          <w:bCs/>
          <w:i w:val="0"/>
          <w:iCs w:val="0"/>
          <w:color w:val="auto"/>
          <w:sz w:val="20"/>
          <w:szCs w:val="20"/>
        </w:rPr>
        <w:t xml:space="preserve">3. </w:t>
      </w:r>
      <w:r w:rsidR="004D5C74" w:rsidRPr="0094363A">
        <w:rPr>
          <w:rFonts w:ascii="Constantia" w:hAnsi="Constantia" w:cs="Times New Roman"/>
          <w:i w:val="0"/>
          <w:iCs w:val="0"/>
          <w:sz w:val="20"/>
          <w:szCs w:val="20"/>
        </w:rPr>
        <w:t xml:space="preserve">  </w:t>
      </w:r>
      <w:r w:rsidR="004D5C74" w:rsidRPr="0094363A">
        <w:rPr>
          <w:rFonts w:ascii="Constantia" w:hAnsi="Constantia" w:cs="Times New Roman"/>
          <w:i w:val="0"/>
          <w:iCs w:val="0"/>
          <w:color w:val="auto"/>
          <w:sz w:val="20"/>
          <w:szCs w:val="20"/>
        </w:rPr>
        <w:t>Carbon Emissions from</w:t>
      </w:r>
      <w:r w:rsidRPr="0094363A">
        <w:rPr>
          <w:rFonts w:ascii="Constantia" w:hAnsi="Constantia" w:cs="Times New Roman"/>
          <w:i w:val="0"/>
          <w:iCs w:val="0"/>
          <w:color w:val="auto"/>
          <w:sz w:val="20"/>
          <w:szCs w:val="20"/>
        </w:rPr>
        <w:t xml:space="preserve"> solis</w:t>
      </w:r>
      <w:r w:rsidR="004D5C74" w:rsidRPr="0094363A">
        <w:rPr>
          <w:rFonts w:ascii="Constantia" w:hAnsi="Constantia" w:cs="Times New Roman"/>
          <w:i w:val="0"/>
          <w:iCs w:val="0"/>
          <w:color w:val="auto"/>
          <w:sz w:val="20"/>
          <w:szCs w:val="20"/>
        </w:rPr>
        <w:t xml:space="preserve"> waste produced at each location in PPNS</w:t>
      </w:r>
    </w:p>
    <w:p w14:paraId="3F3D24E3" w14:textId="77777777" w:rsidR="00927C64" w:rsidRPr="00105C13" w:rsidRDefault="00927C64" w:rsidP="0061440E">
      <w:pPr>
        <w:pStyle w:val="ListParagraph"/>
        <w:ind w:left="284"/>
        <w:rPr>
          <w:rFonts w:ascii="Constantia" w:eastAsiaTheme="minorEastAsia" w:hAnsi="Constantia" w:cs="Times New Roman"/>
          <w:b/>
          <w:bCs/>
          <w:iCs/>
          <w:sz w:val="20"/>
          <w:szCs w:val="20"/>
        </w:rPr>
      </w:pPr>
    </w:p>
    <w:p w14:paraId="7C3C083F" w14:textId="0B90E525" w:rsidR="0061440E" w:rsidRPr="00105C13" w:rsidRDefault="00927C64" w:rsidP="0094363A">
      <w:pPr>
        <w:pStyle w:val="ListParagraph"/>
        <w:ind w:left="0" w:firstLine="567"/>
        <w:jc w:val="both"/>
        <w:rPr>
          <w:rFonts w:ascii="Constantia" w:eastAsiaTheme="minorEastAsia" w:hAnsi="Constantia" w:cs="Times New Roman"/>
          <w:iCs/>
          <w:sz w:val="20"/>
          <w:szCs w:val="20"/>
        </w:rPr>
      </w:pPr>
      <w:r w:rsidRPr="00105C13">
        <w:rPr>
          <w:rFonts w:ascii="Constantia" w:eastAsiaTheme="minorEastAsia" w:hAnsi="Constantia" w:cs="Times New Roman"/>
          <w:b/>
          <w:bCs/>
          <w:iCs/>
          <w:sz w:val="20"/>
          <w:szCs w:val="20"/>
        </w:rPr>
        <w:tab/>
      </w:r>
      <w:r w:rsidR="004D5C74" w:rsidRPr="00105C13">
        <w:rPr>
          <w:rFonts w:ascii="Constantia" w:eastAsiaTheme="minorEastAsia" w:hAnsi="Constantia" w:cs="Times New Roman"/>
          <w:iCs/>
          <w:sz w:val="20"/>
          <w:szCs w:val="20"/>
        </w:rPr>
        <w:t>Sofriadi et al. (2017) explain that there is a linear relationship, or a strong correlation, between the weight of waste generated and the amount of carbon emissions produced, which is also influenced by the type of waste composition. Their findings support the present study, which demonstrates that the magnitude of emissions from each building is affected by the weight of the respective waste components generated by that building. Other studies further indicate that moisture content, the carbon-to-nitrogen (C/N) ratio, and aeration levels significantly influence the amount of greenhouse gas emissions produced. High moisture content, for example, can accelerate the rate of gas emissions generated (Tang et al., 2023).</w:t>
      </w:r>
    </w:p>
    <w:p w14:paraId="0388CA98" w14:textId="77777777" w:rsidR="00927C64" w:rsidRPr="00105C13" w:rsidRDefault="00927C64" w:rsidP="0061440E">
      <w:pPr>
        <w:pStyle w:val="ListParagraph"/>
        <w:ind w:left="284"/>
        <w:rPr>
          <w:rFonts w:ascii="Constantia" w:eastAsiaTheme="minorEastAsia" w:hAnsi="Constantia" w:cs="Times New Roman"/>
          <w:b/>
          <w:bCs/>
          <w:iCs/>
          <w:sz w:val="20"/>
          <w:szCs w:val="20"/>
        </w:rPr>
      </w:pPr>
    </w:p>
    <w:p w14:paraId="78F0A792" w14:textId="1B0EF4FB" w:rsidR="0061440E" w:rsidRPr="00105C13" w:rsidRDefault="0094363A" w:rsidP="0094363A">
      <w:pPr>
        <w:pStyle w:val="ListParagraph"/>
        <w:ind w:left="567" w:hanging="567"/>
        <w:rPr>
          <w:rFonts w:ascii="Constantia" w:eastAsiaTheme="minorEastAsia" w:hAnsi="Constantia" w:cs="Times New Roman"/>
          <w:b/>
          <w:bCs/>
          <w:iCs/>
          <w:sz w:val="20"/>
          <w:szCs w:val="20"/>
        </w:rPr>
      </w:pPr>
      <w:r>
        <w:rPr>
          <w:rFonts w:ascii="Constantia" w:hAnsi="Constantia" w:cs="Times New Roman"/>
          <w:b/>
          <w:bCs/>
          <w:sz w:val="20"/>
          <w:szCs w:val="20"/>
        </w:rPr>
        <w:t xml:space="preserve">3.2 </w:t>
      </w:r>
      <w:r w:rsidR="009932AC" w:rsidRPr="00105C13">
        <w:rPr>
          <w:rFonts w:ascii="Constantia" w:hAnsi="Constantia" w:cs="Times New Roman"/>
          <w:b/>
          <w:bCs/>
          <w:sz w:val="20"/>
          <w:szCs w:val="20"/>
        </w:rPr>
        <w:t>Carbon Emission Mitigation</w:t>
      </w:r>
    </w:p>
    <w:p w14:paraId="77F2B63A" w14:textId="2D8870BD" w:rsidR="0061440E" w:rsidRPr="00105C13" w:rsidRDefault="009932AC" w:rsidP="0094363A">
      <w:pPr>
        <w:pStyle w:val="ListParagraph"/>
        <w:spacing w:line="276" w:lineRule="auto"/>
        <w:ind w:left="0" w:firstLine="567"/>
        <w:jc w:val="both"/>
        <w:rPr>
          <w:rFonts w:ascii="Constantia" w:hAnsi="Constantia" w:cs="Times New Roman"/>
          <w:sz w:val="20"/>
          <w:szCs w:val="20"/>
        </w:rPr>
      </w:pPr>
      <w:r w:rsidRPr="00105C13">
        <w:rPr>
          <w:rFonts w:ascii="Constantia" w:hAnsi="Constantia" w:cs="Times New Roman"/>
          <w:sz w:val="20"/>
          <w:szCs w:val="20"/>
        </w:rPr>
        <w:t>The Recovery Factor (RF) is an indicator that represents the percentage of waste that can be managed (Sofriadi et al., 2017). The calculated RF values are then used to estimate the emissions from waste components that have the potential to be reduced. The RF calculation for recyclable waste is based on the compositional potential that holds economic value and can be distributed through collaboration with the PPNS Waste Bank. This calculation process refers to the guidelines developed by Kreith &amp; Tchobanoglous (2002), as presented in Table 2.</w:t>
      </w:r>
    </w:p>
    <w:p w14:paraId="233A8D1C" w14:textId="3689366B" w:rsidR="0061440E" w:rsidRPr="0094363A" w:rsidRDefault="0061440E" w:rsidP="0094363A">
      <w:pPr>
        <w:pStyle w:val="Caption"/>
        <w:keepNext/>
        <w:ind w:firstLine="284"/>
        <w:jc w:val="center"/>
        <w:rPr>
          <w:rFonts w:ascii="Constantia" w:hAnsi="Constantia" w:cs="Times New Roman"/>
          <w:i w:val="0"/>
          <w:iCs w:val="0"/>
          <w:color w:val="auto"/>
          <w:sz w:val="20"/>
          <w:szCs w:val="20"/>
        </w:rPr>
      </w:pPr>
      <w:r w:rsidRPr="0094363A">
        <w:rPr>
          <w:rFonts w:ascii="Constantia" w:hAnsi="Constantia" w:cs="Times New Roman"/>
          <w:i w:val="0"/>
          <w:iCs w:val="0"/>
          <w:color w:val="auto"/>
          <w:sz w:val="20"/>
          <w:szCs w:val="20"/>
        </w:rPr>
        <w:t xml:space="preserve">Tabel </w:t>
      </w:r>
      <w:r w:rsidR="009A491E" w:rsidRPr="0094363A">
        <w:rPr>
          <w:rFonts w:ascii="Constantia" w:hAnsi="Constantia" w:cs="Times New Roman"/>
          <w:i w:val="0"/>
          <w:iCs w:val="0"/>
          <w:color w:val="auto"/>
          <w:sz w:val="20"/>
          <w:szCs w:val="20"/>
        </w:rPr>
        <w:fldChar w:fldCharType="begin"/>
      </w:r>
      <w:r w:rsidR="009A491E" w:rsidRPr="0094363A">
        <w:rPr>
          <w:rFonts w:ascii="Constantia" w:hAnsi="Constantia" w:cs="Times New Roman"/>
          <w:i w:val="0"/>
          <w:iCs w:val="0"/>
          <w:color w:val="auto"/>
          <w:sz w:val="20"/>
          <w:szCs w:val="20"/>
        </w:rPr>
        <w:instrText xml:space="preserve"> SEQ Tabel \* ARABIC </w:instrText>
      </w:r>
      <w:r w:rsidR="009A491E" w:rsidRPr="0094363A">
        <w:rPr>
          <w:rFonts w:ascii="Constantia" w:hAnsi="Constantia" w:cs="Times New Roman"/>
          <w:i w:val="0"/>
          <w:iCs w:val="0"/>
          <w:color w:val="auto"/>
          <w:sz w:val="20"/>
          <w:szCs w:val="20"/>
        </w:rPr>
        <w:fldChar w:fldCharType="separate"/>
      </w:r>
      <w:r w:rsidR="009A491E" w:rsidRPr="0094363A">
        <w:rPr>
          <w:rFonts w:ascii="Constantia" w:hAnsi="Constantia" w:cs="Times New Roman"/>
          <w:i w:val="0"/>
          <w:iCs w:val="0"/>
          <w:noProof/>
          <w:color w:val="auto"/>
          <w:sz w:val="20"/>
          <w:szCs w:val="20"/>
        </w:rPr>
        <w:t>3</w:t>
      </w:r>
      <w:r w:rsidR="009A491E" w:rsidRPr="0094363A">
        <w:rPr>
          <w:rFonts w:ascii="Constantia" w:hAnsi="Constantia" w:cs="Times New Roman"/>
          <w:i w:val="0"/>
          <w:iCs w:val="0"/>
          <w:color w:val="auto"/>
          <w:sz w:val="20"/>
          <w:szCs w:val="20"/>
        </w:rPr>
        <w:fldChar w:fldCharType="end"/>
      </w:r>
      <w:r w:rsidRPr="0094363A">
        <w:rPr>
          <w:rFonts w:ascii="Constantia" w:hAnsi="Constantia" w:cs="Times New Roman"/>
          <w:i w:val="0"/>
          <w:iCs w:val="0"/>
          <w:color w:val="auto"/>
          <w:sz w:val="20"/>
          <w:szCs w:val="20"/>
        </w:rPr>
        <w:t xml:space="preserve"> </w:t>
      </w:r>
      <w:r w:rsidR="009932AC" w:rsidRPr="0094363A">
        <w:rPr>
          <w:rFonts w:ascii="Constantia" w:hAnsi="Constantia" w:cs="Times New Roman"/>
          <w:i w:val="0"/>
          <w:iCs w:val="0"/>
          <w:color w:val="auto"/>
          <w:sz w:val="20"/>
          <w:szCs w:val="20"/>
        </w:rPr>
        <w:t>Ideal Composition Recovery Factor Percentages</w:t>
      </w:r>
    </w:p>
    <w:tbl>
      <w:tblPr>
        <w:tblW w:w="0" w:type="auto"/>
        <w:jc w:val="center"/>
        <w:tblLook w:val="04A0" w:firstRow="1" w:lastRow="0" w:firstColumn="1" w:lastColumn="0" w:noHBand="0" w:noVBand="1"/>
      </w:tblPr>
      <w:tblGrid>
        <w:gridCol w:w="2126"/>
        <w:gridCol w:w="2268"/>
        <w:gridCol w:w="2263"/>
      </w:tblGrid>
      <w:tr w:rsidR="0061440E" w:rsidRPr="00105C13" w14:paraId="35569A37" w14:textId="77777777" w:rsidTr="00A9224A">
        <w:trPr>
          <w:tblHeader/>
          <w:jc w:val="center"/>
        </w:trPr>
        <w:tc>
          <w:tcPr>
            <w:tcW w:w="2126" w:type="dxa"/>
            <w:vMerge w:val="restart"/>
            <w:tcBorders>
              <w:top w:val="single" w:sz="4" w:space="0" w:color="auto"/>
              <w:bottom w:val="single" w:sz="4" w:space="0" w:color="auto"/>
            </w:tcBorders>
            <w:vAlign w:val="center"/>
          </w:tcPr>
          <w:p w14:paraId="04454CBA" w14:textId="77777777" w:rsidR="0061440E" w:rsidRPr="00105C13" w:rsidRDefault="0061440E" w:rsidP="008B4BC2">
            <w:pPr>
              <w:spacing w:after="0" w:line="240" w:lineRule="auto"/>
              <w:jc w:val="center"/>
              <w:rPr>
                <w:rFonts w:ascii="Constantia" w:hAnsi="Constantia"/>
                <w:b/>
                <w:bCs/>
                <w:sz w:val="18"/>
                <w:szCs w:val="18"/>
              </w:rPr>
            </w:pPr>
            <w:r w:rsidRPr="00105C13">
              <w:rPr>
                <w:rFonts w:ascii="Constantia" w:hAnsi="Constantia"/>
                <w:b/>
                <w:bCs/>
                <w:sz w:val="18"/>
                <w:szCs w:val="18"/>
              </w:rPr>
              <w:t>Material</w:t>
            </w:r>
          </w:p>
        </w:tc>
        <w:tc>
          <w:tcPr>
            <w:tcW w:w="4531" w:type="dxa"/>
            <w:gridSpan w:val="2"/>
            <w:tcBorders>
              <w:top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8"/>
            </w:tblGrid>
            <w:tr w:rsidR="009932AC" w:rsidRPr="00105C13" w14:paraId="5FE2BC7A" w14:textId="77777777" w:rsidTr="00A9224A">
              <w:trPr>
                <w:tblHeader/>
                <w:tblCellSpacing w:w="15" w:type="dxa"/>
              </w:trPr>
              <w:tc>
                <w:tcPr>
                  <w:tcW w:w="0" w:type="auto"/>
                  <w:vAlign w:val="center"/>
                  <w:hideMark/>
                </w:tcPr>
                <w:p w14:paraId="478F4F51" w14:textId="77777777" w:rsidR="009932AC" w:rsidRPr="00105C13" w:rsidRDefault="009932AC" w:rsidP="00A9224A">
                  <w:pPr>
                    <w:spacing w:after="0" w:line="240" w:lineRule="auto"/>
                    <w:jc w:val="center"/>
                    <w:rPr>
                      <w:rFonts w:ascii="Constantia" w:hAnsi="Constantia"/>
                      <w:b/>
                      <w:bCs/>
                      <w:sz w:val="18"/>
                      <w:szCs w:val="18"/>
                      <w:lang w:val="en-ID"/>
                    </w:rPr>
                  </w:pPr>
                  <w:r w:rsidRPr="00105C13">
                    <w:rPr>
                      <w:rFonts w:ascii="Constantia" w:hAnsi="Constantia"/>
                      <w:b/>
                      <w:bCs/>
                      <w:sz w:val="18"/>
                      <w:szCs w:val="18"/>
                      <w:lang w:val="en-ID"/>
                    </w:rPr>
                    <w:t>Recovery Percentage (Recovery Factor)</w:t>
                  </w:r>
                </w:p>
              </w:tc>
            </w:tr>
          </w:tbl>
          <w:p w14:paraId="18657D4C" w14:textId="77777777" w:rsidR="009932AC" w:rsidRPr="00105C13" w:rsidRDefault="009932AC" w:rsidP="00A9224A">
            <w:pPr>
              <w:spacing w:after="0" w:line="240" w:lineRule="auto"/>
              <w:jc w:val="center"/>
              <w:rPr>
                <w:rFonts w:ascii="Constantia" w:hAnsi="Constantia"/>
                <w:b/>
                <w:bCs/>
                <w:vanish/>
                <w:sz w:val="18"/>
                <w:szCs w:val="18"/>
                <w:lang w:val="en-ID"/>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932AC" w:rsidRPr="00105C13" w14:paraId="60F2DDFA" w14:textId="77777777">
              <w:trPr>
                <w:tblCellSpacing w:w="15" w:type="dxa"/>
              </w:trPr>
              <w:tc>
                <w:tcPr>
                  <w:tcW w:w="0" w:type="auto"/>
                  <w:vAlign w:val="center"/>
                  <w:hideMark/>
                </w:tcPr>
                <w:p w14:paraId="08849272" w14:textId="77777777" w:rsidR="009932AC" w:rsidRPr="00105C13" w:rsidRDefault="009932AC" w:rsidP="00A9224A">
                  <w:pPr>
                    <w:spacing w:after="0" w:line="240" w:lineRule="auto"/>
                    <w:jc w:val="center"/>
                    <w:rPr>
                      <w:rFonts w:ascii="Constantia" w:hAnsi="Constantia"/>
                      <w:b/>
                      <w:bCs/>
                      <w:sz w:val="18"/>
                      <w:szCs w:val="18"/>
                      <w:lang w:val="en-ID"/>
                    </w:rPr>
                  </w:pPr>
                </w:p>
              </w:tc>
            </w:tr>
          </w:tbl>
          <w:p w14:paraId="719D29B9" w14:textId="630EBDAC" w:rsidR="0061440E" w:rsidRPr="00105C13" w:rsidRDefault="0061440E" w:rsidP="00A9224A">
            <w:pPr>
              <w:spacing w:after="0" w:line="240" w:lineRule="auto"/>
              <w:jc w:val="center"/>
              <w:rPr>
                <w:rFonts w:ascii="Constantia" w:hAnsi="Constantia"/>
                <w:b/>
                <w:bCs/>
                <w:sz w:val="18"/>
                <w:szCs w:val="18"/>
              </w:rPr>
            </w:pPr>
          </w:p>
        </w:tc>
      </w:tr>
      <w:tr w:rsidR="0061440E" w:rsidRPr="00105C13" w14:paraId="6F8514F5" w14:textId="77777777" w:rsidTr="00A9224A">
        <w:trPr>
          <w:tblHeader/>
          <w:jc w:val="center"/>
        </w:trPr>
        <w:tc>
          <w:tcPr>
            <w:tcW w:w="2126" w:type="dxa"/>
            <w:vMerge/>
            <w:tcBorders>
              <w:top w:val="single" w:sz="4" w:space="0" w:color="auto"/>
              <w:bottom w:val="single" w:sz="4" w:space="0" w:color="auto"/>
            </w:tcBorders>
          </w:tcPr>
          <w:p w14:paraId="5666FB22" w14:textId="77777777" w:rsidR="0061440E" w:rsidRPr="00105C13" w:rsidRDefault="0061440E" w:rsidP="008B4BC2">
            <w:pPr>
              <w:spacing w:after="0" w:line="240" w:lineRule="auto"/>
              <w:jc w:val="center"/>
              <w:rPr>
                <w:rFonts w:ascii="Constantia" w:hAnsi="Constantia"/>
                <w:b/>
                <w:bCs/>
                <w:sz w:val="18"/>
                <w:szCs w:val="18"/>
              </w:rPr>
            </w:pPr>
          </w:p>
        </w:tc>
        <w:tc>
          <w:tcPr>
            <w:tcW w:w="2268" w:type="dxa"/>
            <w:tcBorders>
              <w:bottom w:val="single" w:sz="4" w:space="0" w:color="auto"/>
            </w:tcBorders>
            <w:vAlign w:val="center"/>
          </w:tcPr>
          <w:p w14:paraId="47BD284F" w14:textId="0A5C030A" w:rsidR="0061440E" w:rsidRPr="00105C13" w:rsidRDefault="009932AC" w:rsidP="00A9224A">
            <w:pPr>
              <w:spacing w:after="0" w:line="240" w:lineRule="auto"/>
              <w:jc w:val="center"/>
              <w:rPr>
                <w:rFonts w:ascii="Constantia" w:hAnsi="Constantia"/>
                <w:b/>
                <w:bCs/>
                <w:sz w:val="18"/>
                <w:szCs w:val="18"/>
              </w:rPr>
            </w:pPr>
            <w:r w:rsidRPr="00105C13">
              <w:rPr>
                <w:rFonts w:ascii="Constantia" w:hAnsi="Constantia"/>
                <w:b/>
                <w:bCs/>
                <w:sz w:val="18"/>
                <w:szCs w:val="18"/>
              </w:rPr>
              <w:t>Range</w:t>
            </w:r>
            <w:r w:rsidR="0061440E" w:rsidRPr="00105C13">
              <w:rPr>
                <w:rFonts w:ascii="Constantia" w:hAnsi="Constantia"/>
                <w:b/>
                <w:bCs/>
                <w:sz w:val="18"/>
                <w:szCs w:val="18"/>
              </w:rPr>
              <w:t xml:space="preserve"> (%)</w:t>
            </w:r>
          </w:p>
        </w:tc>
        <w:tc>
          <w:tcPr>
            <w:tcW w:w="2263" w:type="dxa"/>
            <w:tcBorders>
              <w:bottom w:val="single" w:sz="4" w:space="0" w:color="auto"/>
            </w:tcBorders>
            <w:vAlign w:val="center"/>
          </w:tcPr>
          <w:p w14:paraId="3EC03A30" w14:textId="77777777" w:rsidR="0061440E" w:rsidRPr="00105C13" w:rsidRDefault="0061440E" w:rsidP="00A9224A">
            <w:pPr>
              <w:spacing w:after="0" w:line="240" w:lineRule="auto"/>
              <w:jc w:val="center"/>
              <w:rPr>
                <w:rFonts w:ascii="Constantia" w:hAnsi="Constantia"/>
                <w:b/>
                <w:bCs/>
                <w:sz w:val="18"/>
                <w:szCs w:val="18"/>
              </w:rPr>
            </w:pPr>
            <w:r w:rsidRPr="00105C13">
              <w:rPr>
                <w:rFonts w:ascii="Constantia" w:hAnsi="Constantia"/>
                <w:b/>
                <w:bCs/>
                <w:sz w:val="18"/>
                <w:szCs w:val="18"/>
              </w:rPr>
              <w:t>Tipikal (%)</w:t>
            </w:r>
          </w:p>
        </w:tc>
      </w:tr>
      <w:tr w:rsidR="0061440E" w:rsidRPr="00105C13" w14:paraId="3DB1CE98" w14:textId="77777777" w:rsidTr="00A9224A">
        <w:trPr>
          <w:jc w:val="center"/>
        </w:trPr>
        <w:tc>
          <w:tcPr>
            <w:tcW w:w="2126" w:type="dxa"/>
            <w:tcBorders>
              <w:top w:val="single" w:sz="4" w:space="0" w:color="auto"/>
            </w:tcBorders>
          </w:tcPr>
          <w:p w14:paraId="5F81ECD2" w14:textId="62DACA62" w:rsidR="0061440E" w:rsidRPr="00105C13" w:rsidRDefault="009932AC" w:rsidP="008B4BC2">
            <w:pPr>
              <w:spacing w:after="0" w:line="240" w:lineRule="auto"/>
              <w:jc w:val="both"/>
              <w:rPr>
                <w:rFonts w:ascii="Constantia" w:hAnsi="Constantia"/>
                <w:sz w:val="18"/>
                <w:szCs w:val="18"/>
              </w:rPr>
            </w:pPr>
            <w:r w:rsidRPr="00105C13">
              <w:rPr>
                <w:rFonts w:ascii="Constantia" w:hAnsi="Constantia"/>
                <w:sz w:val="18"/>
                <w:szCs w:val="18"/>
              </w:rPr>
              <w:t>Easily biodegradable organic waste</w:t>
            </w:r>
          </w:p>
        </w:tc>
        <w:tc>
          <w:tcPr>
            <w:tcW w:w="2268" w:type="dxa"/>
            <w:tcBorders>
              <w:top w:val="single" w:sz="4" w:space="0" w:color="auto"/>
            </w:tcBorders>
            <w:vAlign w:val="center"/>
          </w:tcPr>
          <w:p w14:paraId="16670AD6" w14:textId="77777777" w:rsidR="0061440E" w:rsidRPr="00105C13" w:rsidRDefault="0061440E" w:rsidP="008B4BC2">
            <w:pPr>
              <w:spacing w:after="0" w:line="240" w:lineRule="auto"/>
              <w:jc w:val="center"/>
              <w:rPr>
                <w:rFonts w:ascii="Constantia" w:hAnsi="Constantia"/>
                <w:sz w:val="18"/>
                <w:szCs w:val="18"/>
              </w:rPr>
            </w:pPr>
          </w:p>
        </w:tc>
        <w:tc>
          <w:tcPr>
            <w:tcW w:w="2263" w:type="dxa"/>
            <w:tcBorders>
              <w:top w:val="single" w:sz="4" w:space="0" w:color="auto"/>
            </w:tcBorders>
            <w:vAlign w:val="center"/>
          </w:tcPr>
          <w:p w14:paraId="0A175F5B" w14:textId="77777777" w:rsidR="0061440E" w:rsidRPr="00105C13" w:rsidRDefault="0061440E" w:rsidP="008B4BC2">
            <w:pPr>
              <w:spacing w:after="0" w:line="240" w:lineRule="auto"/>
              <w:jc w:val="center"/>
              <w:rPr>
                <w:rFonts w:ascii="Constantia" w:hAnsi="Constantia"/>
                <w:sz w:val="18"/>
                <w:szCs w:val="18"/>
              </w:rPr>
            </w:pPr>
            <w:r w:rsidRPr="00105C13">
              <w:rPr>
                <w:rFonts w:ascii="Constantia" w:hAnsi="Constantia"/>
                <w:sz w:val="18"/>
                <w:szCs w:val="18"/>
              </w:rPr>
              <w:t>80</w:t>
            </w:r>
          </w:p>
        </w:tc>
      </w:tr>
      <w:tr w:rsidR="0061440E" w:rsidRPr="00105C13" w14:paraId="12F232AD" w14:textId="77777777" w:rsidTr="0094363A">
        <w:trPr>
          <w:jc w:val="center"/>
        </w:trPr>
        <w:tc>
          <w:tcPr>
            <w:tcW w:w="2126" w:type="dxa"/>
          </w:tcPr>
          <w:p w14:paraId="694F8152" w14:textId="0F3B51E4" w:rsidR="0061440E" w:rsidRPr="00105C13" w:rsidRDefault="009932AC" w:rsidP="008B4BC2">
            <w:pPr>
              <w:spacing w:after="0" w:line="240" w:lineRule="auto"/>
              <w:jc w:val="both"/>
              <w:rPr>
                <w:rFonts w:ascii="Constantia" w:hAnsi="Constantia"/>
                <w:sz w:val="18"/>
                <w:szCs w:val="18"/>
              </w:rPr>
            </w:pPr>
            <w:r w:rsidRPr="00105C13">
              <w:rPr>
                <w:rFonts w:ascii="Constantia" w:hAnsi="Constantia"/>
                <w:sz w:val="18"/>
                <w:szCs w:val="18"/>
              </w:rPr>
              <w:t>Paper</w:t>
            </w:r>
          </w:p>
        </w:tc>
        <w:tc>
          <w:tcPr>
            <w:tcW w:w="2268" w:type="dxa"/>
            <w:vAlign w:val="center"/>
          </w:tcPr>
          <w:p w14:paraId="2A211A68" w14:textId="77777777" w:rsidR="0061440E" w:rsidRPr="00105C13" w:rsidRDefault="0061440E" w:rsidP="008B4BC2">
            <w:pPr>
              <w:spacing w:after="0" w:line="240" w:lineRule="auto"/>
              <w:jc w:val="center"/>
              <w:rPr>
                <w:rFonts w:ascii="Constantia" w:hAnsi="Constantia"/>
                <w:sz w:val="18"/>
                <w:szCs w:val="18"/>
              </w:rPr>
            </w:pPr>
            <w:r w:rsidRPr="00105C13">
              <w:rPr>
                <w:rFonts w:ascii="Constantia" w:hAnsi="Constantia"/>
                <w:sz w:val="18"/>
                <w:szCs w:val="18"/>
              </w:rPr>
              <w:t>40 - 60</w:t>
            </w:r>
          </w:p>
        </w:tc>
        <w:tc>
          <w:tcPr>
            <w:tcW w:w="2263" w:type="dxa"/>
            <w:vAlign w:val="center"/>
          </w:tcPr>
          <w:p w14:paraId="52FEC5AC" w14:textId="77777777" w:rsidR="0061440E" w:rsidRPr="00105C13" w:rsidRDefault="0061440E" w:rsidP="008B4BC2">
            <w:pPr>
              <w:spacing w:after="0" w:line="240" w:lineRule="auto"/>
              <w:jc w:val="center"/>
              <w:rPr>
                <w:rFonts w:ascii="Constantia" w:hAnsi="Constantia"/>
                <w:sz w:val="18"/>
                <w:szCs w:val="18"/>
              </w:rPr>
            </w:pPr>
            <w:r w:rsidRPr="00105C13">
              <w:rPr>
                <w:rFonts w:ascii="Constantia" w:hAnsi="Constantia"/>
                <w:sz w:val="18"/>
                <w:szCs w:val="18"/>
              </w:rPr>
              <w:t>50</w:t>
            </w:r>
          </w:p>
        </w:tc>
      </w:tr>
      <w:tr w:rsidR="0061440E" w:rsidRPr="00105C13" w14:paraId="1D18FCF9" w14:textId="77777777" w:rsidTr="0094363A">
        <w:trPr>
          <w:jc w:val="center"/>
        </w:trPr>
        <w:tc>
          <w:tcPr>
            <w:tcW w:w="2126" w:type="dxa"/>
          </w:tcPr>
          <w:p w14:paraId="708ECC7E" w14:textId="7D668685" w:rsidR="0061440E" w:rsidRPr="00105C13" w:rsidRDefault="009932AC" w:rsidP="008B4BC2">
            <w:pPr>
              <w:spacing w:after="0" w:line="240" w:lineRule="auto"/>
              <w:jc w:val="both"/>
              <w:rPr>
                <w:rFonts w:ascii="Constantia" w:hAnsi="Constantia"/>
                <w:sz w:val="18"/>
                <w:szCs w:val="18"/>
              </w:rPr>
            </w:pPr>
            <w:r w:rsidRPr="00105C13">
              <w:rPr>
                <w:rFonts w:ascii="Constantia" w:hAnsi="Constantia"/>
                <w:sz w:val="18"/>
                <w:szCs w:val="18"/>
              </w:rPr>
              <w:t>Plastic</w:t>
            </w:r>
          </w:p>
        </w:tc>
        <w:tc>
          <w:tcPr>
            <w:tcW w:w="2268" w:type="dxa"/>
            <w:vAlign w:val="center"/>
          </w:tcPr>
          <w:p w14:paraId="31480013" w14:textId="77777777" w:rsidR="0061440E" w:rsidRPr="00105C13" w:rsidRDefault="0061440E" w:rsidP="008B4BC2">
            <w:pPr>
              <w:spacing w:after="0" w:line="240" w:lineRule="auto"/>
              <w:jc w:val="center"/>
              <w:rPr>
                <w:rFonts w:ascii="Constantia" w:hAnsi="Constantia"/>
                <w:sz w:val="18"/>
                <w:szCs w:val="18"/>
              </w:rPr>
            </w:pPr>
            <w:r w:rsidRPr="00105C13">
              <w:rPr>
                <w:rFonts w:ascii="Constantia" w:hAnsi="Constantia"/>
                <w:sz w:val="18"/>
                <w:szCs w:val="18"/>
              </w:rPr>
              <w:t>70 - 90</w:t>
            </w:r>
          </w:p>
        </w:tc>
        <w:tc>
          <w:tcPr>
            <w:tcW w:w="2263" w:type="dxa"/>
            <w:vAlign w:val="center"/>
          </w:tcPr>
          <w:p w14:paraId="3237ADF2" w14:textId="77777777" w:rsidR="0061440E" w:rsidRPr="00105C13" w:rsidRDefault="0061440E" w:rsidP="008B4BC2">
            <w:pPr>
              <w:spacing w:after="0" w:line="240" w:lineRule="auto"/>
              <w:jc w:val="center"/>
              <w:rPr>
                <w:rFonts w:ascii="Constantia" w:hAnsi="Constantia"/>
                <w:sz w:val="18"/>
                <w:szCs w:val="18"/>
              </w:rPr>
            </w:pPr>
            <w:r w:rsidRPr="00105C13">
              <w:rPr>
                <w:rFonts w:ascii="Constantia" w:hAnsi="Constantia"/>
                <w:sz w:val="18"/>
                <w:szCs w:val="18"/>
              </w:rPr>
              <w:t>80</w:t>
            </w:r>
          </w:p>
        </w:tc>
      </w:tr>
      <w:tr w:rsidR="0061440E" w:rsidRPr="00105C13" w14:paraId="63C33CE4" w14:textId="77777777" w:rsidTr="00A9224A">
        <w:trPr>
          <w:jc w:val="center"/>
        </w:trPr>
        <w:tc>
          <w:tcPr>
            <w:tcW w:w="2126" w:type="dxa"/>
          </w:tcPr>
          <w:p w14:paraId="62ADB10D" w14:textId="68235337" w:rsidR="0061440E" w:rsidRPr="00105C13" w:rsidRDefault="009932AC" w:rsidP="008B4BC2">
            <w:pPr>
              <w:spacing w:after="0" w:line="240" w:lineRule="auto"/>
              <w:jc w:val="both"/>
              <w:rPr>
                <w:rFonts w:ascii="Constantia" w:hAnsi="Constantia"/>
                <w:sz w:val="18"/>
                <w:szCs w:val="18"/>
              </w:rPr>
            </w:pPr>
            <w:r w:rsidRPr="00105C13">
              <w:rPr>
                <w:rFonts w:ascii="Constantia" w:hAnsi="Constantia"/>
                <w:sz w:val="18"/>
                <w:szCs w:val="18"/>
              </w:rPr>
              <w:t>Glass</w:t>
            </w:r>
          </w:p>
        </w:tc>
        <w:tc>
          <w:tcPr>
            <w:tcW w:w="2268" w:type="dxa"/>
            <w:vAlign w:val="center"/>
          </w:tcPr>
          <w:p w14:paraId="3C6E1C56" w14:textId="77777777" w:rsidR="0061440E" w:rsidRPr="00105C13" w:rsidRDefault="0061440E" w:rsidP="008B4BC2">
            <w:pPr>
              <w:spacing w:after="0" w:line="240" w:lineRule="auto"/>
              <w:jc w:val="center"/>
              <w:rPr>
                <w:rFonts w:ascii="Constantia" w:hAnsi="Constantia"/>
                <w:sz w:val="18"/>
                <w:szCs w:val="18"/>
              </w:rPr>
            </w:pPr>
            <w:r w:rsidRPr="00105C13">
              <w:rPr>
                <w:rFonts w:ascii="Constantia" w:hAnsi="Constantia"/>
                <w:sz w:val="18"/>
                <w:szCs w:val="18"/>
              </w:rPr>
              <w:t>50 - 80</w:t>
            </w:r>
          </w:p>
        </w:tc>
        <w:tc>
          <w:tcPr>
            <w:tcW w:w="2263" w:type="dxa"/>
            <w:vAlign w:val="center"/>
          </w:tcPr>
          <w:p w14:paraId="6741D632" w14:textId="77777777" w:rsidR="0061440E" w:rsidRPr="00105C13" w:rsidRDefault="0061440E" w:rsidP="008B4BC2">
            <w:pPr>
              <w:spacing w:after="0" w:line="240" w:lineRule="auto"/>
              <w:jc w:val="center"/>
              <w:rPr>
                <w:rFonts w:ascii="Constantia" w:hAnsi="Constantia"/>
                <w:sz w:val="18"/>
                <w:szCs w:val="18"/>
              </w:rPr>
            </w:pPr>
            <w:r w:rsidRPr="00105C13">
              <w:rPr>
                <w:rFonts w:ascii="Constantia" w:hAnsi="Constantia"/>
                <w:sz w:val="18"/>
                <w:szCs w:val="18"/>
              </w:rPr>
              <w:t>65</w:t>
            </w:r>
          </w:p>
        </w:tc>
      </w:tr>
      <w:tr w:rsidR="0061440E" w:rsidRPr="00105C13" w14:paraId="59284D06" w14:textId="77777777" w:rsidTr="00A9224A">
        <w:trPr>
          <w:jc w:val="center"/>
        </w:trPr>
        <w:tc>
          <w:tcPr>
            <w:tcW w:w="2126" w:type="dxa"/>
            <w:tcBorders>
              <w:bottom w:val="single" w:sz="4" w:space="0" w:color="auto"/>
            </w:tcBorders>
          </w:tcPr>
          <w:p w14:paraId="5403D2EA" w14:textId="03A96D0E" w:rsidR="0061440E" w:rsidRPr="00105C13" w:rsidRDefault="009932AC" w:rsidP="008B4BC2">
            <w:pPr>
              <w:spacing w:after="0" w:line="240" w:lineRule="auto"/>
              <w:jc w:val="both"/>
              <w:rPr>
                <w:rFonts w:ascii="Constantia" w:hAnsi="Constantia"/>
                <w:sz w:val="18"/>
                <w:szCs w:val="18"/>
              </w:rPr>
            </w:pPr>
            <w:r w:rsidRPr="00105C13">
              <w:rPr>
                <w:rFonts w:ascii="Constantia" w:hAnsi="Constantia"/>
                <w:sz w:val="18"/>
                <w:szCs w:val="18"/>
              </w:rPr>
              <w:t>Metal</w:t>
            </w:r>
          </w:p>
        </w:tc>
        <w:tc>
          <w:tcPr>
            <w:tcW w:w="2268" w:type="dxa"/>
            <w:tcBorders>
              <w:bottom w:val="single" w:sz="4" w:space="0" w:color="auto"/>
            </w:tcBorders>
            <w:vAlign w:val="center"/>
          </w:tcPr>
          <w:p w14:paraId="31BF3DEA" w14:textId="77777777" w:rsidR="0061440E" w:rsidRPr="00105C13" w:rsidRDefault="0061440E" w:rsidP="008B4BC2">
            <w:pPr>
              <w:spacing w:after="0" w:line="240" w:lineRule="auto"/>
              <w:jc w:val="center"/>
              <w:rPr>
                <w:rFonts w:ascii="Constantia" w:hAnsi="Constantia"/>
                <w:sz w:val="18"/>
                <w:szCs w:val="18"/>
              </w:rPr>
            </w:pPr>
            <w:r w:rsidRPr="00105C13">
              <w:rPr>
                <w:rFonts w:ascii="Constantia" w:hAnsi="Constantia"/>
                <w:sz w:val="18"/>
                <w:szCs w:val="18"/>
              </w:rPr>
              <w:t>70 - 95</w:t>
            </w:r>
          </w:p>
        </w:tc>
        <w:tc>
          <w:tcPr>
            <w:tcW w:w="2263" w:type="dxa"/>
            <w:tcBorders>
              <w:bottom w:val="single" w:sz="4" w:space="0" w:color="auto"/>
            </w:tcBorders>
            <w:vAlign w:val="center"/>
          </w:tcPr>
          <w:p w14:paraId="10B70ADC" w14:textId="77777777" w:rsidR="0061440E" w:rsidRPr="00105C13" w:rsidRDefault="0061440E" w:rsidP="008B4BC2">
            <w:pPr>
              <w:spacing w:after="0" w:line="240" w:lineRule="auto"/>
              <w:jc w:val="center"/>
              <w:rPr>
                <w:rFonts w:ascii="Constantia" w:hAnsi="Constantia"/>
                <w:sz w:val="18"/>
                <w:szCs w:val="18"/>
              </w:rPr>
            </w:pPr>
            <w:r w:rsidRPr="00105C13">
              <w:rPr>
                <w:rFonts w:ascii="Constantia" w:hAnsi="Constantia"/>
                <w:sz w:val="18"/>
                <w:szCs w:val="18"/>
              </w:rPr>
              <w:t>85</w:t>
            </w:r>
          </w:p>
        </w:tc>
      </w:tr>
    </w:tbl>
    <w:p w14:paraId="09072668" w14:textId="5BEEE28B" w:rsidR="004603D2" w:rsidRPr="00105C13" w:rsidRDefault="0032050F" w:rsidP="004603D2">
      <w:pPr>
        <w:spacing w:after="0"/>
        <w:ind w:firstLine="284"/>
        <w:jc w:val="both"/>
        <w:rPr>
          <w:rFonts w:ascii="Constantia" w:hAnsi="Constantia"/>
          <w:sz w:val="20"/>
          <w:szCs w:val="20"/>
        </w:rPr>
      </w:pPr>
      <w:r>
        <w:rPr>
          <w:rFonts w:ascii="Constantia" w:hAnsi="Constantia"/>
          <w:sz w:val="20"/>
          <w:szCs w:val="20"/>
        </w:rPr>
        <w:t xml:space="preserve">                   </w:t>
      </w:r>
      <w:r w:rsidR="009932AC" w:rsidRPr="00105C13">
        <w:rPr>
          <w:rFonts w:ascii="Constantia" w:hAnsi="Constantia"/>
          <w:sz w:val="20"/>
          <w:szCs w:val="20"/>
        </w:rPr>
        <w:t>Source</w:t>
      </w:r>
      <w:r w:rsidR="004603D2" w:rsidRPr="00105C13">
        <w:rPr>
          <w:rFonts w:ascii="Constantia" w:hAnsi="Constantia"/>
          <w:sz w:val="20"/>
          <w:szCs w:val="20"/>
        </w:rPr>
        <w:t>: (Kreith &amp; Tchobanoglous, 2002)</w:t>
      </w:r>
    </w:p>
    <w:p w14:paraId="19BFB330" w14:textId="346AB009" w:rsidR="004603D2" w:rsidRPr="00105C13" w:rsidRDefault="009932AC" w:rsidP="00A9224A">
      <w:pPr>
        <w:pStyle w:val="ListParagraph"/>
        <w:spacing w:line="276" w:lineRule="auto"/>
        <w:ind w:left="0" w:firstLine="567"/>
        <w:jc w:val="both"/>
        <w:rPr>
          <w:rFonts w:ascii="Constantia" w:eastAsiaTheme="minorEastAsia" w:hAnsi="Constantia" w:cs="Times New Roman"/>
          <w:sz w:val="20"/>
          <w:szCs w:val="20"/>
        </w:rPr>
      </w:pPr>
      <w:r w:rsidRPr="00105C13">
        <w:rPr>
          <w:rFonts w:ascii="Constantia" w:eastAsiaTheme="minorEastAsia" w:hAnsi="Constantia" w:cs="Times New Roman"/>
          <w:sz w:val="20"/>
          <w:szCs w:val="20"/>
        </w:rPr>
        <w:lastRenderedPageBreak/>
        <w:t>The determination of recovery factor values for each waste composition at PPNS was conducted through direct field observation while still referring to the benchmark values established by Kreith and Tchobanoglous (2002). The following is an example calculation for metal waste generated at PPNS:</w:t>
      </w:r>
    </w:p>
    <w:p w14:paraId="3E8C4B9F" w14:textId="59701CAA" w:rsidR="004603D2" w:rsidRPr="00A9224A" w:rsidRDefault="009932AC" w:rsidP="00A9224A">
      <w:pPr>
        <w:pStyle w:val="ListParagraph"/>
        <w:spacing w:line="276" w:lineRule="auto"/>
        <w:ind w:left="0" w:firstLine="567"/>
        <w:jc w:val="both"/>
        <w:rPr>
          <w:rFonts w:ascii="Constantia" w:eastAsiaTheme="minorEastAsia" w:hAnsi="Constantia" w:cs="Times New Roman"/>
          <w:sz w:val="20"/>
          <w:szCs w:val="20"/>
        </w:rPr>
      </w:pPr>
      <w:r w:rsidRPr="00A9224A">
        <w:rPr>
          <w:rFonts w:ascii="Constantia" w:eastAsiaTheme="minorEastAsia" w:hAnsi="Constantia" w:cs="Times New Roman"/>
          <w:sz w:val="20"/>
          <w:szCs w:val="20"/>
        </w:rPr>
        <w:t>Weight of metal waste composition</w:t>
      </w:r>
      <w:r w:rsidR="004603D2" w:rsidRPr="00A9224A">
        <w:rPr>
          <w:rFonts w:ascii="Constantia" w:eastAsiaTheme="minorEastAsia" w:hAnsi="Constantia" w:cs="Times New Roman"/>
          <w:sz w:val="20"/>
          <w:szCs w:val="20"/>
        </w:rPr>
        <w:t>= 0,285 Kg</w:t>
      </w:r>
    </w:p>
    <w:p w14:paraId="273DF8E4" w14:textId="15294857" w:rsidR="004603D2" w:rsidRPr="00A9224A" w:rsidRDefault="009932AC" w:rsidP="00A9224A">
      <w:pPr>
        <w:pStyle w:val="ListParagraph"/>
        <w:spacing w:line="276" w:lineRule="auto"/>
        <w:ind w:left="0" w:firstLine="567"/>
        <w:jc w:val="both"/>
        <w:rPr>
          <w:rFonts w:ascii="Constantia" w:eastAsiaTheme="minorEastAsia" w:hAnsi="Constantia" w:cs="Times New Roman"/>
          <w:sz w:val="20"/>
          <w:szCs w:val="20"/>
        </w:rPr>
      </w:pPr>
      <w:r w:rsidRPr="00A9224A">
        <w:rPr>
          <w:rFonts w:ascii="Constantia" w:eastAsiaTheme="minorEastAsia" w:hAnsi="Constantia" w:cs="Times New Roman"/>
          <w:sz w:val="20"/>
          <w:szCs w:val="20"/>
        </w:rPr>
        <w:t>Weight of recovered metal waste</w:t>
      </w:r>
      <w:r w:rsidR="004603D2" w:rsidRPr="00A9224A">
        <w:rPr>
          <w:rFonts w:ascii="Constantia" w:eastAsiaTheme="minorEastAsia" w:hAnsi="Constantia" w:cs="Times New Roman"/>
          <w:sz w:val="20"/>
          <w:szCs w:val="20"/>
        </w:rPr>
        <w:t>= 0,255 Kg</w:t>
      </w:r>
    </w:p>
    <w:p w14:paraId="0F820C69" w14:textId="7BFB78B3" w:rsidR="004603D2" w:rsidRPr="00A9224A" w:rsidRDefault="004603D2" w:rsidP="00A9224A">
      <w:pPr>
        <w:pStyle w:val="ListParagraph"/>
        <w:spacing w:line="276" w:lineRule="auto"/>
        <w:ind w:left="0" w:firstLine="567"/>
        <w:jc w:val="both"/>
        <w:rPr>
          <w:rFonts w:ascii="Constantia" w:eastAsiaTheme="minorEastAsia" w:hAnsi="Constantia" w:cs="Times New Roman"/>
          <w:sz w:val="20"/>
          <w:szCs w:val="20"/>
        </w:rPr>
      </w:pPr>
      <w:r w:rsidRPr="00A9224A">
        <w:rPr>
          <w:rFonts w:ascii="Constantia" w:eastAsiaTheme="minorEastAsia" w:hAnsi="Constantia" w:cs="Times New Roman"/>
          <w:sz w:val="20"/>
          <w:szCs w:val="20"/>
        </w:rPr>
        <w:t>%RF</w:t>
      </w:r>
      <w:r w:rsidRPr="00A9224A">
        <w:rPr>
          <w:rFonts w:ascii="Constantia" w:eastAsiaTheme="minorEastAsia" w:hAnsi="Constantia" w:cs="Times New Roman"/>
          <w:sz w:val="20"/>
          <w:szCs w:val="20"/>
        </w:rPr>
        <w:tab/>
      </w:r>
      <w:r w:rsidRPr="00A9224A">
        <w:rPr>
          <w:rFonts w:ascii="Constantia" w:eastAsiaTheme="minorEastAsia" w:hAnsi="Constantia" w:cs="Times New Roman"/>
          <w:sz w:val="20"/>
          <w:szCs w:val="20"/>
        </w:rPr>
        <w:tab/>
        <w:t xml:space="preserve">=  </w:t>
      </w:r>
      <m:oMath>
        <m:f>
          <m:fPr>
            <m:ctrlPr>
              <w:rPr>
                <w:rFonts w:ascii="Cambria Math" w:hAnsi="Cambria Math" w:cs="Times New Roman"/>
                <w:i/>
                <w:sz w:val="24"/>
                <w:szCs w:val="24"/>
              </w:rPr>
            </m:ctrlPr>
          </m:fPr>
          <m:num>
            <m:r>
              <w:rPr>
                <w:rFonts w:ascii="Cambria Math" w:hAnsi="Cambria Math" w:cs="Times New Roman"/>
                <w:sz w:val="24"/>
                <w:szCs w:val="24"/>
              </w:rPr>
              <m:t>Final waste mass</m:t>
            </m:r>
          </m:num>
          <m:den>
            <m:r>
              <w:rPr>
                <w:rFonts w:ascii="Cambria Math" w:hAnsi="Cambria Math" w:cs="Times New Roman"/>
                <w:sz w:val="24"/>
                <w:szCs w:val="24"/>
              </w:rPr>
              <m:t>Initial waste mass</m:t>
            </m:r>
          </m:den>
        </m:f>
      </m:oMath>
      <w:r w:rsidRPr="00A9224A">
        <w:rPr>
          <w:rFonts w:ascii="Constantia" w:eastAsiaTheme="minorEastAsia" w:hAnsi="Constantia" w:cs="Times New Roman"/>
          <w:sz w:val="24"/>
          <w:szCs w:val="24"/>
        </w:rPr>
        <w:t xml:space="preserve"> </w:t>
      </w:r>
      <w:r w:rsidRPr="00A9224A">
        <w:rPr>
          <w:rFonts w:ascii="Constantia" w:eastAsiaTheme="minorEastAsia" w:hAnsi="Constantia" w:cs="Times New Roman"/>
          <w:sz w:val="20"/>
          <w:szCs w:val="20"/>
        </w:rPr>
        <w:t>x 100%</w:t>
      </w:r>
    </w:p>
    <w:p w14:paraId="2CC6BE65" w14:textId="0F74C7B4" w:rsidR="004603D2" w:rsidRPr="00A9224A" w:rsidRDefault="004603D2" w:rsidP="00A9224A">
      <w:pPr>
        <w:pStyle w:val="ListParagraph"/>
        <w:spacing w:line="276" w:lineRule="auto"/>
        <w:ind w:left="0" w:firstLine="567"/>
        <w:jc w:val="both"/>
        <w:rPr>
          <w:rFonts w:ascii="Constantia" w:eastAsiaTheme="minorEastAsia" w:hAnsi="Constantia" w:cs="Times New Roman"/>
          <w:sz w:val="20"/>
          <w:szCs w:val="20"/>
        </w:rPr>
      </w:pPr>
      <w:r w:rsidRPr="00A9224A">
        <w:rPr>
          <w:rFonts w:ascii="Constantia" w:eastAsiaTheme="minorEastAsia" w:hAnsi="Constantia" w:cs="Times New Roman"/>
          <w:sz w:val="20"/>
          <w:szCs w:val="20"/>
        </w:rPr>
        <w:tab/>
      </w:r>
      <w:r w:rsidRPr="00A9224A">
        <w:rPr>
          <w:rFonts w:ascii="Constantia" w:eastAsiaTheme="minorEastAsia" w:hAnsi="Constantia" w:cs="Times New Roman"/>
          <w:sz w:val="20"/>
          <w:szCs w:val="20"/>
        </w:rPr>
        <w:tab/>
      </w:r>
      <w:r w:rsidR="00A9224A">
        <w:rPr>
          <w:rFonts w:ascii="Constantia" w:eastAsiaTheme="minorEastAsia" w:hAnsi="Constantia" w:cs="Times New Roman"/>
          <w:sz w:val="20"/>
          <w:szCs w:val="20"/>
        </w:rPr>
        <w:tab/>
      </w:r>
      <w:r w:rsidRPr="00A9224A">
        <w:rPr>
          <w:rFonts w:ascii="Constantia" w:eastAsiaTheme="minorEastAsia" w:hAnsi="Constantia" w:cs="Times New Roman"/>
          <w:sz w:val="20"/>
          <w:szCs w:val="20"/>
        </w:rPr>
        <w:t xml:space="preserve">= </w:t>
      </w:r>
      <m:oMath>
        <m:f>
          <m:fPr>
            <m:ctrlPr>
              <w:rPr>
                <w:rFonts w:ascii="Cambria Math" w:hAnsi="Cambria Math" w:cs="Times New Roman"/>
                <w:i/>
                <w:sz w:val="24"/>
                <w:szCs w:val="24"/>
              </w:rPr>
            </m:ctrlPr>
          </m:fPr>
          <m:num>
            <m:r>
              <m:rPr>
                <m:sty m:val="p"/>
              </m:rPr>
              <w:rPr>
                <w:rFonts w:ascii="Cambria Math" w:eastAsiaTheme="minorEastAsia" w:hAnsi="Cambria Math" w:cs="Times New Roman"/>
                <w:sz w:val="20"/>
                <w:szCs w:val="20"/>
              </w:rPr>
              <m:t>0,255</m:t>
            </m:r>
          </m:num>
          <m:den>
            <m:r>
              <m:rPr>
                <m:sty m:val="p"/>
              </m:rPr>
              <w:rPr>
                <w:rFonts w:ascii="Cambria Math" w:eastAsiaTheme="minorEastAsia" w:hAnsi="Cambria Math" w:cs="Times New Roman"/>
                <w:sz w:val="20"/>
                <w:szCs w:val="20"/>
              </w:rPr>
              <m:t xml:space="preserve">0,285 </m:t>
            </m:r>
          </m:den>
        </m:f>
      </m:oMath>
      <w:r w:rsidRPr="00A9224A">
        <w:rPr>
          <w:rFonts w:ascii="Constantia" w:eastAsiaTheme="minorEastAsia" w:hAnsi="Constantia" w:cs="Times New Roman"/>
          <w:sz w:val="20"/>
          <w:szCs w:val="20"/>
        </w:rPr>
        <w:t xml:space="preserve"> x 100% = 89,47 %</w:t>
      </w:r>
    </w:p>
    <w:p w14:paraId="3563031F" w14:textId="04B6732B" w:rsidR="002C53D6" w:rsidRPr="00105C13" w:rsidRDefault="009932AC" w:rsidP="00A9224A">
      <w:pPr>
        <w:pStyle w:val="ListParagraph"/>
        <w:spacing w:after="0" w:line="276" w:lineRule="auto"/>
        <w:ind w:left="0" w:firstLine="567"/>
        <w:jc w:val="both"/>
        <w:rPr>
          <w:rFonts w:ascii="Constantia" w:eastAsiaTheme="minorEastAsia" w:hAnsi="Constantia" w:cs="Times New Roman"/>
          <w:sz w:val="20"/>
          <w:szCs w:val="20"/>
        </w:rPr>
      </w:pPr>
      <w:r w:rsidRPr="00105C13">
        <w:rPr>
          <w:rFonts w:ascii="Constantia" w:eastAsiaTheme="minorEastAsia" w:hAnsi="Constantia" w:cs="Times New Roman"/>
          <w:sz w:val="20"/>
          <w:szCs w:val="20"/>
        </w:rPr>
        <w:t>The potential for metal waste recovery reaches 0.255 kg with a recovery factor of 89.47%. Based on direct sampling calculations, this value falls within the established range of 70% to 95%, as shown in Table 2. Once the recycling potential of waste at PPNS has been identified, the next step is to calculate the resulting emissions. Utilizing this recycling potential can yield significant positive impacts if implemented optimally and effectively. The carbon emissions listed in Table 1 can be reduced through the optimization of waste recovery as previously described. In the solid waste sector, carbon emissions have the potential to decrease by 3.4372 tCO₂/year if recycling activities are carried out through the PPNS Waste Bank, as shown in Figure 3 and calculated using the following equations:</w:t>
      </w:r>
    </w:p>
    <w:p w14:paraId="70B57F83" w14:textId="77777777" w:rsidR="009932AC" w:rsidRPr="00105C13" w:rsidRDefault="009932AC" w:rsidP="00A9224A">
      <w:pPr>
        <w:spacing w:after="0" w:line="276" w:lineRule="auto"/>
        <w:jc w:val="both"/>
        <w:rPr>
          <w:rFonts w:ascii="Constantia" w:hAnsi="Constantia"/>
          <w:sz w:val="20"/>
          <w:szCs w:val="20"/>
          <w:lang w:val="en-ID"/>
        </w:rPr>
      </w:pPr>
      <w:r w:rsidRPr="00105C13">
        <w:rPr>
          <w:rFonts w:ascii="Constantia" w:hAnsi="Constantia"/>
          <w:sz w:val="20"/>
          <w:szCs w:val="20"/>
          <w:lang w:val="en-ID"/>
        </w:rPr>
        <w:t>CO₂ emissions from all waste components in Building C: 0.2672 tCO₂/year</w:t>
      </w:r>
    </w:p>
    <w:p w14:paraId="0A480C42" w14:textId="77777777" w:rsidR="00A9224A" w:rsidRDefault="009932AC" w:rsidP="00A9224A">
      <w:pPr>
        <w:spacing w:after="0" w:line="276" w:lineRule="auto"/>
        <w:jc w:val="both"/>
        <w:rPr>
          <w:rFonts w:ascii="Constantia" w:hAnsi="Constantia"/>
          <w:sz w:val="20"/>
          <w:szCs w:val="20"/>
          <w:lang w:val="en-ID"/>
        </w:rPr>
      </w:pPr>
      <w:r w:rsidRPr="00105C13">
        <w:rPr>
          <w:rFonts w:ascii="Constantia" w:hAnsi="Constantia"/>
          <w:sz w:val="20"/>
          <w:szCs w:val="20"/>
          <w:lang w:val="en-ID"/>
        </w:rPr>
        <w:t>CO₂ emissions from recyclable waste in Building C: 0.1773 tCO₂/year</w:t>
      </w:r>
    </w:p>
    <w:p w14:paraId="3CADAD94" w14:textId="5089EE2F" w:rsidR="009932AC" w:rsidRPr="00A9224A" w:rsidRDefault="009932AC" w:rsidP="00A9224A">
      <w:pPr>
        <w:spacing w:after="0" w:line="276" w:lineRule="auto"/>
        <w:jc w:val="both"/>
        <w:rPr>
          <w:rFonts w:ascii="Constantia" w:hAnsi="Constantia"/>
          <w:sz w:val="20"/>
          <w:szCs w:val="20"/>
          <w:lang w:val="en-ID"/>
        </w:rPr>
      </w:pPr>
      <m:oMathPara>
        <m:oMathParaPr>
          <m:jc m:val="left"/>
        </m:oMathParaPr>
        <m:oMath>
          <m:r>
            <m:rPr>
              <m:nor/>
            </m:rPr>
            <w:rPr>
              <w:rFonts w:ascii="Constantia" w:hAnsi="Constantia"/>
              <w:sz w:val="20"/>
              <w:szCs w:val="20"/>
              <w:lang w:val="en-ID"/>
            </w:rPr>
            <m:t>Total CO₂ emissions after recycling</m:t>
          </m:r>
          <m:r>
            <w:rPr>
              <w:rFonts w:ascii="Cambria Math" w:hAnsi="Cambria Math"/>
              <w:sz w:val="20"/>
              <w:szCs w:val="20"/>
              <w:lang w:val="en-ID"/>
            </w:rPr>
            <m:t>=</m:t>
          </m:r>
          <m:r>
            <m:rPr>
              <m:nor/>
            </m:rPr>
            <w:rPr>
              <w:rFonts w:ascii="Constantia" w:hAnsi="Constantia"/>
              <w:sz w:val="20"/>
              <w:szCs w:val="20"/>
              <w:lang w:val="en-ID"/>
            </w:rPr>
            <m:t>CO₂ emissions from all components</m:t>
          </m:r>
          <m:r>
            <w:rPr>
              <w:rFonts w:ascii="Cambria Math" w:hAnsi="Cambria Math"/>
              <w:sz w:val="20"/>
              <w:szCs w:val="20"/>
              <w:lang w:val="en-ID"/>
            </w:rPr>
            <m:t>-</m:t>
          </m:r>
          <m:r>
            <m:rPr>
              <m:nor/>
            </m:rPr>
            <w:rPr>
              <w:rFonts w:ascii="Constantia" w:hAnsi="Constantia"/>
              <w:sz w:val="20"/>
              <w:szCs w:val="20"/>
              <w:lang w:val="en-ID"/>
            </w:rPr>
            <m:t>CO₂ emissions from recyclable waste</m:t>
          </m:r>
          <m:r>
            <m:rPr>
              <m:sty m:val="p"/>
            </m:rPr>
            <w:rPr>
              <w:rFonts w:ascii="Cambria Math" w:hAnsi="Cambria Math"/>
              <w:sz w:val="20"/>
              <w:szCs w:val="20"/>
              <w:lang w:val="en-ID"/>
            </w:rPr>
            <w:br/>
          </m:r>
        </m:oMath>
        <m:oMath>
          <m:r>
            <w:rPr>
              <w:rFonts w:ascii="Cambria Math" w:hAnsi="Cambria Math"/>
              <w:sz w:val="20"/>
              <w:szCs w:val="20"/>
              <w:lang w:val="en-ID"/>
            </w:rPr>
            <m:t xml:space="preserve">                                 </m:t>
          </m:r>
          <m:r>
            <w:rPr>
              <w:rFonts w:ascii="Cambria Math" w:hAnsi="Cambria Math"/>
              <w:sz w:val="20"/>
              <w:szCs w:val="20"/>
              <w:lang w:val="en-ID"/>
            </w:rPr>
            <m:t>=0.2672-0.1773=0.0899</m:t>
          </m:r>
          <m:r>
            <m:rPr>
              <m:nor/>
            </m:rPr>
            <w:rPr>
              <w:rFonts w:ascii="Times New Roman" w:hAnsi="Times New Roman" w:cs="Times New Roman"/>
              <w:sz w:val="20"/>
              <w:szCs w:val="20"/>
              <w:lang w:val="en-ID"/>
            </w:rPr>
            <m:t> </m:t>
          </m:r>
          <m:r>
            <m:rPr>
              <m:nor/>
            </m:rPr>
            <w:rPr>
              <w:rFonts w:ascii="Constantia" w:hAnsi="Constantia"/>
              <w:sz w:val="20"/>
              <w:szCs w:val="20"/>
              <w:lang w:val="en-ID"/>
            </w:rPr>
            <m:t>tCO₂/year</m:t>
          </m:r>
          <m:r>
            <m:rPr>
              <m:sty m:val="p"/>
            </m:rPr>
            <w:rPr>
              <w:rFonts w:ascii="Cambria Math" w:hAnsi="Cambria Math"/>
              <w:sz w:val="20"/>
              <w:szCs w:val="20"/>
              <w:lang w:val="en-ID"/>
            </w:rPr>
            <w:br/>
          </m:r>
        </m:oMath>
      </m:oMathPara>
    </w:p>
    <w:p w14:paraId="127B2D5A" w14:textId="0B5CBA0F" w:rsidR="002C53D6" w:rsidRPr="00105C13" w:rsidRDefault="0032050F" w:rsidP="0032050F">
      <w:pPr>
        <w:spacing w:after="0" w:line="276" w:lineRule="auto"/>
        <w:jc w:val="both"/>
        <w:rPr>
          <w:rFonts w:ascii="Constantia" w:eastAsiaTheme="minorEastAsia" w:hAnsi="Constantia" w:cs="Times New Roman"/>
          <w:sz w:val="20"/>
          <w:szCs w:val="20"/>
        </w:rPr>
      </w:pPr>
      <w:r>
        <w:rPr>
          <w:noProof/>
        </w:rPr>
        <w:drawing>
          <wp:inline distT="0" distB="0" distL="0" distR="0" wp14:anchorId="6A85890C" wp14:editId="5D07B2A1">
            <wp:extent cx="5471204" cy="3873500"/>
            <wp:effectExtent l="0" t="0" r="15240" b="12700"/>
            <wp:docPr id="328786102" name="Chart 1">
              <a:extLst xmlns:a="http://schemas.openxmlformats.org/drawingml/2006/main">
                <a:ext uri="{FF2B5EF4-FFF2-40B4-BE49-F238E27FC236}">
                  <a16:creationId xmlns:a16="http://schemas.microsoft.com/office/drawing/2014/main" id="{BC664D5B-6C5B-3EA9-EF70-E62D75FE2E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8C244F" w14:textId="6459D3AC" w:rsidR="002C53D6" w:rsidRPr="00105C13" w:rsidRDefault="002C53D6" w:rsidP="004603D2">
      <w:pPr>
        <w:spacing w:line="276" w:lineRule="auto"/>
        <w:jc w:val="both"/>
        <w:rPr>
          <w:rFonts w:ascii="Constantia" w:eastAsiaTheme="minorEastAsia" w:hAnsi="Constantia" w:cs="Times New Roman"/>
          <w:sz w:val="20"/>
          <w:szCs w:val="20"/>
        </w:rPr>
      </w:pPr>
    </w:p>
    <w:p w14:paraId="6F126E31" w14:textId="133976A8" w:rsidR="00C843A7" w:rsidRPr="00105C13" w:rsidRDefault="009932AC" w:rsidP="00AA20CE">
      <w:pPr>
        <w:pStyle w:val="Caption"/>
        <w:jc w:val="center"/>
        <w:rPr>
          <w:rFonts w:ascii="Constantia" w:hAnsi="Constantia" w:cs="Times New Roman"/>
          <w:i w:val="0"/>
          <w:iCs w:val="0"/>
          <w:noProof/>
          <w:color w:val="auto"/>
        </w:rPr>
      </w:pPr>
      <w:r w:rsidRPr="0032050F">
        <w:rPr>
          <w:rFonts w:ascii="Constantia" w:hAnsi="Constantia" w:cs="Times New Roman"/>
          <w:b/>
          <w:bCs/>
          <w:i w:val="0"/>
          <w:iCs w:val="0"/>
          <w:color w:val="auto"/>
        </w:rPr>
        <w:t>Figure</w:t>
      </w:r>
      <w:r w:rsidR="00C61908" w:rsidRPr="0032050F">
        <w:rPr>
          <w:rFonts w:ascii="Constantia" w:hAnsi="Constantia" w:cs="Times New Roman"/>
          <w:b/>
          <w:bCs/>
          <w:i w:val="0"/>
          <w:iCs w:val="0"/>
          <w:color w:val="auto"/>
        </w:rPr>
        <w:t xml:space="preserve"> </w:t>
      </w:r>
      <w:r w:rsidR="0032050F" w:rsidRPr="0032050F">
        <w:rPr>
          <w:rFonts w:ascii="Constantia" w:hAnsi="Constantia" w:cs="Times New Roman"/>
          <w:b/>
          <w:bCs/>
          <w:i w:val="0"/>
          <w:iCs w:val="0"/>
          <w:color w:val="auto"/>
        </w:rPr>
        <w:t>4</w:t>
      </w:r>
      <w:r w:rsidR="00C61908" w:rsidRPr="00105C13">
        <w:rPr>
          <w:rFonts w:ascii="Constantia" w:hAnsi="Constantia" w:cs="Times New Roman"/>
          <w:i w:val="0"/>
          <w:iCs w:val="0"/>
          <w:color w:val="auto"/>
        </w:rPr>
        <w:t xml:space="preserve"> </w:t>
      </w:r>
      <w:r w:rsidR="0032050F">
        <w:rPr>
          <w:rFonts w:ascii="Constantia" w:hAnsi="Constantia" w:cs="Times New Roman"/>
          <w:i w:val="0"/>
          <w:iCs w:val="0"/>
          <w:color w:val="auto"/>
        </w:rPr>
        <w:t>,</w:t>
      </w:r>
      <w:r w:rsidR="003C6DB1" w:rsidRPr="00105C13">
        <w:rPr>
          <w:rFonts w:ascii="Constantia" w:hAnsi="Constantia" w:cs="Times New Roman"/>
          <w:i w:val="0"/>
          <w:iCs w:val="0"/>
          <w:color w:val="auto"/>
        </w:rPr>
        <w:t>Total Solid Waste Emissions After and Before Mitigation</w:t>
      </w:r>
    </w:p>
    <w:p w14:paraId="49CEF687" w14:textId="24B471CB" w:rsidR="003C6DB1" w:rsidRPr="0032050F" w:rsidRDefault="0032050F" w:rsidP="0032050F">
      <w:pPr>
        <w:pStyle w:val="ListParagraph"/>
        <w:spacing w:after="0" w:line="276" w:lineRule="auto"/>
        <w:ind w:left="0" w:firstLine="567"/>
        <w:jc w:val="both"/>
        <w:rPr>
          <w:rFonts w:ascii="Constantia" w:eastAsiaTheme="minorEastAsia" w:hAnsi="Constantia" w:cs="Times New Roman"/>
          <w:sz w:val="20"/>
          <w:szCs w:val="20"/>
          <w:lang w:val="en-ID"/>
        </w:rPr>
      </w:pPr>
      <w:r>
        <w:rPr>
          <w:rFonts w:ascii="Constantia" w:eastAsiaTheme="minorEastAsia" w:hAnsi="Constantia" w:cs="Times New Roman"/>
          <w:sz w:val="20"/>
          <w:szCs w:val="20"/>
          <w:lang w:val="en-ID"/>
        </w:rPr>
        <w:t xml:space="preserve">The figure 4 showed that mitigation of carbon emission from solid waste management in PPNS was reduced by 3R program (Recycle, Reuse and Recovey). </w:t>
      </w:r>
      <w:r w:rsidR="003C6DB1" w:rsidRPr="0032050F">
        <w:rPr>
          <w:rFonts w:ascii="Constantia" w:eastAsiaTheme="minorEastAsia" w:hAnsi="Constantia" w:cs="Times New Roman"/>
          <w:sz w:val="20"/>
          <w:szCs w:val="20"/>
          <w:lang w:val="en-ID"/>
        </w:rPr>
        <w:t xml:space="preserve">Rahmah et al. (2024) reveal that the </w:t>
      </w:r>
      <w:r w:rsidR="003C6DB1" w:rsidRPr="0032050F">
        <w:rPr>
          <w:rFonts w:ascii="Constantia" w:eastAsiaTheme="minorEastAsia" w:hAnsi="Constantia" w:cs="Times New Roman"/>
          <w:sz w:val="20"/>
          <w:szCs w:val="20"/>
          <w:lang w:val="en-ID"/>
        </w:rPr>
        <w:lastRenderedPageBreak/>
        <w:t>implementation of recycling programs in various cities across Indonesia has successfully reduced the volume of waste disposed while simultaneously lowering greenhouse gas emissions. These findings emphasize the importance of collaboration among government entities, communities, and the private sector in developing more efficient waste management systems. Meanwhile, research conducted by Try Julita et al. (2021) highlights the importance of waste management in campus environments, particularly in reducing methane (CH₄) emissions through strategies such as recycling and composting.</w:t>
      </w:r>
      <w:r w:rsidRPr="0032050F">
        <w:rPr>
          <w:rFonts w:ascii="Constantia" w:eastAsiaTheme="minorEastAsia" w:hAnsi="Constantia" w:cs="Times New Roman"/>
          <w:sz w:val="20"/>
          <w:szCs w:val="20"/>
          <w:lang w:val="en-ID"/>
        </w:rPr>
        <w:t xml:space="preserve"> </w:t>
      </w:r>
      <w:r w:rsidR="003C6DB1" w:rsidRPr="0032050F">
        <w:rPr>
          <w:rFonts w:ascii="Constantia" w:eastAsiaTheme="minorEastAsia" w:hAnsi="Constantia" w:cs="Times New Roman"/>
          <w:sz w:val="20"/>
          <w:szCs w:val="20"/>
          <w:lang w:val="en-ID"/>
        </w:rPr>
        <w:t>A study by Irawan et al. (2025) demonstrates that the application of the 4R principles (Reduce, Reuse, Recycle, Replace) at the Politeknik Negeri Jember campus has significant potential to reduce greenhouse gas emissions by up to 1.2 tons CO₂-eq per month, with the largest reductions resulting from reduce and recycle activities. Through such measures, higher education institutions can contribute to mitigating methane emissions from waste that ultimately ends up at final disposal sites (TPA). Achieving this, however, requires strong support and commitment from campus management as well as the entire academic community.</w:t>
      </w:r>
    </w:p>
    <w:p w14:paraId="35719018" w14:textId="77777777" w:rsidR="00C843A7" w:rsidRPr="00105C13" w:rsidRDefault="00C843A7" w:rsidP="00C843A7">
      <w:pPr>
        <w:pStyle w:val="ListParagraph"/>
        <w:spacing w:after="0" w:line="276" w:lineRule="auto"/>
        <w:ind w:left="284" w:firstLine="436"/>
        <w:jc w:val="both"/>
        <w:rPr>
          <w:rFonts w:ascii="Constantia" w:eastAsiaTheme="minorEastAsia" w:hAnsi="Constantia" w:cs="Times New Roman"/>
          <w:sz w:val="20"/>
          <w:szCs w:val="20"/>
        </w:rPr>
      </w:pPr>
    </w:p>
    <w:p w14:paraId="748923F6" w14:textId="300872AC" w:rsidR="00C843A7" w:rsidRPr="00105C13" w:rsidRDefault="003C6DB1" w:rsidP="0032050F">
      <w:pPr>
        <w:pStyle w:val="ListParagraph"/>
        <w:numPr>
          <w:ilvl w:val="1"/>
          <w:numId w:val="16"/>
        </w:numPr>
        <w:ind w:left="567" w:hanging="567"/>
        <w:rPr>
          <w:rFonts w:ascii="Constantia" w:eastAsiaTheme="minorEastAsia" w:hAnsi="Constantia" w:cs="Times New Roman"/>
          <w:b/>
          <w:bCs/>
          <w:sz w:val="20"/>
          <w:szCs w:val="20"/>
        </w:rPr>
      </w:pPr>
      <w:r w:rsidRPr="00105C13">
        <w:rPr>
          <w:rFonts w:ascii="Constantia" w:hAnsi="Constantia" w:cs="Times New Roman"/>
          <w:b/>
          <w:bCs/>
          <w:sz w:val="20"/>
          <w:szCs w:val="20"/>
        </w:rPr>
        <w:t>Carbon Footprint of All Buildings with Mapping and Mitigation Measures</w:t>
      </w:r>
    </w:p>
    <w:p w14:paraId="36B902C0" w14:textId="5BB81BEF" w:rsidR="00C843A7" w:rsidRPr="00105C13" w:rsidRDefault="003C6DB1" w:rsidP="0032050F">
      <w:pPr>
        <w:pStyle w:val="ListParagraph"/>
        <w:spacing w:line="276" w:lineRule="auto"/>
        <w:ind w:left="0" w:firstLine="567"/>
        <w:jc w:val="both"/>
        <w:rPr>
          <w:rFonts w:ascii="Constantia" w:hAnsi="Constantia"/>
          <w:sz w:val="20"/>
          <w:szCs w:val="20"/>
        </w:rPr>
      </w:pPr>
      <w:r w:rsidRPr="00105C13">
        <w:rPr>
          <w:rFonts w:ascii="Constantia" w:eastAsiaTheme="minorEastAsia" w:hAnsi="Constantia" w:cs="Times New Roman"/>
          <w:sz w:val="20"/>
          <w:szCs w:val="20"/>
        </w:rPr>
        <w:t>The carbon footprint map illustrates the distribution of emissions generated from campus environmental activities, including non-hazardous solid waste management. In this study, carbon footprint mapping focuses on environmental activities within PPNS, as presented in Figure 4. The carbon footprint values calculated for PPNS are analyzed using map-based visualizations. The map is classified according to the results of frequency distribution calculations, which aim to determine color categories representing different emission levels across the mapped areas. The following is an illustration of the calculation process for the non-hazardous solid waste management sector in determining the color categories, referring to Equations 8 to 10.</w:t>
      </w:r>
      <w:r w:rsidR="00C843A7" w:rsidRPr="00105C13">
        <w:rPr>
          <w:rFonts w:ascii="Constantia" w:hAnsi="Constantia"/>
          <w:sz w:val="20"/>
          <w:szCs w:val="20"/>
        </w:rPr>
        <w:t>Menentukan Jangkauan (</w:t>
      </w:r>
      <w:r w:rsidR="00C843A7" w:rsidRPr="00105C13">
        <w:rPr>
          <w:rFonts w:ascii="Constantia" w:hAnsi="Constantia"/>
          <w:i/>
          <w:iCs/>
          <w:sz w:val="20"/>
          <w:szCs w:val="20"/>
        </w:rPr>
        <w:t>Range</w:t>
      </w:r>
      <w:r w:rsidR="00C843A7" w:rsidRPr="00105C13">
        <w:rPr>
          <w:rFonts w:ascii="Constantia" w:hAnsi="Constantia"/>
          <w:sz w:val="20"/>
          <w:szCs w:val="20"/>
        </w:rPr>
        <w:t xml:space="preserve">) </w:t>
      </w:r>
    </w:p>
    <w:p w14:paraId="705D300B" w14:textId="77777777" w:rsidR="003C6DB1" w:rsidRPr="0032050F" w:rsidRDefault="003C6DB1" w:rsidP="003C6DB1">
      <w:pPr>
        <w:pStyle w:val="ListParagraph"/>
        <w:spacing w:line="276" w:lineRule="auto"/>
        <w:ind w:left="284" w:firstLine="436"/>
        <w:jc w:val="both"/>
        <w:rPr>
          <w:rFonts w:ascii="Constantia" w:hAnsi="Constantia"/>
          <w:sz w:val="20"/>
          <w:szCs w:val="20"/>
          <w:lang w:val="en-ID"/>
        </w:rPr>
      </w:pPr>
      <w:r w:rsidRPr="0032050F">
        <w:rPr>
          <w:rFonts w:ascii="Constantia" w:hAnsi="Constantia"/>
          <w:sz w:val="20"/>
          <w:szCs w:val="20"/>
          <w:lang w:val="en-ID"/>
        </w:rPr>
        <w:t>1. Determining the Range</w:t>
      </w:r>
    </w:p>
    <w:p w14:paraId="726EAB38" w14:textId="058EFC48" w:rsidR="003C6DB1" w:rsidRPr="0032050F" w:rsidRDefault="003C6DB1" w:rsidP="003C6DB1">
      <w:pPr>
        <w:pStyle w:val="ListParagraph"/>
        <w:spacing w:line="276" w:lineRule="auto"/>
        <w:ind w:left="284" w:firstLine="436"/>
        <w:jc w:val="both"/>
        <w:rPr>
          <w:rFonts w:ascii="Constantia" w:hAnsi="Constantia"/>
          <w:sz w:val="20"/>
          <w:szCs w:val="20"/>
          <w:lang w:val="en-ID"/>
        </w:rPr>
      </w:pPr>
      <m:oMathPara>
        <m:oMath>
          <m:r>
            <m:rPr>
              <m:nor/>
            </m:rPr>
            <w:rPr>
              <w:rFonts w:ascii="Constantia" w:hAnsi="Constantia"/>
              <w:sz w:val="20"/>
              <w:szCs w:val="20"/>
              <w:lang w:val="en-ID"/>
            </w:rPr>
            <m:t>Range</m:t>
          </m:r>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X</m:t>
              </m:r>
            </m:e>
            <m:sub>
              <m:r>
                <m:rPr>
                  <m:nor/>
                </m:rPr>
                <w:rPr>
                  <w:rFonts w:ascii="Constantia" w:hAnsi="Constantia"/>
                  <w:sz w:val="20"/>
                  <w:szCs w:val="20"/>
                  <w:lang w:val="en-ID"/>
                </w:rPr>
                <m:t>max</m:t>
              </m:r>
            </m:sub>
          </m:sSub>
          <m:r>
            <w:rPr>
              <w:rFonts w:ascii="Cambria Math" w:hAnsi="Cambria Math"/>
              <w:sz w:val="20"/>
              <w:szCs w:val="20"/>
              <w:lang w:val="en-ID"/>
            </w:rPr>
            <m:t>-</m:t>
          </m:r>
          <m:sSub>
            <m:sSubPr>
              <m:ctrlPr>
                <w:rPr>
                  <w:rFonts w:ascii="Cambria Math" w:hAnsi="Cambria Math"/>
                  <w:sz w:val="20"/>
                  <w:szCs w:val="20"/>
                  <w:lang w:val="en-ID"/>
                </w:rPr>
              </m:ctrlPr>
            </m:sSubPr>
            <m:e>
              <m:r>
                <w:rPr>
                  <w:rFonts w:ascii="Cambria Math" w:hAnsi="Cambria Math"/>
                  <w:sz w:val="20"/>
                  <w:szCs w:val="20"/>
                  <w:lang w:val="en-ID"/>
                </w:rPr>
                <m:t>X</m:t>
              </m:r>
            </m:e>
            <m:sub>
              <m:r>
                <m:rPr>
                  <m:nor/>
                </m:rPr>
                <w:rPr>
                  <w:rFonts w:ascii="Constantia" w:hAnsi="Constantia"/>
                  <w:sz w:val="20"/>
                  <w:szCs w:val="20"/>
                  <w:lang w:val="en-ID"/>
                </w:rPr>
                <m:t>min</m:t>
              </m:r>
            </m:sub>
          </m:sSub>
          <m:r>
            <m:rPr>
              <m:sty m:val="p"/>
            </m:rPr>
            <w:rPr>
              <w:rFonts w:ascii="Cambria Math" w:hAnsi="Cambria Math"/>
              <w:sz w:val="20"/>
              <w:szCs w:val="20"/>
              <w:lang w:val="en-ID"/>
            </w:rPr>
            <w:br/>
          </m:r>
        </m:oMath>
        <m:oMath>
          <m:r>
            <w:rPr>
              <w:rFonts w:ascii="Cambria Math" w:hAnsi="Cambria Math"/>
              <w:sz w:val="20"/>
              <w:szCs w:val="20"/>
              <w:lang w:val="en-ID"/>
            </w:rPr>
            <m:t>=1.2387-0.0282=1.211</m:t>
          </m:r>
        </m:oMath>
      </m:oMathPara>
    </w:p>
    <w:p w14:paraId="1AAB7623" w14:textId="77777777" w:rsidR="003C6DB1" w:rsidRPr="0032050F" w:rsidRDefault="003C6DB1" w:rsidP="003C6DB1">
      <w:pPr>
        <w:pStyle w:val="ListParagraph"/>
        <w:spacing w:line="276" w:lineRule="auto"/>
        <w:ind w:left="284" w:firstLine="436"/>
        <w:jc w:val="both"/>
        <w:rPr>
          <w:rFonts w:ascii="Constantia" w:hAnsi="Constantia"/>
          <w:sz w:val="20"/>
          <w:szCs w:val="20"/>
          <w:lang w:val="en-ID"/>
        </w:rPr>
      </w:pPr>
      <w:r w:rsidRPr="0032050F">
        <w:rPr>
          <w:rFonts w:ascii="Constantia" w:hAnsi="Constantia"/>
          <w:sz w:val="20"/>
          <w:szCs w:val="20"/>
          <w:lang w:val="en-ID"/>
        </w:rPr>
        <w:t>2. Determining the Number of Classes (k)</w:t>
      </w:r>
    </w:p>
    <w:p w14:paraId="2CD5275E" w14:textId="0522F370" w:rsidR="003C6DB1" w:rsidRPr="0032050F" w:rsidRDefault="0032050F" w:rsidP="003C6DB1">
      <w:pPr>
        <w:pStyle w:val="ListParagraph"/>
        <w:spacing w:line="276" w:lineRule="auto"/>
        <w:ind w:left="284" w:firstLine="436"/>
        <w:jc w:val="both"/>
        <w:rPr>
          <w:rFonts w:ascii="Constantia" w:hAnsi="Constantia"/>
          <w:sz w:val="20"/>
          <w:szCs w:val="20"/>
          <w:lang w:val="en-ID"/>
        </w:rPr>
      </w:pPr>
      <m:oMathPara>
        <m:oMath>
          <m:r>
            <w:rPr>
              <w:rFonts w:ascii="Cambria Math" w:hAnsi="Cambria Math"/>
              <w:sz w:val="20"/>
              <w:szCs w:val="20"/>
              <w:lang w:val="en-ID"/>
            </w:rPr>
            <m:t>k=1+3.3</m:t>
          </m:r>
          <m:r>
            <m:rPr>
              <m:sty m:val="p"/>
            </m:rPr>
            <w:rPr>
              <w:rFonts w:ascii="Cambria Math" w:hAnsi="Cambria Math"/>
              <w:sz w:val="20"/>
              <w:szCs w:val="20"/>
              <w:lang w:val="en-ID"/>
            </w:rPr>
            <m:t>log</m:t>
          </m:r>
          <m:r>
            <w:rPr>
              <w:rFonts w:ascii="Cambria Math" w:hAnsi="Cambria Math"/>
              <w:sz w:val="20"/>
              <w:szCs w:val="20"/>
              <w:lang w:val="en-ID"/>
            </w:rPr>
            <m:t>⁡n</m:t>
          </m:r>
          <m:r>
            <w:rPr>
              <w:rFonts w:ascii="Cambria Math" w:hAnsi="Cambria Math"/>
              <w:sz w:val="20"/>
              <w:szCs w:val="20"/>
              <w:lang w:val="en-ID"/>
            </w:rPr>
            <w:br/>
          </m:r>
        </m:oMath>
        <m:oMath>
          <m:r>
            <w:rPr>
              <w:rFonts w:ascii="Cambria Math" w:hAnsi="Cambria Math"/>
              <w:sz w:val="20"/>
              <w:szCs w:val="20"/>
              <w:lang w:val="en-ID"/>
            </w:rPr>
            <m:t>=1+3.3</m:t>
          </m:r>
          <m:r>
            <m:rPr>
              <m:sty m:val="p"/>
            </m:rPr>
            <w:rPr>
              <w:rFonts w:ascii="Cambria Math" w:hAnsi="Cambria Math"/>
              <w:sz w:val="20"/>
              <w:szCs w:val="20"/>
              <w:lang w:val="en-ID"/>
            </w:rPr>
            <m:t>log</m:t>
          </m:r>
          <m:r>
            <w:rPr>
              <w:rFonts w:ascii="Cambria Math" w:hAnsi="Cambria Math"/>
              <w:sz w:val="20"/>
              <w:szCs w:val="20"/>
              <w:lang w:val="en-ID"/>
            </w:rPr>
            <m:t>⁡(21)=5</m:t>
          </m:r>
        </m:oMath>
      </m:oMathPara>
    </w:p>
    <w:p w14:paraId="0854190B" w14:textId="77777777" w:rsidR="003C6DB1" w:rsidRPr="0032050F" w:rsidRDefault="003C6DB1" w:rsidP="003C6DB1">
      <w:pPr>
        <w:pStyle w:val="ListParagraph"/>
        <w:spacing w:line="276" w:lineRule="auto"/>
        <w:ind w:left="284" w:firstLine="436"/>
        <w:jc w:val="both"/>
        <w:rPr>
          <w:rFonts w:ascii="Constantia" w:hAnsi="Constantia"/>
          <w:sz w:val="20"/>
          <w:szCs w:val="20"/>
          <w:lang w:val="en-ID"/>
        </w:rPr>
      </w:pPr>
      <w:r w:rsidRPr="0032050F">
        <w:rPr>
          <w:rFonts w:ascii="Constantia" w:hAnsi="Constantia"/>
          <w:sz w:val="20"/>
          <w:szCs w:val="20"/>
          <w:lang w:val="en-ID"/>
        </w:rPr>
        <w:t>3. Determining the Class Interval (i)</w:t>
      </w:r>
    </w:p>
    <w:p w14:paraId="621A7ACE" w14:textId="77777777" w:rsidR="0032050F" w:rsidRPr="0032050F" w:rsidRDefault="003C6DB1" w:rsidP="003C6DB1">
      <w:pPr>
        <w:spacing w:after="0" w:line="276" w:lineRule="auto"/>
        <w:jc w:val="both"/>
        <w:rPr>
          <w:rFonts w:ascii="Constantia" w:eastAsiaTheme="minorEastAsia" w:hAnsi="Constantia"/>
          <w:sz w:val="20"/>
          <w:szCs w:val="20"/>
          <w:lang w:val="en-ID"/>
        </w:rPr>
      </w:pPr>
      <m:oMathPara>
        <m:oMath>
          <m:r>
            <w:rPr>
              <w:rFonts w:ascii="Cambria Math" w:hAnsi="Cambria Math"/>
              <w:sz w:val="20"/>
              <w:szCs w:val="20"/>
              <w:lang w:val="en-ID"/>
            </w:rPr>
            <m:t>i=</m:t>
          </m:r>
          <m:f>
            <m:fPr>
              <m:ctrlPr>
                <w:rPr>
                  <w:rFonts w:ascii="Cambria Math" w:hAnsi="Cambria Math"/>
                  <w:sz w:val="20"/>
                  <w:szCs w:val="20"/>
                  <w:lang w:val="en-ID"/>
                </w:rPr>
              </m:ctrlPr>
            </m:fPr>
            <m:num>
              <m:r>
                <m:rPr>
                  <m:nor/>
                </m:rPr>
                <w:rPr>
                  <w:rFonts w:ascii="Constantia" w:hAnsi="Constantia"/>
                  <w:sz w:val="20"/>
                  <w:szCs w:val="20"/>
                  <w:lang w:val="en-ID"/>
                </w:rPr>
                <m:t>Range</m:t>
              </m:r>
            </m:num>
            <m:den>
              <m:r>
                <w:rPr>
                  <w:rFonts w:ascii="Cambria Math" w:hAnsi="Cambria Math"/>
                  <w:sz w:val="20"/>
                  <w:szCs w:val="20"/>
                  <w:lang w:val="en-ID"/>
                </w:rPr>
                <m:t>k</m:t>
              </m:r>
            </m:den>
          </m:f>
          <m:r>
            <m:rPr>
              <m:sty m:val="p"/>
            </m:rPr>
            <w:rPr>
              <w:rFonts w:ascii="Cambria Math" w:hAnsi="Cambria Math"/>
              <w:sz w:val="20"/>
              <w:szCs w:val="20"/>
              <w:lang w:val="en-ID"/>
            </w:rPr>
            <w:br/>
          </m:r>
        </m:oMath>
        <m:oMath>
          <m:r>
            <w:rPr>
              <w:rFonts w:ascii="Cambria Math" w:hAnsi="Cambria Math"/>
              <w:sz w:val="20"/>
              <w:szCs w:val="20"/>
              <w:lang w:val="en-ID"/>
            </w:rPr>
            <m:t>=</m:t>
          </m:r>
          <m:f>
            <m:fPr>
              <m:ctrlPr>
                <w:rPr>
                  <w:rFonts w:ascii="Cambria Math" w:hAnsi="Cambria Math"/>
                  <w:sz w:val="20"/>
                  <w:szCs w:val="20"/>
                  <w:lang w:val="en-ID"/>
                </w:rPr>
              </m:ctrlPr>
            </m:fPr>
            <m:num>
              <m:r>
                <w:rPr>
                  <w:rFonts w:ascii="Cambria Math" w:hAnsi="Cambria Math"/>
                  <w:sz w:val="20"/>
                  <w:szCs w:val="20"/>
                  <w:lang w:val="en-ID"/>
                </w:rPr>
                <m:t>1.211</m:t>
              </m:r>
            </m:num>
            <m:den>
              <m:r>
                <w:rPr>
                  <w:rFonts w:ascii="Cambria Math" w:hAnsi="Cambria Math"/>
                  <w:sz w:val="20"/>
                  <w:szCs w:val="20"/>
                  <w:lang w:val="en-ID"/>
                </w:rPr>
                <m:t>5</m:t>
              </m:r>
            </m:den>
          </m:f>
          <m:r>
            <w:rPr>
              <w:rFonts w:ascii="Cambria Math" w:hAnsi="Cambria Math"/>
              <w:sz w:val="20"/>
              <w:szCs w:val="20"/>
              <w:lang w:val="en-ID"/>
            </w:rPr>
            <m:t>=48.357</m:t>
          </m:r>
        </m:oMath>
      </m:oMathPara>
    </w:p>
    <w:p w14:paraId="12F780B5" w14:textId="77777777" w:rsidR="0032050F" w:rsidRDefault="0032050F" w:rsidP="003C6DB1">
      <w:pPr>
        <w:spacing w:after="0" w:line="276" w:lineRule="auto"/>
        <w:jc w:val="both"/>
        <w:rPr>
          <w:rFonts w:ascii="Constantia" w:eastAsiaTheme="minorEastAsia" w:hAnsi="Constantia"/>
          <w:sz w:val="20"/>
          <w:szCs w:val="20"/>
          <w:lang w:val="en-ID"/>
        </w:rPr>
      </w:pPr>
    </w:p>
    <w:p w14:paraId="02EEAADD" w14:textId="77777777" w:rsidR="0032050F" w:rsidRDefault="0032050F" w:rsidP="003C6DB1">
      <w:pPr>
        <w:spacing w:after="0" w:line="276" w:lineRule="auto"/>
        <w:jc w:val="both"/>
        <w:rPr>
          <w:rFonts w:ascii="Constantia" w:eastAsiaTheme="minorEastAsia" w:hAnsi="Constantia"/>
          <w:sz w:val="20"/>
          <w:szCs w:val="20"/>
          <w:lang w:val="en-ID"/>
        </w:rPr>
      </w:pPr>
    </w:p>
    <w:p w14:paraId="1F052E27" w14:textId="77777777" w:rsidR="0032050F" w:rsidRDefault="0032050F" w:rsidP="003C6DB1">
      <w:pPr>
        <w:spacing w:after="0" w:line="276" w:lineRule="auto"/>
        <w:jc w:val="both"/>
        <w:rPr>
          <w:rFonts w:ascii="Constantia" w:eastAsiaTheme="minorEastAsia" w:hAnsi="Constantia"/>
          <w:sz w:val="20"/>
          <w:szCs w:val="20"/>
          <w:lang w:val="en-ID"/>
        </w:rPr>
      </w:pPr>
    </w:p>
    <w:p w14:paraId="361D13FB" w14:textId="77777777" w:rsidR="0032050F" w:rsidRDefault="0032050F" w:rsidP="003C6DB1">
      <w:pPr>
        <w:spacing w:after="0" w:line="276" w:lineRule="auto"/>
        <w:jc w:val="both"/>
        <w:rPr>
          <w:rFonts w:ascii="Constantia" w:eastAsiaTheme="minorEastAsia" w:hAnsi="Constantia"/>
          <w:sz w:val="20"/>
          <w:szCs w:val="20"/>
          <w:lang w:val="en-ID"/>
        </w:rPr>
      </w:pPr>
    </w:p>
    <w:p w14:paraId="16B1EE5A" w14:textId="77777777" w:rsidR="0032050F" w:rsidRDefault="0032050F" w:rsidP="003C6DB1">
      <w:pPr>
        <w:spacing w:after="0" w:line="276" w:lineRule="auto"/>
        <w:jc w:val="both"/>
        <w:rPr>
          <w:rFonts w:ascii="Constantia" w:eastAsiaTheme="minorEastAsia" w:hAnsi="Constantia"/>
          <w:sz w:val="20"/>
          <w:szCs w:val="20"/>
          <w:lang w:val="en-ID"/>
        </w:rPr>
      </w:pPr>
    </w:p>
    <w:p w14:paraId="18B045AF" w14:textId="77777777" w:rsidR="0032050F" w:rsidRDefault="0032050F" w:rsidP="003C6DB1">
      <w:pPr>
        <w:spacing w:after="0" w:line="276" w:lineRule="auto"/>
        <w:jc w:val="both"/>
        <w:rPr>
          <w:rFonts w:ascii="Constantia" w:eastAsiaTheme="minorEastAsia" w:hAnsi="Constantia"/>
          <w:sz w:val="20"/>
          <w:szCs w:val="20"/>
          <w:lang w:val="en-ID"/>
        </w:rPr>
      </w:pPr>
    </w:p>
    <w:p w14:paraId="400B66A5" w14:textId="77777777" w:rsidR="0032050F" w:rsidRDefault="0032050F" w:rsidP="003C6DB1">
      <w:pPr>
        <w:spacing w:after="0" w:line="276" w:lineRule="auto"/>
        <w:jc w:val="both"/>
        <w:rPr>
          <w:rFonts w:ascii="Constantia" w:eastAsiaTheme="minorEastAsia" w:hAnsi="Constantia"/>
          <w:sz w:val="20"/>
          <w:szCs w:val="20"/>
          <w:lang w:val="en-ID"/>
        </w:rPr>
      </w:pPr>
    </w:p>
    <w:p w14:paraId="58296FBC" w14:textId="77777777" w:rsidR="0032050F" w:rsidRDefault="0032050F" w:rsidP="003C6DB1">
      <w:pPr>
        <w:spacing w:after="0" w:line="276" w:lineRule="auto"/>
        <w:jc w:val="both"/>
        <w:rPr>
          <w:rFonts w:ascii="Constantia" w:eastAsiaTheme="minorEastAsia" w:hAnsi="Constantia"/>
          <w:sz w:val="20"/>
          <w:szCs w:val="20"/>
          <w:lang w:val="en-ID"/>
        </w:rPr>
      </w:pPr>
    </w:p>
    <w:p w14:paraId="302D4754" w14:textId="77777777" w:rsidR="0032050F" w:rsidRDefault="0032050F" w:rsidP="003C6DB1">
      <w:pPr>
        <w:spacing w:after="0" w:line="276" w:lineRule="auto"/>
        <w:jc w:val="both"/>
        <w:rPr>
          <w:rFonts w:ascii="Constantia" w:eastAsiaTheme="minorEastAsia" w:hAnsi="Constantia"/>
          <w:sz w:val="20"/>
          <w:szCs w:val="20"/>
          <w:lang w:val="en-ID"/>
        </w:rPr>
      </w:pPr>
    </w:p>
    <w:p w14:paraId="71A29E3D" w14:textId="77777777" w:rsidR="0032050F" w:rsidRDefault="0032050F" w:rsidP="003C6DB1">
      <w:pPr>
        <w:spacing w:after="0" w:line="276" w:lineRule="auto"/>
        <w:jc w:val="both"/>
        <w:rPr>
          <w:rFonts w:ascii="Constantia" w:eastAsiaTheme="minorEastAsia" w:hAnsi="Constantia"/>
          <w:sz w:val="20"/>
          <w:szCs w:val="20"/>
          <w:lang w:val="en-ID"/>
        </w:rPr>
      </w:pPr>
    </w:p>
    <w:p w14:paraId="64E042CF" w14:textId="77777777" w:rsidR="0032050F" w:rsidRDefault="0032050F" w:rsidP="003C6DB1">
      <w:pPr>
        <w:spacing w:after="0" w:line="276" w:lineRule="auto"/>
        <w:jc w:val="both"/>
        <w:rPr>
          <w:rFonts w:ascii="Constantia" w:eastAsiaTheme="minorEastAsia" w:hAnsi="Constantia"/>
          <w:sz w:val="20"/>
          <w:szCs w:val="20"/>
          <w:lang w:val="en-ID"/>
        </w:rPr>
      </w:pPr>
    </w:p>
    <w:p w14:paraId="027E286F" w14:textId="77777777" w:rsidR="0032050F" w:rsidRDefault="0032050F" w:rsidP="003C6DB1">
      <w:pPr>
        <w:spacing w:after="0" w:line="276" w:lineRule="auto"/>
        <w:jc w:val="both"/>
        <w:rPr>
          <w:rFonts w:ascii="Constantia" w:eastAsiaTheme="minorEastAsia" w:hAnsi="Constantia"/>
          <w:sz w:val="20"/>
          <w:szCs w:val="20"/>
          <w:lang w:val="en-ID"/>
        </w:rPr>
      </w:pPr>
    </w:p>
    <w:p w14:paraId="4106A7A3" w14:textId="77777777" w:rsidR="0032050F" w:rsidRDefault="0032050F" w:rsidP="003C6DB1">
      <w:pPr>
        <w:spacing w:after="0" w:line="276" w:lineRule="auto"/>
        <w:jc w:val="both"/>
        <w:rPr>
          <w:rFonts w:ascii="Constantia" w:eastAsiaTheme="minorEastAsia" w:hAnsi="Constantia"/>
          <w:sz w:val="20"/>
          <w:szCs w:val="20"/>
          <w:lang w:val="en-ID"/>
        </w:rPr>
      </w:pPr>
    </w:p>
    <w:p w14:paraId="10D012F3" w14:textId="77777777" w:rsidR="0032050F" w:rsidRDefault="0032050F" w:rsidP="003C6DB1">
      <w:pPr>
        <w:spacing w:after="0" w:line="276" w:lineRule="auto"/>
        <w:jc w:val="both"/>
        <w:rPr>
          <w:rFonts w:ascii="Constantia" w:eastAsiaTheme="minorEastAsia" w:hAnsi="Constantia"/>
          <w:sz w:val="20"/>
          <w:szCs w:val="20"/>
          <w:lang w:val="en-ID"/>
        </w:rPr>
      </w:pPr>
    </w:p>
    <w:p w14:paraId="07C048B7" w14:textId="77777777" w:rsidR="0032050F" w:rsidRDefault="0032050F" w:rsidP="003C6DB1">
      <w:pPr>
        <w:spacing w:after="0" w:line="276" w:lineRule="auto"/>
        <w:jc w:val="both"/>
        <w:rPr>
          <w:rFonts w:ascii="Constantia" w:eastAsiaTheme="minorEastAsia" w:hAnsi="Constantia"/>
          <w:sz w:val="20"/>
          <w:szCs w:val="20"/>
          <w:lang w:val="en-ID"/>
        </w:rPr>
      </w:pPr>
    </w:p>
    <w:p w14:paraId="1342EF65" w14:textId="76B2554A" w:rsidR="003C5A99" w:rsidRPr="00105C13" w:rsidRDefault="003C6DB1" w:rsidP="003C6DB1">
      <w:pPr>
        <w:spacing w:after="0" w:line="276" w:lineRule="auto"/>
        <w:jc w:val="both"/>
        <w:rPr>
          <w:rFonts w:ascii="Constantia" w:hAnsi="Constantia"/>
          <w:sz w:val="20"/>
          <w:szCs w:val="20"/>
        </w:rPr>
      </w:pPr>
      <m:oMathPara>
        <m:oMath>
          <m:r>
            <w:rPr>
              <w:rFonts w:ascii="Cambria Math" w:hAnsi="Cambria Math"/>
              <w:sz w:val="20"/>
              <w:szCs w:val="20"/>
              <w:lang w:val="en-ID"/>
            </w:rPr>
            <w:lastRenderedPageBreak/>
            <w:br/>
          </m:r>
        </m:oMath>
      </m:oMathPara>
      <w:r w:rsidR="003C5A99" w:rsidRPr="00105C13">
        <w:rPr>
          <w:rFonts w:ascii="Constantia" w:hAnsi="Constantia"/>
          <w:noProof/>
          <w:sz w:val="20"/>
          <w:szCs w:val="20"/>
        </w:rPr>
        <w:drawing>
          <wp:anchor distT="0" distB="0" distL="114300" distR="114300" simplePos="0" relativeHeight="251673600" behindDoc="0" locked="0" layoutInCell="1" allowOverlap="1" wp14:anchorId="4719B259" wp14:editId="25024B10">
            <wp:simplePos x="0" y="0"/>
            <wp:positionH relativeFrom="margin">
              <wp:posOffset>-208230</wp:posOffset>
            </wp:positionH>
            <wp:positionV relativeFrom="paragraph">
              <wp:posOffset>9053</wp:posOffset>
            </wp:positionV>
            <wp:extent cx="6472712" cy="4424291"/>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2">
                      <a:extLst>
                        <a:ext uri="{28A0092B-C50C-407E-A947-70E740481C1C}">
                          <a14:useLocalDpi xmlns:a14="http://schemas.microsoft.com/office/drawing/2010/main" val="0"/>
                        </a:ext>
                      </a:extLst>
                    </a:blip>
                    <a:srcRect l="2156" t="19134" r="27127" b="7557"/>
                    <a:stretch/>
                  </pic:blipFill>
                  <pic:spPr bwMode="auto">
                    <a:xfrm>
                      <a:off x="0" y="0"/>
                      <a:ext cx="6530225" cy="44636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4F5616" w14:textId="383E3985" w:rsidR="00E9104A" w:rsidRPr="00105C13" w:rsidRDefault="00E9104A" w:rsidP="00E9104A">
      <w:pPr>
        <w:spacing w:after="0" w:line="360" w:lineRule="auto"/>
        <w:ind w:left="567"/>
        <w:jc w:val="both"/>
        <w:rPr>
          <w:rFonts w:ascii="Constantia" w:hAnsi="Constantia"/>
          <w:sz w:val="20"/>
          <w:szCs w:val="20"/>
        </w:rPr>
      </w:pPr>
    </w:p>
    <w:p w14:paraId="14A4812A" w14:textId="77777777" w:rsidR="00C843A7" w:rsidRPr="00105C13" w:rsidRDefault="00C843A7" w:rsidP="00C843A7">
      <w:pPr>
        <w:spacing w:after="0" w:line="360" w:lineRule="auto"/>
        <w:jc w:val="both"/>
        <w:rPr>
          <w:rFonts w:ascii="Constantia" w:hAnsi="Constantia"/>
          <w:sz w:val="20"/>
          <w:szCs w:val="20"/>
        </w:rPr>
      </w:pPr>
    </w:p>
    <w:p w14:paraId="5D26F659" w14:textId="77777777" w:rsidR="00C843A7" w:rsidRPr="00105C13" w:rsidRDefault="00C843A7" w:rsidP="00C843A7">
      <w:pPr>
        <w:pStyle w:val="ListParagraph"/>
        <w:spacing w:line="276" w:lineRule="auto"/>
        <w:ind w:left="284" w:firstLine="436"/>
        <w:jc w:val="both"/>
        <w:rPr>
          <w:rFonts w:ascii="Constantia" w:eastAsiaTheme="minorEastAsia" w:hAnsi="Constantia" w:cs="Times New Roman"/>
          <w:sz w:val="20"/>
          <w:szCs w:val="20"/>
        </w:rPr>
      </w:pPr>
    </w:p>
    <w:p w14:paraId="1402B27E" w14:textId="46863BE1" w:rsidR="002C53D6" w:rsidRPr="00105C13" w:rsidRDefault="002C53D6" w:rsidP="004603D2">
      <w:pPr>
        <w:spacing w:line="276" w:lineRule="auto"/>
        <w:jc w:val="both"/>
        <w:rPr>
          <w:rFonts w:ascii="Constantia" w:eastAsiaTheme="minorEastAsia" w:hAnsi="Constantia" w:cs="Times New Roman"/>
          <w:sz w:val="20"/>
          <w:szCs w:val="20"/>
        </w:rPr>
      </w:pPr>
    </w:p>
    <w:p w14:paraId="26B3F1BE" w14:textId="1FB468AC" w:rsidR="002C53D6" w:rsidRPr="00105C13" w:rsidRDefault="002C53D6" w:rsidP="004603D2">
      <w:pPr>
        <w:spacing w:line="276" w:lineRule="auto"/>
        <w:jc w:val="both"/>
        <w:rPr>
          <w:rFonts w:ascii="Constantia" w:eastAsiaTheme="minorEastAsia" w:hAnsi="Constantia" w:cs="Times New Roman"/>
          <w:sz w:val="20"/>
          <w:szCs w:val="20"/>
        </w:rPr>
      </w:pPr>
    </w:p>
    <w:p w14:paraId="6720536B" w14:textId="1E582783" w:rsidR="003C5A99" w:rsidRPr="00105C13" w:rsidRDefault="003C5A99" w:rsidP="004603D2">
      <w:pPr>
        <w:spacing w:line="276" w:lineRule="auto"/>
        <w:jc w:val="both"/>
        <w:rPr>
          <w:rFonts w:ascii="Constantia" w:eastAsiaTheme="minorEastAsia" w:hAnsi="Constantia" w:cs="Times New Roman"/>
          <w:sz w:val="20"/>
          <w:szCs w:val="20"/>
        </w:rPr>
      </w:pPr>
    </w:p>
    <w:p w14:paraId="36F09E7D" w14:textId="47FCE957" w:rsidR="003C5A99" w:rsidRPr="00105C13" w:rsidRDefault="003C5A99" w:rsidP="004603D2">
      <w:pPr>
        <w:spacing w:line="276" w:lineRule="auto"/>
        <w:jc w:val="both"/>
        <w:rPr>
          <w:rFonts w:ascii="Constantia" w:eastAsiaTheme="minorEastAsia" w:hAnsi="Constantia" w:cs="Times New Roman"/>
          <w:sz w:val="20"/>
          <w:szCs w:val="20"/>
        </w:rPr>
      </w:pPr>
    </w:p>
    <w:p w14:paraId="4C9096D5" w14:textId="61F73641" w:rsidR="003C5A99" w:rsidRPr="00105C13" w:rsidRDefault="003C5A99" w:rsidP="004603D2">
      <w:pPr>
        <w:spacing w:line="276" w:lineRule="auto"/>
        <w:jc w:val="both"/>
        <w:rPr>
          <w:rFonts w:ascii="Constantia" w:eastAsiaTheme="minorEastAsia" w:hAnsi="Constantia" w:cs="Times New Roman"/>
          <w:sz w:val="20"/>
          <w:szCs w:val="20"/>
        </w:rPr>
      </w:pPr>
    </w:p>
    <w:p w14:paraId="63E94363" w14:textId="06CB1CC3" w:rsidR="003C5A99" w:rsidRPr="00105C13" w:rsidRDefault="003C5A99" w:rsidP="004603D2">
      <w:pPr>
        <w:spacing w:line="276" w:lineRule="auto"/>
        <w:jc w:val="both"/>
        <w:rPr>
          <w:rFonts w:ascii="Constantia" w:eastAsiaTheme="minorEastAsia" w:hAnsi="Constantia" w:cs="Times New Roman"/>
          <w:sz w:val="20"/>
          <w:szCs w:val="20"/>
        </w:rPr>
      </w:pPr>
    </w:p>
    <w:p w14:paraId="391B189E" w14:textId="5F8C2C94" w:rsidR="003C5A99" w:rsidRPr="00105C13" w:rsidRDefault="003C5A99" w:rsidP="004603D2">
      <w:pPr>
        <w:spacing w:line="276" w:lineRule="auto"/>
        <w:jc w:val="both"/>
        <w:rPr>
          <w:rFonts w:ascii="Constantia" w:eastAsiaTheme="minorEastAsia" w:hAnsi="Constantia" w:cs="Times New Roman"/>
          <w:sz w:val="20"/>
          <w:szCs w:val="20"/>
        </w:rPr>
      </w:pPr>
    </w:p>
    <w:p w14:paraId="1F971909" w14:textId="02A83DFF" w:rsidR="003C5A99" w:rsidRPr="00105C13" w:rsidRDefault="003C5A99" w:rsidP="004603D2">
      <w:pPr>
        <w:spacing w:line="276" w:lineRule="auto"/>
        <w:jc w:val="both"/>
        <w:rPr>
          <w:rFonts w:ascii="Constantia" w:eastAsiaTheme="minorEastAsia" w:hAnsi="Constantia" w:cs="Times New Roman"/>
          <w:sz w:val="20"/>
          <w:szCs w:val="20"/>
        </w:rPr>
      </w:pPr>
    </w:p>
    <w:p w14:paraId="0B5F1D4E" w14:textId="5AF3FF9F" w:rsidR="003C5A99" w:rsidRPr="00105C13" w:rsidRDefault="003C5A99" w:rsidP="004603D2">
      <w:pPr>
        <w:spacing w:line="276" w:lineRule="auto"/>
        <w:jc w:val="both"/>
        <w:rPr>
          <w:rFonts w:ascii="Constantia" w:eastAsiaTheme="minorEastAsia" w:hAnsi="Constantia" w:cs="Times New Roman"/>
          <w:sz w:val="20"/>
          <w:szCs w:val="20"/>
        </w:rPr>
      </w:pPr>
    </w:p>
    <w:p w14:paraId="5DA24FC4" w14:textId="36DAFB07" w:rsidR="003C5A99" w:rsidRPr="00105C13" w:rsidRDefault="003C5A99" w:rsidP="004603D2">
      <w:pPr>
        <w:spacing w:line="276" w:lineRule="auto"/>
        <w:jc w:val="both"/>
        <w:rPr>
          <w:rFonts w:ascii="Constantia" w:eastAsiaTheme="minorEastAsia" w:hAnsi="Constantia" w:cs="Times New Roman"/>
          <w:sz w:val="20"/>
          <w:szCs w:val="20"/>
        </w:rPr>
      </w:pPr>
    </w:p>
    <w:p w14:paraId="09DD19CE" w14:textId="0233BAA6" w:rsidR="003C5A99" w:rsidRPr="00105C13" w:rsidRDefault="003C5A99" w:rsidP="004603D2">
      <w:pPr>
        <w:spacing w:line="276" w:lineRule="auto"/>
        <w:jc w:val="both"/>
        <w:rPr>
          <w:rFonts w:ascii="Constantia" w:eastAsiaTheme="minorEastAsia" w:hAnsi="Constantia" w:cs="Times New Roman"/>
          <w:sz w:val="20"/>
          <w:szCs w:val="20"/>
        </w:rPr>
      </w:pPr>
    </w:p>
    <w:p w14:paraId="08762655" w14:textId="226F92B7" w:rsidR="003C5A99" w:rsidRDefault="003C5A99" w:rsidP="0032050F">
      <w:pPr>
        <w:pStyle w:val="Caption"/>
        <w:rPr>
          <w:rFonts w:ascii="Times New Roman" w:hAnsi="Times New Roman" w:cs="Times New Roman"/>
          <w:i w:val="0"/>
          <w:iCs w:val="0"/>
          <w:noProof/>
          <w:color w:val="auto"/>
        </w:rPr>
      </w:pPr>
    </w:p>
    <w:p w14:paraId="4457E6F3" w14:textId="77777777" w:rsidR="0032050F" w:rsidRPr="0032050F" w:rsidRDefault="0032050F" w:rsidP="0032050F"/>
    <w:tbl>
      <w:tblPr>
        <w:tblW w:w="5167" w:type="dxa"/>
        <w:tblInd w:w="279" w:type="dxa"/>
        <w:tblCellMar>
          <w:left w:w="0" w:type="dxa"/>
          <w:right w:w="0" w:type="dxa"/>
        </w:tblCellMar>
        <w:tblLook w:val="04A0" w:firstRow="1" w:lastRow="0" w:firstColumn="1" w:lastColumn="0" w:noHBand="0" w:noVBand="1"/>
      </w:tblPr>
      <w:tblGrid>
        <w:gridCol w:w="1636"/>
        <w:gridCol w:w="3531"/>
      </w:tblGrid>
      <w:tr w:rsidR="003C5A99" w:rsidRPr="0032050F" w14:paraId="0170F30D" w14:textId="77777777" w:rsidTr="0032050F">
        <w:trPr>
          <w:trHeight w:val="234"/>
          <w:tblHeader/>
        </w:trPr>
        <w:tc>
          <w:tcPr>
            <w:tcW w:w="1636" w:type="dxa"/>
            <w:tcMar>
              <w:top w:w="30" w:type="dxa"/>
              <w:left w:w="45" w:type="dxa"/>
              <w:bottom w:w="30" w:type="dxa"/>
              <w:right w:w="45" w:type="dxa"/>
            </w:tcMar>
            <w:vAlign w:val="center"/>
            <w:hideMark/>
          </w:tcPr>
          <w:p w14:paraId="27EA7DB0" w14:textId="33E7D5BE" w:rsidR="003C5A99" w:rsidRPr="0032050F" w:rsidRDefault="003C6DB1" w:rsidP="008B4BC2">
            <w:pPr>
              <w:spacing w:after="0" w:line="240" w:lineRule="auto"/>
              <w:jc w:val="center"/>
              <w:rPr>
                <w:rFonts w:ascii="Constantia" w:eastAsia="Times New Roman" w:hAnsi="Constantia"/>
                <w:sz w:val="16"/>
                <w:szCs w:val="16"/>
              </w:rPr>
            </w:pPr>
            <w:r w:rsidRPr="0032050F">
              <w:rPr>
                <w:rFonts w:ascii="Constantia" w:eastAsia="Times New Roman" w:hAnsi="Constantia"/>
                <w:sz w:val="16"/>
                <w:szCs w:val="16"/>
              </w:rPr>
              <w:t>Colors</w:t>
            </w:r>
          </w:p>
        </w:tc>
        <w:tc>
          <w:tcPr>
            <w:tcW w:w="3531" w:type="dxa"/>
            <w:tcMar>
              <w:top w:w="30" w:type="dxa"/>
              <w:left w:w="45" w:type="dxa"/>
              <w:bottom w:w="30" w:type="dxa"/>
              <w:right w:w="45" w:type="dxa"/>
            </w:tcMar>
            <w:vAlign w:val="center"/>
            <w:hideMark/>
          </w:tcPr>
          <w:p w14:paraId="69E49690" w14:textId="3A335CC3" w:rsidR="003C5A99" w:rsidRPr="0032050F" w:rsidRDefault="003C6DB1" w:rsidP="008B4BC2">
            <w:pPr>
              <w:spacing w:after="0" w:line="240" w:lineRule="auto"/>
              <w:jc w:val="center"/>
              <w:rPr>
                <w:rFonts w:ascii="Constantia" w:eastAsia="Times New Roman" w:hAnsi="Constantia"/>
                <w:sz w:val="16"/>
                <w:szCs w:val="16"/>
              </w:rPr>
            </w:pPr>
            <w:r w:rsidRPr="0032050F">
              <w:rPr>
                <w:rFonts w:ascii="Constantia" w:eastAsia="Times New Roman" w:hAnsi="Constantia"/>
                <w:sz w:val="16"/>
                <w:szCs w:val="16"/>
              </w:rPr>
              <w:t>Range</w:t>
            </w:r>
          </w:p>
        </w:tc>
      </w:tr>
      <w:tr w:rsidR="003C5A99" w:rsidRPr="0032050F" w14:paraId="3D722E7B" w14:textId="77777777" w:rsidTr="0032050F">
        <w:trPr>
          <w:trHeight w:val="53"/>
        </w:trPr>
        <w:tc>
          <w:tcPr>
            <w:tcW w:w="1636" w:type="dxa"/>
            <w:shd w:val="clear" w:color="auto" w:fill="FFBF00"/>
            <w:tcMar>
              <w:top w:w="30" w:type="dxa"/>
              <w:left w:w="45" w:type="dxa"/>
              <w:bottom w:w="30" w:type="dxa"/>
              <w:right w:w="45" w:type="dxa"/>
            </w:tcMar>
            <w:vAlign w:val="center"/>
            <w:hideMark/>
          </w:tcPr>
          <w:p w14:paraId="6528D9F1" w14:textId="77777777" w:rsidR="003C5A99" w:rsidRPr="0032050F" w:rsidRDefault="003C5A99" w:rsidP="008B4BC2">
            <w:pPr>
              <w:spacing w:after="0" w:line="240" w:lineRule="auto"/>
              <w:jc w:val="center"/>
              <w:rPr>
                <w:rFonts w:ascii="Constantia" w:eastAsia="Times New Roman" w:hAnsi="Constantia"/>
                <w:sz w:val="16"/>
                <w:szCs w:val="16"/>
              </w:rPr>
            </w:pPr>
          </w:p>
        </w:tc>
        <w:tc>
          <w:tcPr>
            <w:tcW w:w="3531" w:type="dxa"/>
            <w:tcMar>
              <w:top w:w="30" w:type="dxa"/>
              <w:left w:w="45" w:type="dxa"/>
              <w:bottom w:w="30" w:type="dxa"/>
              <w:right w:w="45" w:type="dxa"/>
            </w:tcMar>
            <w:hideMark/>
          </w:tcPr>
          <w:p w14:paraId="6B3DD06F" w14:textId="77777777" w:rsidR="003C5A99" w:rsidRPr="0032050F" w:rsidRDefault="003C5A99" w:rsidP="008B4BC2">
            <w:pPr>
              <w:spacing w:after="0" w:line="240" w:lineRule="auto"/>
              <w:jc w:val="center"/>
              <w:rPr>
                <w:rFonts w:ascii="Constantia" w:eastAsia="Times New Roman" w:hAnsi="Constantia"/>
                <w:sz w:val="16"/>
                <w:szCs w:val="16"/>
              </w:rPr>
            </w:pPr>
            <w:r w:rsidRPr="0032050F">
              <w:rPr>
                <w:rFonts w:ascii="Constantia" w:hAnsi="Constantia"/>
                <w:sz w:val="16"/>
                <w:szCs w:val="16"/>
              </w:rPr>
              <w:t>0,0282 - 0,2901</w:t>
            </w:r>
          </w:p>
        </w:tc>
      </w:tr>
      <w:tr w:rsidR="003C5A99" w:rsidRPr="0032050F" w14:paraId="76542F2D" w14:textId="77777777" w:rsidTr="0032050F">
        <w:trPr>
          <w:trHeight w:val="68"/>
        </w:trPr>
        <w:tc>
          <w:tcPr>
            <w:tcW w:w="1636" w:type="dxa"/>
            <w:shd w:val="clear" w:color="auto" w:fill="FF7F00"/>
            <w:tcMar>
              <w:top w:w="30" w:type="dxa"/>
              <w:left w:w="45" w:type="dxa"/>
              <w:bottom w:w="30" w:type="dxa"/>
              <w:right w:w="45" w:type="dxa"/>
            </w:tcMar>
            <w:vAlign w:val="center"/>
            <w:hideMark/>
          </w:tcPr>
          <w:p w14:paraId="606DFDC6" w14:textId="77777777" w:rsidR="003C5A99" w:rsidRPr="0032050F" w:rsidRDefault="003C5A99" w:rsidP="008B4BC2">
            <w:pPr>
              <w:spacing w:after="0" w:line="240" w:lineRule="auto"/>
              <w:jc w:val="center"/>
              <w:rPr>
                <w:rFonts w:ascii="Constantia" w:eastAsia="Times New Roman" w:hAnsi="Constantia"/>
                <w:sz w:val="16"/>
                <w:szCs w:val="16"/>
              </w:rPr>
            </w:pPr>
          </w:p>
        </w:tc>
        <w:tc>
          <w:tcPr>
            <w:tcW w:w="3531" w:type="dxa"/>
            <w:tcMar>
              <w:top w:w="30" w:type="dxa"/>
              <w:left w:w="45" w:type="dxa"/>
              <w:bottom w:w="30" w:type="dxa"/>
              <w:right w:w="45" w:type="dxa"/>
            </w:tcMar>
            <w:hideMark/>
          </w:tcPr>
          <w:p w14:paraId="76AD6DA4" w14:textId="77777777" w:rsidR="003C5A99" w:rsidRPr="0032050F" w:rsidRDefault="003C5A99" w:rsidP="008B4BC2">
            <w:pPr>
              <w:spacing w:after="0" w:line="240" w:lineRule="auto"/>
              <w:jc w:val="center"/>
              <w:rPr>
                <w:rFonts w:ascii="Constantia" w:eastAsia="Times New Roman" w:hAnsi="Constantia"/>
                <w:sz w:val="16"/>
                <w:szCs w:val="16"/>
              </w:rPr>
            </w:pPr>
            <w:r w:rsidRPr="0032050F">
              <w:rPr>
                <w:rFonts w:ascii="Constantia" w:hAnsi="Constantia"/>
                <w:sz w:val="16"/>
                <w:szCs w:val="16"/>
              </w:rPr>
              <w:t>0,2902 - 0,552</w:t>
            </w:r>
          </w:p>
        </w:tc>
      </w:tr>
      <w:tr w:rsidR="003C5A99" w:rsidRPr="0032050F" w14:paraId="0979ABC3" w14:textId="77777777" w:rsidTr="0032050F">
        <w:trPr>
          <w:trHeight w:val="72"/>
        </w:trPr>
        <w:tc>
          <w:tcPr>
            <w:tcW w:w="1636" w:type="dxa"/>
            <w:shd w:val="clear" w:color="auto" w:fill="FF3F00"/>
            <w:tcMar>
              <w:top w:w="30" w:type="dxa"/>
              <w:left w:w="45" w:type="dxa"/>
              <w:bottom w:w="30" w:type="dxa"/>
              <w:right w:w="45" w:type="dxa"/>
            </w:tcMar>
            <w:vAlign w:val="center"/>
            <w:hideMark/>
          </w:tcPr>
          <w:p w14:paraId="16A2C244" w14:textId="77777777" w:rsidR="003C5A99" w:rsidRPr="0032050F" w:rsidRDefault="003C5A99" w:rsidP="008B4BC2">
            <w:pPr>
              <w:spacing w:after="0" w:line="240" w:lineRule="auto"/>
              <w:jc w:val="center"/>
              <w:rPr>
                <w:rFonts w:ascii="Constantia" w:eastAsia="Times New Roman" w:hAnsi="Constantia"/>
                <w:sz w:val="16"/>
                <w:szCs w:val="16"/>
              </w:rPr>
            </w:pPr>
          </w:p>
        </w:tc>
        <w:tc>
          <w:tcPr>
            <w:tcW w:w="3531" w:type="dxa"/>
            <w:tcMar>
              <w:top w:w="30" w:type="dxa"/>
              <w:left w:w="45" w:type="dxa"/>
              <w:bottom w:w="30" w:type="dxa"/>
              <w:right w:w="45" w:type="dxa"/>
            </w:tcMar>
            <w:hideMark/>
          </w:tcPr>
          <w:p w14:paraId="7D037A59" w14:textId="77777777" w:rsidR="003C5A99" w:rsidRPr="0032050F" w:rsidRDefault="003C5A99" w:rsidP="008B4BC2">
            <w:pPr>
              <w:spacing w:after="0" w:line="240" w:lineRule="auto"/>
              <w:jc w:val="center"/>
              <w:rPr>
                <w:rFonts w:ascii="Constantia" w:eastAsia="Times New Roman" w:hAnsi="Constantia"/>
                <w:sz w:val="16"/>
                <w:szCs w:val="16"/>
              </w:rPr>
            </w:pPr>
            <w:r w:rsidRPr="0032050F">
              <w:rPr>
                <w:rFonts w:ascii="Constantia" w:hAnsi="Constantia"/>
                <w:sz w:val="16"/>
                <w:szCs w:val="16"/>
              </w:rPr>
              <w:t>0,553 - 0,815</w:t>
            </w:r>
          </w:p>
        </w:tc>
      </w:tr>
      <w:tr w:rsidR="003C5A99" w:rsidRPr="0032050F" w14:paraId="5081DAC7" w14:textId="77777777" w:rsidTr="0032050F">
        <w:trPr>
          <w:trHeight w:val="53"/>
        </w:trPr>
        <w:tc>
          <w:tcPr>
            <w:tcW w:w="1636" w:type="dxa"/>
            <w:shd w:val="clear" w:color="auto" w:fill="CD6928"/>
            <w:tcMar>
              <w:top w:w="30" w:type="dxa"/>
              <w:left w:w="45" w:type="dxa"/>
              <w:bottom w:w="30" w:type="dxa"/>
              <w:right w:w="45" w:type="dxa"/>
            </w:tcMar>
            <w:vAlign w:val="center"/>
            <w:hideMark/>
          </w:tcPr>
          <w:p w14:paraId="1BBEFC08" w14:textId="77777777" w:rsidR="003C5A99" w:rsidRPr="0032050F" w:rsidRDefault="003C5A99" w:rsidP="008B4BC2">
            <w:pPr>
              <w:spacing w:after="0" w:line="240" w:lineRule="auto"/>
              <w:jc w:val="center"/>
              <w:rPr>
                <w:rFonts w:ascii="Constantia" w:eastAsia="Times New Roman" w:hAnsi="Constantia"/>
                <w:sz w:val="16"/>
                <w:szCs w:val="16"/>
              </w:rPr>
            </w:pPr>
          </w:p>
        </w:tc>
        <w:tc>
          <w:tcPr>
            <w:tcW w:w="3531" w:type="dxa"/>
            <w:tcMar>
              <w:top w:w="30" w:type="dxa"/>
              <w:left w:w="45" w:type="dxa"/>
              <w:bottom w:w="30" w:type="dxa"/>
              <w:right w:w="45" w:type="dxa"/>
            </w:tcMar>
            <w:hideMark/>
          </w:tcPr>
          <w:p w14:paraId="08D78E7C" w14:textId="77777777" w:rsidR="003C5A99" w:rsidRPr="0032050F" w:rsidRDefault="003C5A99" w:rsidP="008B4BC2">
            <w:pPr>
              <w:spacing w:after="0" w:line="240" w:lineRule="auto"/>
              <w:jc w:val="center"/>
              <w:rPr>
                <w:rFonts w:ascii="Constantia" w:eastAsia="Times New Roman" w:hAnsi="Constantia"/>
                <w:sz w:val="16"/>
                <w:szCs w:val="16"/>
              </w:rPr>
            </w:pPr>
            <w:r w:rsidRPr="0032050F">
              <w:rPr>
                <w:rFonts w:ascii="Constantia" w:hAnsi="Constantia"/>
                <w:sz w:val="16"/>
                <w:szCs w:val="16"/>
              </w:rPr>
              <w:t>0,816 - 1,078</w:t>
            </w:r>
          </w:p>
        </w:tc>
      </w:tr>
      <w:tr w:rsidR="003C5A99" w:rsidRPr="0032050F" w14:paraId="6A199A14" w14:textId="77777777" w:rsidTr="0032050F">
        <w:trPr>
          <w:trHeight w:val="78"/>
        </w:trPr>
        <w:tc>
          <w:tcPr>
            <w:tcW w:w="1636" w:type="dxa"/>
            <w:shd w:val="clear" w:color="auto" w:fill="FF0000"/>
            <w:tcMar>
              <w:top w:w="30" w:type="dxa"/>
              <w:left w:w="45" w:type="dxa"/>
              <w:bottom w:w="30" w:type="dxa"/>
              <w:right w:w="45" w:type="dxa"/>
            </w:tcMar>
            <w:vAlign w:val="center"/>
            <w:hideMark/>
          </w:tcPr>
          <w:p w14:paraId="20B2D2D2" w14:textId="77777777" w:rsidR="003C5A99" w:rsidRPr="0032050F" w:rsidRDefault="003C5A99" w:rsidP="008B4BC2">
            <w:pPr>
              <w:spacing w:after="0" w:line="240" w:lineRule="auto"/>
              <w:jc w:val="center"/>
              <w:rPr>
                <w:rFonts w:ascii="Constantia" w:eastAsia="Times New Roman" w:hAnsi="Constantia"/>
                <w:sz w:val="16"/>
                <w:szCs w:val="16"/>
              </w:rPr>
            </w:pPr>
          </w:p>
        </w:tc>
        <w:tc>
          <w:tcPr>
            <w:tcW w:w="3531" w:type="dxa"/>
            <w:tcMar>
              <w:top w:w="30" w:type="dxa"/>
              <w:left w:w="45" w:type="dxa"/>
              <w:bottom w:w="30" w:type="dxa"/>
              <w:right w:w="45" w:type="dxa"/>
            </w:tcMar>
            <w:hideMark/>
          </w:tcPr>
          <w:p w14:paraId="074E838E" w14:textId="77777777" w:rsidR="003C5A99" w:rsidRPr="0032050F" w:rsidRDefault="003C5A99" w:rsidP="008B4BC2">
            <w:pPr>
              <w:spacing w:after="0" w:line="240" w:lineRule="auto"/>
              <w:jc w:val="center"/>
              <w:rPr>
                <w:rFonts w:ascii="Constantia" w:eastAsia="Times New Roman" w:hAnsi="Constantia"/>
                <w:sz w:val="16"/>
                <w:szCs w:val="16"/>
              </w:rPr>
            </w:pPr>
            <w:r w:rsidRPr="0032050F">
              <w:rPr>
                <w:rFonts w:ascii="Constantia" w:hAnsi="Constantia"/>
                <w:sz w:val="16"/>
                <w:szCs w:val="16"/>
              </w:rPr>
              <w:t>1,079 - 1,2387</w:t>
            </w:r>
          </w:p>
        </w:tc>
      </w:tr>
    </w:tbl>
    <w:p w14:paraId="1D2E2D5A" w14:textId="333189E9" w:rsidR="00680611" w:rsidRDefault="00680611" w:rsidP="00680611">
      <w:pPr>
        <w:spacing w:after="0" w:line="240" w:lineRule="auto"/>
        <w:jc w:val="both"/>
        <w:rPr>
          <w:rFonts w:ascii="Constantia" w:eastAsiaTheme="minorEastAsia" w:hAnsi="Constantia" w:cs="Times New Roman"/>
          <w:sz w:val="20"/>
          <w:szCs w:val="20"/>
        </w:rPr>
      </w:pPr>
    </w:p>
    <w:p w14:paraId="7630BFED" w14:textId="77777777" w:rsidR="0032050F" w:rsidRDefault="0032050F" w:rsidP="00680611">
      <w:pPr>
        <w:spacing w:after="0" w:line="240" w:lineRule="auto"/>
        <w:jc w:val="both"/>
        <w:rPr>
          <w:rFonts w:ascii="Constantia" w:eastAsiaTheme="minorEastAsia" w:hAnsi="Constantia" w:cs="Times New Roman"/>
          <w:sz w:val="20"/>
          <w:szCs w:val="20"/>
        </w:rPr>
      </w:pPr>
    </w:p>
    <w:p w14:paraId="78CA5007" w14:textId="046D1914" w:rsidR="0032050F" w:rsidRPr="00105C13" w:rsidRDefault="0032050F" w:rsidP="0032050F">
      <w:pPr>
        <w:spacing w:after="0" w:line="240" w:lineRule="auto"/>
        <w:jc w:val="center"/>
        <w:rPr>
          <w:rFonts w:ascii="Constantia" w:eastAsiaTheme="minorEastAsia" w:hAnsi="Constantia" w:cs="Times New Roman"/>
          <w:sz w:val="20"/>
          <w:szCs w:val="20"/>
        </w:rPr>
      </w:pPr>
      <w:r w:rsidRPr="0032050F">
        <w:rPr>
          <w:rFonts w:ascii="Times New Roman" w:hAnsi="Times New Roman" w:cs="Times New Roman"/>
          <w:b/>
          <w:bCs/>
        </w:rPr>
        <w:t xml:space="preserve">Figure </w:t>
      </w:r>
      <w:r w:rsidRPr="0032050F">
        <w:rPr>
          <w:rFonts w:ascii="Times New Roman" w:hAnsi="Times New Roman" w:cs="Times New Roman"/>
          <w:b/>
          <w:bCs/>
          <w:i/>
          <w:iCs/>
        </w:rPr>
        <w:t>5.</w:t>
      </w:r>
      <w:r w:rsidRPr="003C6DB1">
        <w:rPr>
          <w:rFonts w:ascii="Times New Roman" w:hAnsi="Times New Roman" w:cs="Times New Roman"/>
        </w:rPr>
        <w:t xml:space="preserve"> Mapping results of </w:t>
      </w:r>
      <w:r w:rsidRPr="003C6DB1">
        <w:rPr>
          <w:rFonts w:ascii="Times New Roman" w:hAnsi="Times New Roman" w:cs="Times New Roman"/>
          <w:i/>
          <w:iCs/>
        </w:rPr>
        <w:t xml:space="preserve">Non </w:t>
      </w:r>
      <w:r w:rsidRPr="003C6DB1">
        <w:rPr>
          <w:rFonts w:ascii="Times New Roman" w:hAnsi="Times New Roman" w:cs="Times New Roman"/>
        </w:rPr>
        <w:t>B3 Solid Waste</w:t>
      </w:r>
      <w:r>
        <w:rPr>
          <w:rFonts w:ascii="Times New Roman" w:hAnsi="Times New Roman" w:cs="Times New Roman"/>
          <w:i/>
          <w:iCs/>
        </w:rPr>
        <w:t xml:space="preserve"> management</w:t>
      </w:r>
      <w:r w:rsidRPr="003C6DB1">
        <w:rPr>
          <w:rFonts w:ascii="Times New Roman" w:hAnsi="Times New Roman" w:cs="Times New Roman"/>
        </w:rPr>
        <w:t xml:space="preserve"> CO2 emissions in buildings at PPNS</w:t>
      </w:r>
    </w:p>
    <w:p w14:paraId="0AA91BDD" w14:textId="77777777" w:rsidR="0032050F" w:rsidRDefault="0032050F" w:rsidP="003C6DB1">
      <w:pPr>
        <w:pStyle w:val="ListParagraph"/>
        <w:spacing w:line="276" w:lineRule="auto"/>
        <w:ind w:left="284" w:firstLine="436"/>
        <w:jc w:val="both"/>
        <w:rPr>
          <w:rFonts w:ascii="Constantia" w:eastAsiaTheme="minorEastAsia" w:hAnsi="Constantia" w:cs="Times New Roman"/>
          <w:sz w:val="20"/>
          <w:szCs w:val="20"/>
          <w:lang w:val="en-ID"/>
        </w:rPr>
      </w:pPr>
    </w:p>
    <w:p w14:paraId="6A66487A" w14:textId="7BF4F5E5" w:rsidR="003C6DB1" w:rsidRPr="007E5546" w:rsidRDefault="003C6DB1" w:rsidP="007E5546">
      <w:pPr>
        <w:pStyle w:val="ListParagraph"/>
        <w:spacing w:line="276" w:lineRule="auto"/>
        <w:ind w:left="0" w:firstLine="567"/>
        <w:jc w:val="both"/>
        <w:rPr>
          <w:rFonts w:ascii="Constantia" w:eastAsiaTheme="minorEastAsia" w:hAnsi="Constantia" w:cs="Times New Roman"/>
          <w:sz w:val="20"/>
          <w:szCs w:val="20"/>
          <w:lang w:val="en-ID"/>
        </w:rPr>
      </w:pPr>
      <w:r w:rsidRPr="00105C13">
        <w:rPr>
          <w:rFonts w:ascii="Constantia" w:eastAsiaTheme="minorEastAsia" w:hAnsi="Constantia" w:cs="Times New Roman"/>
          <w:sz w:val="20"/>
          <w:szCs w:val="20"/>
          <w:lang w:val="en-ID"/>
        </w:rPr>
        <w:t xml:space="preserve">Figure </w:t>
      </w:r>
      <w:r w:rsidR="0032050F">
        <w:rPr>
          <w:rFonts w:ascii="Constantia" w:eastAsiaTheme="minorEastAsia" w:hAnsi="Constantia" w:cs="Times New Roman"/>
          <w:sz w:val="20"/>
          <w:szCs w:val="20"/>
          <w:lang w:val="en-ID"/>
        </w:rPr>
        <w:t>5</w:t>
      </w:r>
      <w:r w:rsidRPr="00105C13">
        <w:rPr>
          <w:rFonts w:ascii="Constantia" w:eastAsiaTheme="minorEastAsia" w:hAnsi="Constantia" w:cs="Times New Roman"/>
          <w:sz w:val="20"/>
          <w:szCs w:val="20"/>
          <w:lang w:val="en-ID"/>
        </w:rPr>
        <w:t xml:space="preserve"> present</w:t>
      </w:r>
      <w:r w:rsidR="0032050F">
        <w:rPr>
          <w:rFonts w:ascii="Constantia" w:eastAsiaTheme="minorEastAsia" w:hAnsi="Constantia" w:cs="Times New Roman"/>
          <w:sz w:val="20"/>
          <w:szCs w:val="20"/>
          <w:lang w:val="en-ID"/>
        </w:rPr>
        <w:t>ed that</w:t>
      </w:r>
      <w:r w:rsidRPr="00105C13">
        <w:rPr>
          <w:rFonts w:ascii="Constantia" w:eastAsiaTheme="minorEastAsia" w:hAnsi="Constantia" w:cs="Times New Roman"/>
          <w:sz w:val="20"/>
          <w:szCs w:val="20"/>
          <w:lang w:val="en-ID"/>
        </w:rPr>
        <w:t xml:space="preserve"> the mapped results of carbon emissions from the non-hazardous solid waste sector in the Politeknik Perkapalan Negeri Surabaya (PPNS) campus environment. Based on the calculations, the area with the highest emission value is the garden area—comprising the front and back gardens—with total </w:t>
      </w:r>
      <w:r w:rsidRPr="007E5546">
        <w:rPr>
          <w:rFonts w:ascii="Constantia" w:eastAsiaTheme="minorEastAsia" w:hAnsi="Constantia" w:cs="Times New Roman"/>
          <w:sz w:val="20"/>
          <w:szCs w:val="20"/>
          <w:lang w:val="en-ID"/>
        </w:rPr>
        <w:t>emissions of 1.2387 tons CO₂/year. The elevated emission levels in this area are attributed to the dominance of garden waste such as leaves, branches, and pruning residues, which contain high organic content and have the potential to generate greenhouse gases during decomposition.</w:t>
      </w:r>
      <w:r w:rsidR="007E5546" w:rsidRPr="007E5546">
        <w:rPr>
          <w:rFonts w:ascii="Constantia" w:eastAsiaTheme="minorEastAsia" w:hAnsi="Constantia" w:cs="Times New Roman"/>
          <w:sz w:val="20"/>
          <w:szCs w:val="20"/>
          <w:lang w:val="en-ID"/>
        </w:rPr>
        <w:t xml:space="preserve"> </w:t>
      </w:r>
      <w:r w:rsidRPr="007E5546">
        <w:rPr>
          <w:rFonts w:ascii="Constantia" w:eastAsiaTheme="minorEastAsia" w:hAnsi="Constantia" w:cs="Times New Roman"/>
          <w:sz w:val="20"/>
          <w:szCs w:val="20"/>
          <w:lang w:val="en-ID"/>
        </w:rPr>
        <w:t>This finding aligns with the study conducted by Sardi et al. (2021), which states that garden areas can generate substantial CO₂ emissions from various biological and soil processes. However, when well-managed and supported by productive vegetation, gardens can also serve as important elements for carbon sequestration and for reducing net emissions in campus or urban environments.</w:t>
      </w:r>
    </w:p>
    <w:p w14:paraId="0557CAC0" w14:textId="77777777" w:rsidR="007E5546" w:rsidRDefault="003C6DB1" w:rsidP="007E5546">
      <w:pPr>
        <w:pStyle w:val="ListParagraph"/>
        <w:spacing w:line="276" w:lineRule="auto"/>
        <w:ind w:left="0" w:firstLine="567"/>
        <w:jc w:val="both"/>
        <w:rPr>
          <w:rFonts w:ascii="Constantia" w:eastAsiaTheme="minorEastAsia" w:hAnsi="Constantia" w:cs="Times New Roman"/>
          <w:sz w:val="20"/>
          <w:szCs w:val="20"/>
          <w:lang w:val="en-ID"/>
        </w:rPr>
      </w:pPr>
      <w:r w:rsidRPr="007E5546">
        <w:rPr>
          <w:rFonts w:ascii="Constantia" w:eastAsiaTheme="minorEastAsia" w:hAnsi="Constantia" w:cs="Times New Roman"/>
          <w:sz w:val="20"/>
          <w:szCs w:val="20"/>
          <w:lang w:val="en-ID"/>
        </w:rPr>
        <w:t>Following the garden area, Building J ranks second with emissions of 0.6226 tons CO₂/year. The high emission level is due to intensive activities, including laboratory work and practicum sessions, which produce larger volumes of waste compared to other buildings. The cafeteria ranks third with emissions of 0.4375 tons CO₂/year, primarily originating</w:t>
      </w:r>
      <w:r w:rsidRPr="00105C13">
        <w:rPr>
          <w:rFonts w:ascii="Constantia" w:eastAsiaTheme="minorEastAsia" w:hAnsi="Constantia" w:cs="Times New Roman"/>
          <w:sz w:val="20"/>
          <w:szCs w:val="20"/>
          <w:lang w:val="en-ID"/>
        </w:rPr>
        <w:t xml:space="preserve"> from substantial amounts of food waste and single-use plastics.</w:t>
      </w:r>
    </w:p>
    <w:p w14:paraId="4499462C" w14:textId="3C4A3388" w:rsidR="003C6DB1" w:rsidRPr="007E5546" w:rsidRDefault="003C6DB1" w:rsidP="007E5546">
      <w:pPr>
        <w:pStyle w:val="ListParagraph"/>
        <w:spacing w:line="276" w:lineRule="auto"/>
        <w:ind w:left="0" w:firstLine="567"/>
        <w:jc w:val="both"/>
        <w:rPr>
          <w:rFonts w:ascii="Constantia" w:eastAsiaTheme="minorEastAsia" w:hAnsi="Constantia" w:cs="Times New Roman"/>
          <w:sz w:val="20"/>
          <w:szCs w:val="20"/>
          <w:lang w:val="en-ID"/>
        </w:rPr>
      </w:pPr>
      <w:r w:rsidRPr="007E5546">
        <w:rPr>
          <w:rFonts w:ascii="Constantia" w:eastAsiaTheme="minorEastAsia" w:hAnsi="Constantia" w:cs="Times New Roman"/>
          <w:sz w:val="20"/>
          <w:szCs w:val="20"/>
          <w:lang w:val="en-ID"/>
        </w:rPr>
        <w:lastRenderedPageBreak/>
        <w:t xml:space="preserve">Additionally, the Library and Shipmart generate </w:t>
      </w:r>
      <w:r w:rsidRPr="007E5546">
        <w:rPr>
          <w:rFonts w:ascii="Constantia" w:eastAsiaTheme="minorEastAsia" w:hAnsi="Constantia" w:cs="Times New Roman"/>
          <w:b/>
          <w:bCs/>
          <w:sz w:val="20"/>
          <w:szCs w:val="20"/>
          <w:lang w:val="en-ID"/>
        </w:rPr>
        <w:t>0.</w:t>
      </w:r>
      <w:r w:rsidRPr="007E5546">
        <w:rPr>
          <w:rFonts w:ascii="Constantia" w:eastAsiaTheme="minorEastAsia" w:hAnsi="Constantia" w:cs="Times New Roman"/>
          <w:sz w:val="20"/>
          <w:szCs w:val="20"/>
          <w:lang w:val="en-ID"/>
        </w:rPr>
        <w:t>4067 tons CO₂/year, followed by Building M with 0.3457 tons CO₂/year, and the mosque with 0.3353 tons CO₂/year. This distribution pattern indicates that areas with high activity levels or large quantities of organic waste tend to contribute significantly to total carbon emissions within the PPNS campus.</w:t>
      </w:r>
      <w:r w:rsidR="007E5546" w:rsidRPr="007E5546">
        <w:rPr>
          <w:rFonts w:ascii="Constantia" w:eastAsiaTheme="minorEastAsia" w:hAnsi="Constantia" w:cs="Times New Roman"/>
          <w:sz w:val="20"/>
          <w:szCs w:val="20"/>
          <w:lang w:val="en-ID"/>
        </w:rPr>
        <w:t xml:space="preserve"> </w:t>
      </w:r>
      <w:r w:rsidRPr="007E5546">
        <w:rPr>
          <w:rFonts w:ascii="Constantia" w:eastAsiaTheme="minorEastAsia" w:hAnsi="Constantia" w:cs="Times New Roman"/>
          <w:sz w:val="20"/>
          <w:szCs w:val="20"/>
          <w:lang w:val="en-ID"/>
        </w:rPr>
        <w:t>Sofriadi et al. (2017) also explain that there is a linear relationship or strong correlation between the weight of waste generated and the amount of carbon emissions produced, which is further influenced by the type of waste composition.</w:t>
      </w:r>
    </w:p>
    <w:p w14:paraId="03AFBCB5" w14:textId="77777777" w:rsidR="003B244F" w:rsidRPr="00105C13" w:rsidRDefault="003B244F" w:rsidP="003B244F">
      <w:pPr>
        <w:pStyle w:val="ListParagraph"/>
        <w:spacing w:line="276" w:lineRule="auto"/>
        <w:ind w:left="284" w:firstLine="436"/>
        <w:jc w:val="both"/>
        <w:rPr>
          <w:rFonts w:ascii="Constantia" w:eastAsiaTheme="minorEastAsia" w:hAnsi="Constantia" w:cs="Times New Roman"/>
          <w:sz w:val="20"/>
          <w:szCs w:val="20"/>
        </w:rPr>
      </w:pPr>
    </w:p>
    <w:p w14:paraId="0D7CEE8E" w14:textId="679AC4CB" w:rsidR="00680611" w:rsidRPr="00105C13" w:rsidRDefault="003C5A99" w:rsidP="0032050F">
      <w:pPr>
        <w:pStyle w:val="ListParagraph"/>
        <w:numPr>
          <w:ilvl w:val="0"/>
          <w:numId w:val="16"/>
        </w:numPr>
        <w:spacing w:after="0" w:line="240" w:lineRule="auto"/>
        <w:ind w:left="284" w:hanging="284"/>
        <w:jc w:val="both"/>
        <w:rPr>
          <w:rFonts w:ascii="Constantia" w:eastAsiaTheme="minorEastAsia" w:hAnsi="Constantia" w:cs="Times New Roman"/>
          <w:b/>
          <w:bCs/>
          <w:sz w:val="24"/>
          <w:szCs w:val="24"/>
        </w:rPr>
      </w:pPr>
      <w:r w:rsidRPr="00105C13">
        <w:rPr>
          <w:rFonts w:ascii="Constantia" w:eastAsiaTheme="minorEastAsia" w:hAnsi="Constantia" w:cs="Times New Roman"/>
          <w:b/>
          <w:bCs/>
          <w:sz w:val="24"/>
          <w:szCs w:val="24"/>
        </w:rPr>
        <w:t>Conclusions</w:t>
      </w:r>
    </w:p>
    <w:p w14:paraId="4E3C3979" w14:textId="0A3A6DE2" w:rsidR="00612561" w:rsidRPr="00105C13" w:rsidRDefault="003C6DB1" w:rsidP="007E5546">
      <w:pPr>
        <w:pStyle w:val="ListParagraph"/>
        <w:spacing w:after="0" w:line="276" w:lineRule="auto"/>
        <w:ind w:left="0" w:firstLine="567"/>
        <w:jc w:val="both"/>
        <w:rPr>
          <w:rFonts w:ascii="Constantia" w:eastAsiaTheme="minorEastAsia" w:hAnsi="Constantia" w:cs="Times New Roman"/>
          <w:sz w:val="20"/>
          <w:szCs w:val="20"/>
        </w:rPr>
      </w:pPr>
      <w:r w:rsidRPr="00105C13">
        <w:rPr>
          <w:rFonts w:ascii="Constantia" w:eastAsiaTheme="minorEastAsia" w:hAnsi="Constantia" w:cs="Times New Roman"/>
          <w:sz w:val="20"/>
          <w:szCs w:val="20"/>
        </w:rPr>
        <w:t>This study demonstrates that waste management at the Politeknik Perkapalan Negeri Surabaya (PPNS) contributes significantly to carbon emission generation, yet also possesses substantial potential for mitigation through the implementation of an integrated waste management system based on the 3R principles (Reduce, Reuse, Recycle). Carbon emission estimates calculated using the IPCC (2006) guidelines indicate that total emissions from the solid waste sector amount to 5.4379 tons CO₂/year. The largest contribution comes from organic waste—food waste and garden waste—which accounts for approximately 2.768 tons CO₂/year, or 51% of total emissions. Meanwhile, inorganic waste such as plastics and paper produces 1.423 tons CO₂/year and 1.018 tons CO₂/year, respectively.</w:t>
      </w:r>
      <w:r w:rsidR="007E5546">
        <w:rPr>
          <w:rFonts w:ascii="Constantia" w:eastAsiaTheme="minorEastAsia" w:hAnsi="Constantia" w:cs="Times New Roman"/>
          <w:sz w:val="20"/>
          <w:szCs w:val="20"/>
        </w:rPr>
        <w:t xml:space="preserve"> </w:t>
      </w:r>
      <w:r w:rsidRPr="00105C13">
        <w:rPr>
          <w:rFonts w:ascii="Constantia" w:eastAsiaTheme="minorEastAsia" w:hAnsi="Constantia" w:cs="Times New Roman"/>
          <w:sz w:val="20"/>
          <w:szCs w:val="20"/>
        </w:rPr>
        <w:t>The application of 3R-based mitigation strategies, particularly through composting organic waste and recycling inorganic waste via the campus waste bank, has proven effective in significantly reducing carbon emissions. After the mitigation measures were implemented, total emissions decreased to 2.0007 tons CO₂/year, resulting in a reduction potential of 3.4372 tons CO₂/year, or approximately 63% of the initial emissions. Overall, the findings of this study reaffirm that the implementation of an integrated waste management system on campus is not only effective in reducing carbon emissions but also enhances resource management efficiency and fosters sustainability awareness among the academic community. The continuous implementation of composting activities, waste bank operations, and environmental education at PPNS has the potential to strengthen the institution’s role as a low-carbon campus while supporting the achievement of the Sustainable Development Goals (SDGs), particularly SDG 12 (Responsible Consumption and Production) and SDG 13 (Climate Action).</w:t>
      </w:r>
    </w:p>
    <w:p w14:paraId="394E40C0" w14:textId="77777777" w:rsidR="007E5546" w:rsidRDefault="007E5546" w:rsidP="007E5546">
      <w:pPr>
        <w:rPr>
          <w:rFonts w:ascii="Constantia" w:eastAsiaTheme="minorEastAsia" w:hAnsi="Constantia" w:cs="Times New Roman"/>
          <w:sz w:val="20"/>
          <w:szCs w:val="20"/>
        </w:rPr>
      </w:pPr>
    </w:p>
    <w:p w14:paraId="73626B71" w14:textId="450DB10E" w:rsidR="00680611" w:rsidRPr="007E5546" w:rsidRDefault="003C5A99" w:rsidP="007E5546">
      <w:pPr>
        <w:rPr>
          <w:rFonts w:ascii="Constantia" w:eastAsiaTheme="minorEastAsia" w:hAnsi="Constantia" w:cs="Times New Roman"/>
          <w:sz w:val="20"/>
          <w:szCs w:val="20"/>
        </w:rPr>
      </w:pPr>
      <w:r w:rsidRPr="00105C13">
        <w:rPr>
          <w:rFonts w:ascii="Constantia" w:eastAsiaTheme="minorEastAsia" w:hAnsi="Constantia" w:cs="Times New Roman"/>
          <w:b/>
          <w:bCs/>
          <w:sz w:val="24"/>
          <w:szCs w:val="24"/>
        </w:rPr>
        <w:t>References</w:t>
      </w:r>
    </w:p>
    <w:p w14:paraId="47E35591" w14:textId="1A221287" w:rsidR="00AD4D20" w:rsidRPr="00105C13" w:rsidRDefault="00AD4D20" w:rsidP="007E5546">
      <w:pPr>
        <w:pBdr>
          <w:top w:val="nil"/>
          <w:left w:val="nil"/>
          <w:bottom w:val="nil"/>
          <w:right w:val="nil"/>
          <w:between w:val="nil"/>
        </w:pBdr>
        <w:spacing w:after="0" w:line="240" w:lineRule="auto"/>
        <w:ind w:left="709" w:hanging="709"/>
        <w:contextualSpacing/>
        <w:jc w:val="both"/>
        <w:rPr>
          <w:rFonts w:ascii="Constantia" w:eastAsia="Constantia" w:hAnsi="Constantia" w:cs="Constantia"/>
          <w:color w:val="000000"/>
          <w:sz w:val="20"/>
          <w:szCs w:val="20"/>
        </w:rPr>
      </w:pPr>
      <w:r w:rsidRPr="00105C13">
        <w:rPr>
          <w:rFonts w:ascii="Constantia" w:eastAsia="Constantia" w:hAnsi="Constantia" w:cs="Constantia"/>
          <w:color w:val="000000"/>
          <w:sz w:val="20"/>
          <w:szCs w:val="20"/>
        </w:rPr>
        <w:t>Afiuddin, A. E., &amp; Priastuti, U. 2016. Perhitungan Emisi Karbon dan Kecukupan Ruang Terbuka Hijau di Lingkungan Kampus (Studi Kasus</w:t>
      </w:r>
      <w:r w:rsidRPr="00105C13">
        <w:rPr>
          <w:rFonts w:ascii="Times New Roman" w:eastAsia="Constantia" w:hAnsi="Times New Roman" w:cs="Times New Roman"/>
          <w:color w:val="000000"/>
          <w:sz w:val="20"/>
          <w:szCs w:val="20"/>
        </w:rPr>
        <w:t> </w:t>
      </w:r>
      <w:r w:rsidRPr="00105C13">
        <w:rPr>
          <w:rFonts w:ascii="Constantia" w:eastAsia="Constantia" w:hAnsi="Constantia" w:cs="Constantia"/>
          <w:color w:val="000000"/>
          <w:sz w:val="20"/>
          <w:szCs w:val="20"/>
        </w:rPr>
        <w:t>: Kampus Politeknik Perkapalan Negeri Surabaya). Seminar Nasional Maritim, Sains, Dan Teknologi Terapan 2016, 1–5.</w:t>
      </w:r>
    </w:p>
    <w:p w14:paraId="598A83B6" w14:textId="3AD33FE4" w:rsidR="00BC0889" w:rsidRPr="00105C13" w:rsidRDefault="003C5A99" w:rsidP="007E5546">
      <w:pPr>
        <w:pBdr>
          <w:top w:val="nil"/>
          <w:left w:val="nil"/>
          <w:bottom w:val="nil"/>
          <w:right w:val="nil"/>
          <w:between w:val="nil"/>
        </w:pBdr>
        <w:spacing w:after="0" w:line="240" w:lineRule="auto"/>
        <w:ind w:left="709" w:hanging="709"/>
        <w:contextualSpacing/>
        <w:jc w:val="both"/>
        <w:rPr>
          <w:rFonts w:ascii="Constantia" w:hAnsi="Constantia" w:cs="Times New Roman"/>
          <w:noProof/>
          <w:sz w:val="20"/>
          <w:szCs w:val="20"/>
        </w:rPr>
      </w:pPr>
      <w:r w:rsidRPr="00105C13">
        <w:rPr>
          <w:rFonts w:ascii="Constantia" w:eastAsia="Constantia" w:hAnsi="Constantia" w:cs="Constantia"/>
          <w:color w:val="000000"/>
          <w:sz w:val="20"/>
          <w:szCs w:val="20"/>
        </w:rPr>
        <w:fldChar w:fldCharType="begin" w:fldLock="1"/>
      </w:r>
      <w:r w:rsidRPr="00105C13">
        <w:rPr>
          <w:rFonts w:ascii="Constantia" w:eastAsia="Constantia" w:hAnsi="Constantia" w:cs="Constantia"/>
          <w:color w:val="000000"/>
          <w:sz w:val="20"/>
          <w:szCs w:val="20"/>
        </w:rPr>
        <w:instrText xml:space="preserve">ADDIN Mendeley Bibliography CSL_BIBLIOGRAPHY </w:instrText>
      </w:r>
      <w:r w:rsidRPr="00105C13">
        <w:rPr>
          <w:rFonts w:ascii="Constantia" w:eastAsia="Constantia" w:hAnsi="Constantia" w:cs="Constantia"/>
          <w:color w:val="000000"/>
          <w:sz w:val="20"/>
          <w:szCs w:val="20"/>
        </w:rPr>
        <w:fldChar w:fldCharType="separate"/>
      </w:r>
      <w:r w:rsidR="007626F2" w:rsidRPr="00105C13">
        <w:rPr>
          <w:rFonts w:ascii="Constantia" w:eastAsia="Constantia" w:hAnsi="Constantia" w:cs="Constantia"/>
          <w:noProof/>
          <w:color w:val="000000"/>
          <w:sz w:val="20"/>
          <w:szCs w:val="20"/>
        </w:rPr>
        <w:t>Badan</w:t>
      </w:r>
      <w:r w:rsidR="007626F2" w:rsidRPr="00105C13">
        <w:rPr>
          <w:rFonts w:ascii="Constantia" w:hAnsi="Constantia" w:cs="Times New Roman"/>
          <w:noProof/>
          <w:sz w:val="20"/>
          <w:szCs w:val="20"/>
        </w:rPr>
        <w:t xml:space="preserve"> Standardisasi Nasional, [SNI]. 1994. SNI 19-3964-1994 Metode pengambilan dan pengukuran contoh timbulan dan komposisi sampah perkotaan. Badan Standardisasi Nasional, 3(1), 1–16.</w:t>
      </w:r>
    </w:p>
    <w:p w14:paraId="5546D5AF" w14:textId="25ED3401" w:rsidR="00A473A0" w:rsidRPr="00105C13" w:rsidRDefault="00A473A0" w:rsidP="007E5546">
      <w:pPr>
        <w:pBdr>
          <w:top w:val="nil"/>
          <w:left w:val="nil"/>
          <w:bottom w:val="nil"/>
          <w:right w:val="nil"/>
          <w:between w:val="nil"/>
        </w:pBdr>
        <w:spacing w:after="0" w:line="240" w:lineRule="auto"/>
        <w:ind w:left="709" w:hanging="709"/>
        <w:contextualSpacing/>
        <w:jc w:val="both"/>
        <w:rPr>
          <w:rFonts w:ascii="Constantia" w:hAnsi="Constantia" w:cs="Times New Roman"/>
          <w:noProof/>
          <w:sz w:val="20"/>
          <w:szCs w:val="20"/>
        </w:rPr>
      </w:pPr>
      <w:r w:rsidRPr="00105C13">
        <w:rPr>
          <w:rFonts w:ascii="Constantia" w:hAnsi="Constantia" w:cs="Times New Roman"/>
          <w:noProof/>
          <w:sz w:val="20"/>
          <w:szCs w:val="20"/>
        </w:rPr>
        <w:t>Chuenwong, K., Wangjiraniran, W., Pongthanaisawan, J., Sumitsawan, S., &amp; Suppamit, T. 2022. Municipal solid waste management for reaching net-zero emissions in ASEAN tourism twin cities: A case study of Nan and Luang Prabang. Heliyon 8(8),1-11)</w:t>
      </w:r>
    </w:p>
    <w:p w14:paraId="17F0D778" w14:textId="329FCF67" w:rsidR="00EA2270" w:rsidRPr="00105C13" w:rsidRDefault="009B2856" w:rsidP="007E5546">
      <w:pPr>
        <w:pBdr>
          <w:top w:val="nil"/>
          <w:left w:val="nil"/>
          <w:bottom w:val="nil"/>
          <w:right w:val="nil"/>
          <w:between w:val="nil"/>
        </w:pBdr>
        <w:spacing w:after="0" w:line="240" w:lineRule="auto"/>
        <w:ind w:left="709" w:hanging="709"/>
        <w:contextualSpacing/>
        <w:jc w:val="both"/>
        <w:rPr>
          <w:rFonts w:ascii="Constantia" w:hAnsi="Constantia" w:cs="Times New Roman"/>
          <w:noProof/>
          <w:sz w:val="20"/>
          <w:szCs w:val="20"/>
        </w:rPr>
      </w:pPr>
      <w:r w:rsidRPr="00105C13">
        <w:rPr>
          <w:rFonts w:ascii="Constantia" w:hAnsi="Constantia" w:cs="Times New Roman"/>
          <w:noProof/>
          <w:sz w:val="20"/>
          <w:szCs w:val="20"/>
        </w:rPr>
        <w:t>Dwi, H., Priambodo, P., &amp; Bagastyo, A. Y. 2024. Optimalisasi Reduksi Sampah di TPS 3R Tenggilis dan Super Depo Sutorejo , Kota Surabaya.Jurnal Serambi Engineering 9(1), 8246 - 8257</w:t>
      </w:r>
    </w:p>
    <w:p w14:paraId="366F3D04" w14:textId="0862307C" w:rsidR="007626F2" w:rsidRPr="00105C13" w:rsidRDefault="007626F2"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Fauzi, M., Darnas, Y., Aziz, R., &amp; Chyntia, N. 2022. Analisis Karakteristik dan Potensi Daur Ulang Sampah Non Domestik Kabupaten Solok Selatan sebagai Upaya Meminimalisir Sampah ke TPA. Jurnal Serambi Engineering</w:t>
      </w:r>
      <w:r w:rsidR="00BC0889" w:rsidRPr="00105C13">
        <w:rPr>
          <w:rFonts w:ascii="Constantia" w:hAnsi="Constantia" w:cs="Times New Roman"/>
          <w:noProof/>
          <w:sz w:val="20"/>
          <w:szCs w:val="20"/>
        </w:rPr>
        <w:t xml:space="preserve"> 7(4), 3881 - 3888</w:t>
      </w:r>
    </w:p>
    <w:p w14:paraId="39EAC8EF" w14:textId="2B50EFFF" w:rsidR="0034218E" w:rsidRPr="00105C13" w:rsidRDefault="0034218E"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Intergovernmental Panel on Climate Change (IPCC). 2006. IPCC Guidelines for National Greenhouse Gas Inventories. Japan: ISBN 4-88788-032-4.</w:t>
      </w:r>
    </w:p>
    <w:p w14:paraId="5B13DEFB" w14:textId="0EADF86B" w:rsidR="00AD4D20" w:rsidRPr="00105C13" w:rsidRDefault="00A473A0"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Intergovernmental Panel on Climate Change (IPCC)</w:t>
      </w:r>
      <w:r w:rsidR="00AD4D20" w:rsidRPr="00105C13">
        <w:rPr>
          <w:rFonts w:ascii="Constantia" w:hAnsi="Constantia" w:cs="Times New Roman"/>
          <w:noProof/>
          <w:sz w:val="20"/>
          <w:szCs w:val="20"/>
        </w:rPr>
        <w:t>. 2021. Climate Change 2021—The Physical Science Basis. Chemistry International. https://doi.org/10.1515/ci-2021-0407</w:t>
      </w:r>
    </w:p>
    <w:p w14:paraId="431FCE47" w14:textId="40226C21" w:rsidR="00143433" w:rsidRPr="00105C13" w:rsidRDefault="00143433"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Irawan, A., Tyagita, D. A., Nugroho, W. T., Wahyudiono, A., Ramadan, S., &amp; Alvian, M. S. 2025. Perkiraan Greenhouse Gases (GHGs) Sampah Berbasis 4R (Reduce, Reuse, Recycle, Replace) Lingkungan Kampus. Jurnal Teknik Terapan, 4(2), 139–145.</w:t>
      </w:r>
    </w:p>
    <w:p w14:paraId="7B4B46BA" w14:textId="78DC7AA5" w:rsidR="00AD4D20" w:rsidRPr="00105C13" w:rsidRDefault="00AD4D20"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 xml:space="preserve">Ismail, A. 2020. Potensi Penurunan Emisi Gas Rumah Kaca (GRK) Dalam Kegiatan Belajar Di Rumah Secara on-Line: Analisis Jejak Karbon (Carbon Footprint Analysis). Jukung (Jurnal Teknik </w:t>
      </w:r>
      <w:r w:rsidRPr="00105C13">
        <w:rPr>
          <w:rFonts w:ascii="Constantia" w:hAnsi="Constantia" w:cs="Times New Roman"/>
          <w:noProof/>
          <w:sz w:val="20"/>
          <w:szCs w:val="20"/>
        </w:rPr>
        <w:lastRenderedPageBreak/>
        <w:t>Lingkungan) 6(2), 195–203</w:t>
      </w:r>
    </w:p>
    <w:p w14:paraId="648494CC" w14:textId="410471AD" w:rsidR="007626F2" w:rsidRPr="00105C13" w:rsidRDefault="007626F2"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Kreith, F., &amp; Tchobanoglous, G. 20</w:t>
      </w:r>
      <w:r w:rsidR="00BC0889" w:rsidRPr="00105C13">
        <w:rPr>
          <w:rFonts w:ascii="Constantia" w:hAnsi="Constantia" w:cs="Times New Roman"/>
          <w:noProof/>
          <w:sz w:val="20"/>
          <w:szCs w:val="20"/>
        </w:rPr>
        <w:t>02</w:t>
      </w:r>
      <w:r w:rsidRPr="00105C13">
        <w:rPr>
          <w:rFonts w:ascii="Constantia" w:hAnsi="Constantia" w:cs="Times New Roman"/>
          <w:noProof/>
          <w:sz w:val="20"/>
          <w:szCs w:val="20"/>
        </w:rPr>
        <w:t xml:space="preserve">. Handbook of Solid Waste Management, 2nd Edition. </w:t>
      </w:r>
      <w:r w:rsidR="00BC0889" w:rsidRPr="00105C13">
        <w:rPr>
          <w:rFonts w:ascii="Constantia" w:hAnsi="Constantia" w:cs="Times New Roman"/>
          <w:noProof/>
          <w:sz w:val="20"/>
          <w:szCs w:val="20"/>
        </w:rPr>
        <w:t>New York: McGraw-Hill, pp.200-230</w:t>
      </w:r>
      <w:r w:rsidRPr="00105C13">
        <w:rPr>
          <w:rFonts w:ascii="Constantia" w:hAnsi="Constantia" w:cs="Times New Roman"/>
          <w:noProof/>
          <w:sz w:val="20"/>
          <w:szCs w:val="20"/>
        </w:rPr>
        <w:t>.</w:t>
      </w:r>
    </w:p>
    <w:p w14:paraId="4D4D47DA" w14:textId="5D4E4FD0" w:rsidR="007626F2" w:rsidRPr="00105C13" w:rsidRDefault="007626F2"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Kristanto, G. A., &amp; Koven, W. 2019. Estimating greenhouse gas emissions from municipal solid waste management in Depok, Indonesia. City and Environment Interactions. https://doi.org/10.1016/j.cacint.2020.100027</w:t>
      </w:r>
    </w:p>
    <w:p w14:paraId="28CA45B2" w14:textId="6E37B650" w:rsidR="007626F2" w:rsidRPr="00105C13" w:rsidRDefault="007626F2"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 xml:space="preserve">Meilani, S. S., Masrida, R., Hasaya, H., &amp; Navanti, D. 2021. </w:t>
      </w:r>
      <w:r w:rsidR="0034218E" w:rsidRPr="00105C13">
        <w:rPr>
          <w:rFonts w:ascii="Constantia" w:hAnsi="Constantia" w:cs="Times New Roman"/>
          <w:noProof/>
          <w:sz w:val="20"/>
          <w:szCs w:val="20"/>
        </w:rPr>
        <w:t xml:space="preserve">Potensi Daur Ulang Sampah Dari Kampus Universitas Bhayangkara Jakarta Raya. Radial. </w:t>
      </w:r>
      <w:r w:rsidRPr="00105C13">
        <w:rPr>
          <w:rFonts w:ascii="Constantia" w:hAnsi="Constantia" w:cs="Times New Roman"/>
          <w:noProof/>
          <w:sz w:val="20"/>
          <w:szCs w:val="20"/>
        </w:rPr>
        <w:t>Jurnal Peradaban Sains, Rekayasa Dan Teknologi</w:t>
      </w:r>
      <w:r w:rsidR="0034218E" w:rsidRPr="00105C13">
        <w:rPr>
          <w:rFonts w:ascii="Constantia" w:hAnsi="Constantia" w:cs="Times New Roman"/>
          <w:noProof/>
          <w:sz w:val="20"/>
          <w:szCs w:val="20"/>
        </w:rPr>
        <w:t xml:space="preserve"> 9(1), 75-80</w:t>
      </w:r>
    </w:p>
    <w:p w14:paraId="6A59FF2A" w14:textId="0C8C851C" w:rsidR="00E5352B" w:rsidRPr="00105C13" w:rsidRDefault="00E5352B"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Pihawiano, A. T. 2025. Analisis Emisi Karbon Pada Material Bangunan Gedung Tujuh Lantai dengan Metode BIM. Jurnal Teknik Sipil, 10(2), 45-55.</w:t>
      </w:r>
    </w:p>
    <w:p w14:paraId="72E08CC9" w14:textId="56DC6D82" w:rsidR="007626F2" w:rsidRPr="00105C13" w:rsidRDefault="007626F2"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 xml:space="preserve">Rahmah, S. P., Koestoer, R. H. L., &amp; Yusuf, R. 2024. </w:t>
      </w:r>
      <w:r w:rsidR="0034218E" w:rsidRPr="00105C13">
        <w:rPr>
          <w:rFonts w:ascii="Constantia" w:hAnsi="Constantia" w:cs="Times New Roman"/>
          <w:noProof/>
          <w:sz w:val="20"/>
          <w:szCs w:val="20"/>
        </w:rPr>
        <w:t>Penerapan Reduce, Reuse, Recycle (3</w:t>
      </w:r>
      <w:r w:rsidR="009B3492" w:rsidRPr="00105C13">
        <w:rPr>
          <w:rFonts w:ascii="Constantia" w:hAnsi="Constantia" w:cs="Times New Roman"/>
          <w:noProof/>
          <w:sz w:val="20"/>
          <w:szCs w:val="20"/>
        </w:rPr>
        <w:t>R</w:t>
      </w:r>
      <w:r w:rsidR="0034218E" w:rsidRPr="00105C13">
        <w:rPr>
          <w:rFonts w:ascii="Constantia" w:hAnsi="Constantia" w:cs="Times New Roman"/>
          <w:noProof/>
          <w:sz w:val="20"/>
          <w:szCs w:val="20"/>
        </w:rPr>
        <w:t>) Dan Manajemen Pengelolaan Sampah Perkotaan</w:t>
      </w:r>
      <w:r w:rsidRPr="00105C13">
        <w:rPr>
          <w:rFonts w:ascii="Times New Roman" w:hAnsi="Times New Roman" w:cs="Times New Roman"/>
          <w:noProof/>
          <w:sz w:val="20"/>
          <w:szCs w:val="20"/>
        </w:rPr>
        <w:t> </w:t>
      </w:r>
      <w:r w:rsidR="0034218E" w:rsidRPr="00105C13">
        <w:rPr>
          <w:rFonts w:ascii="Constantia" w:hAnsi="Constantia" w:cs="Times New Roman"/>
          <w:noProof/>
          <w:sz w:val="20"/>
          <w:szCs w:val="20"/>
        </w:rPr>
        <w:t>A Systematic Literature Review</w:t>
      </w:r>
      <w:r w:rsidRPr="00105C13">
        <w:rPr>
          <w:rFonts w:ascii="Constantia" w:hAnsi="Constantia" w:cs="Times New Roman"/>
          <w:noProof/>
          <w:sz w:val="20"/>
          <w:szCs w:val="20"/>
        </w:rPr>
        <w:t>. 05(2), 189–197.</w:t>
      </w:r>
    </w:p>
    <w:p w14:paraId="2B85F408" w14:textId="59F67481" w:rsidR="007626F2" w:rsidRPr="00105C13" w:rsidRDefault="007626F2"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Saputra, R., Rahardian, R., Hanafie, Y. M., Fathurrahman, F., Suandi, H. K., Nuraini, L., Pramusinta, T. A., Arlandi, H. S., Putri, T. N., Purwasih, R., Renaldi, P. A., &amp; Yusup, R. M. 2024. Pengelolaan Bank Sampah Dalam Memilah Sampah Organik dan Non Organik Untuk Mengurangi Jejak Karbon Di Desa Sarimukti Kecamatan Pasirwangi Kabupaten Garut. Jurnal Pengabdian Sosial</w:t>
      </w:r>
      <w:r w:rsidR="0034218E" w:rsidRPr="00105C13">
        <w:rPr>
          <w:rFonts w:ascii="Constantia" w:hAnsi="Constantia" w:cs="Times New Roman"/>
          <w:noProof/>
          <w:sz w:val="20"/>
          <w:szCs w:val="20"/>
        </w:rPr>
        <w:t xml:space="preserve"> 1(11), 2097-2105</w:t>
      </w:r>
    </w:p>
    <w:p w14:paraId="5EE05B64" w14:textId="2D2667FC" w:rsidR="00A1443E" w:rsidRPr="00105C13" w:rsidRDefault="00A1443E"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Sardi, W. D. P. A., Kainde, R. P., &amp; Nurmawan, W. 2021. Cadangan Karbon Pada Pohon Di Taman Hutan Raya Gunung Tumpa H. V. Worang. Jurnal Manajemen Cocos, 12</w:t>
      </w:r>
      <w:r w:rsidR="003B244F" w:rsidRPr="00105C13">
        <w:rPr>
          <w:rFonts w:ascii="Constantia" w:hAnsi="Constantia" w:cs="Times New Roman"/>
          <w:noProof/>
          <w:sz w:val="20"/>
          <w:szCs w:val="20"/>
        </w:rPr>
        <w:t xml:space="preserve"> </w:t>
      </w:r>
      <w:r w:rsidRPr="00105C13">
        <w:rPr>
          <w:rFonts w:ascii="Constantia" w:hAnsi="Constantia" w:cs="Times New Roman"/>
          <w:noProof/>
          <w:sz w:val="20"/>
          <w:szCs w:val="20"/>
        </w:rPr>
        <w:t>(12)</w:t>
      </w:r>
      <w:r w:rsidR="003B244F" w:rsidRPr="00105C13">
        <w:rPr>
          <w:rFonts w:ascii="Constantia" w:hAnsi="Constantia" w:cs="Times New Roman"/>
          <w:noProof/>
          <w:sz w:val="20"/>
          <w:szCs w:val="20"/>
        </w:rPr>
        <w:t>, 104–113.</w:t>
      </w:r>
    </w:p>
    <w:p w14:paraId="439A8DCA" w14:textId="50B74862" w:rsidR="00A473A0" w:rsidRPr="00105C13" w:rsidRDefault="00A473A0"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Sari, R. F., &amp; Suwartha, N. 2017. Proceeding Of Proceeding Of The 3 Rd International Workshop On Ui Greenmetric 2017 Editors</w:t>
      </w:r>
      <w:r w:rsidRPr="00105C13">
        <w:rPr>
          <w:rFonts w:ascii="Times New Roman" w:hAnsi="Times New Roman" w:cs="Times New Roman"/>
          <w:noProof/>
          <w:sz w:val="20"/>
          <w:szCs w:val="20"/>
        </w:rPr>
        <w:t> </w:t>
      </w:r>
    </w:p>
    <w:p w14:paraId="4CEF97DE" w14:textId="203BEFFF" w:rsidR="007626F2" w:rsidRPr="00105C13" w:rsidRDefault="007626F2"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 xml:space="preserve">Sofriadi, D., Suhendrayatna, &amp; Fatimah, E. 2017. </w:t>
      </w:r>
      <w:r w:rsidR="0034218E" w:rsidRPr="00105C13">
        <w:rPr>
          <w:rFonts w:ascii="Constantia" w:hAnsi="Constantia" w:cs="Times New Roman"/>
          <w:noProof/>
          <w:sz w:val="20"/>
          <w:szCs w:val="20"/>
        </w:rPr>
        <w:t xml:space="preserve">Estimasi Emisi Karbon Dari Sampah Permukiman Dengan Metode </w:t>
      </w:r>
      <w:r w:rsidR="007A2AC7" w:rsidRPr="00105C13">
        <w:rPr>
          <w:rFonts w:ascii="Constantia" w:hAnsi="Constantia" w:cs="Times New Roman"/>
          <w:noProof/>
          <w:sz w:val="20"/>
          <w:szCs w:val="20"/>
        </w:rPr>
        <w:t>IPCC</w:t>
      </w:r>
      <w:r w:rsidR="0034218E" w:rsidRPr="00105C13">
        <w:rPr>
          <w:rFonts w:ascii="Constantia" w:hAnsi="Constantia" w:cs="Times New Roman"/>
          <w:noProof/>
          <w:sz w:val="20"/>
          <w:szCs w:val="20"/>
        </w:rPr>
        <w:t xml:space="preserve"> Di Kecamatan Ulee Kareng, Banda Aceh</w:t>
      </w:r>
      <w:r w:rsidRPr="00105C13">
        <w:rPr>
          <w:rFonts w:ascii="Constantia" w:hAnsi="Constantia" w:cs="Times New Roman"/>
          <w:noProof/>
          <w:sz w:val="20"/>
          <w:szCs w:val="20"/>
        </w:rPr>
        <w:t>.</w:t>
      </w:r>
      <w:r w:rsidR="00FD069B" w:rsidRPr="00105C13">
        <w:rPr>
          <w:rFonts w:ascii="Constantia" w:hAnsi="Constantia"/>
        </w:rPr>
        <w:t xml:space="preserve"> </w:t>
      </w:r>
      <w:r w:rsidR="00FD069B" w:rsidRPr="00105C13">
        <w:rPr>
          <w:rFonts w:ascii="Constantia" w:hAnsi="Constantia" w:cs="Times New Roman"/>
          <w:noProof/>
          <w:sz w:val="20"/>
          <w:szCs w:val="20"/>
        </w:rPr>
        <w:t xml:space="preserve">Jurnal Teknik Sipil Universitas Syiah Kuala </w:t>
      </w:r>
      <w:r w:rsidRPr="00105C13">
        <w:rPr>
          <w:rFonts w:ascii="Constantia" w:hAnsi="Constantia" w:cs="Times New Roman"/>
          <w:noProof/>
          <w:sz w:val="20"/>
          <w:szCs w:val="20"/>
        </w:rPr>
        <w:t>1</w:t>
      </w:r>
      <w:r w:rsidR="00FD069B" w:rsidRPr="00105C13">
        <w:rPr>
          <w:rFonts w:ascii="Constantia" w:hAnsi="Constantia" w:cs="Times New Roman"/>
          <w:noProof/>
          <w:sz w:val="20"/>
          <w:szCs w:val="20"/>
        </w:rPr>
        <w:t xml:space="preserve"> (2)</w:t>
      </w:r>
      <w:r w:rsidRPr="00105C13">
        <w:rPr>
          <w:rFonts w:ascii="Constantia" w:hAnsi="Constantia" w:cs="Times New Roman"/>
          <w:noProof/>
          <w:sz w:val="20"/>
          <w:szCs w:val="20"/>
        </w:rPr>
        <w:t>, 339–348.</w:t>
      </w:r>
    </w:p>
    <w:p w14:paraId="1EA20BFF" w14:textId="2B7211FE" w:rsidR="007626F2" w:rsidRPr="00105C13" w:rsidRDefault="007626F2"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Sunarto. 2013. Pengolahan Sampah Di TPS Tlogomas Malang untuk Mereduksi Jejak Karbon.</w:t>
      </w:r>
      <w:r w:rsidR="00FD069B" w:rsidRPr="00105C13">
        <w:rPr>
          <w:rFonts w:ascii="Constantia" w:hAnsi="Constantia" w:cs="Times New Roman"/>
          <w:noProof/>
          <w:sz w:val="20"/>
          <w:szCs w:val="20"/>
        </w:rPr>
        <w:t xml:space="preserve"> Prosiding Seminar Nasional Pengelolaan Sumberdaya Alam dan Lingkungan 2013</w:t>
      </w:r>
    </w:p>
    <w:p w14:paraId="49B30223" w14:textId="12269F0D" w:rsidR="007626F2" w:rsidRPr="00105C13" w:rsidRDefault="007626F2"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Tang, R., Liu, Y., Ma, R., Zhang, L., Li, Y., Li, G., Wang, D., Lin, J., Li, Q., &amp; Yuan, J. 2023. Effect of moisture content, aeration rate, and C/N on maturity and gaseous emissions during kitchen waste rapid composting. Journal of Environmental Management</w:t>
      </w:r>
      <w:r w:rsidR="00FD069B" w:rsidRPr="00105C13">
        <w:rPr>
          <w:rFonts w:ascii="Constantia" w:hAnsi="Constantia" w:cs="Times New Roman"/>
          <w:noProof/>
          <w:sz w:val="20"/>
          <w:szCs w:val="20"/>
        </w:rPr>
        <w:t xml:space="preserve"> </w:t>
      </w:r>
      <w:r w:rsidRPr="00105C13">
        <w:rPr>
          <w:rFonts w:ascii="Constantia" w:hAnsi="Constantia" w:cs="Times New Roman"/>
          <w:noProof/>
          <w:sz w:val="20"/>
          <w:szCs w:val="20"/>
        </w:rPr>
        <w:t>326</w:t>
      </w:r>
      <w:r w:rsidR="00FD069B" w:rsidRPr="00105C13">
        <w:rPr>
          <w:rFonts w:ascii="Constantia" w:hAnsi="Constantia" w:cs="Times New Roman"/>
          <w:noProof/>
          <w:sz w:val="20"/>
          <w:szCs w:val="20"/>
        </w:rPr>
        <w:t>(A)</w:t>
      </w:r>
      <w:r w:rsidRPr="00105C13">
        <w:rPr>
          <w:rFonts w:ascii="Constantia" w:hAnsi="Constantia" w:cs="Times New Roman"/>
          <w:noProof/>
          <w:sz w:val="20"/>
          <w:szCs w:val="20"/>
        </w:rPr>
        <w:t>.</w:t>
      </w:r>
    </w:p>
    <w:p w14:paraId="7365E402" w14:textId="3EF96672" w:rsidR="007626F2" w:rsidRPr="00105C13" w:rsidRDefault="007626F2"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 xml:space="preserve">Try Julita Sembiring, E., Intan Safithri, A., &amp; Prihandrijanti, M. 2021. </w:t>
      </w:r>
      <w:r w:rsidR="001206BE" w:rsidRPr="00105C13">
        <w:rPr>
          <w:rFonts w:ascii="Constantia" w:hAnsi="Constantia" w:cs="Times New Roman"/>
          <w:noProof/>
          <w:sz w:val="20"/>
          <w:szCs w:val="20"/>
        </w:rPr>
        <w:t>Estimasi Mitigasi Gas Rumah Kaca Dengan Penerapan Daur Ulang Sampah Kasus: Universitas Agung Podomoro</w:t>
      </w:r>
      <w:r w:rsidRPr="00105C13">
        <w:rPr>
          <w:rFonts w:ascii="Constantia" w:hAnsi="Constantia" w:cs="Times New Roman"/>
          <w:noProof/>
          <w:sz w:val="20"/>
          <w:szCs w:val="20"/>
        </w:rPr>
        <w:t>. Architecture Innovation</w:t>
      </w:r>
      <w:r w:rsidR="001206BE" w:rsidRPr="00105C13">
        <w:rPr>
          <w:rFonts w:ascii="Constantia" w:hAnsi="Constantia" w:cs="Times New Roman"/>
          <w:noProof/>
          <w:sz w:val="20"/>
          <w:szCs w:val="20"/>
        </w:rPr>
        <w:t xml:space="preserve"> 5(1), 25-42</w:t>
      </w:r>
    </w:p>
    <w:p w14:paraId="26E92520" w14:textId="1D2B0F47" w:rsidR="007626F2" w:rsidRPr="00105C13" w:rsidRDefault="007626F2" w:rsidP="007E5546">
      <w:pPr>
        <w:widowControl w:val="0"/>
        <w:pBdr>
          <w:bottom w:val="nil"/>
        </w:pBdr>
        <w:autoSpaceDE w:val="0"/>
        <w:autoSpaceDN w:val="0"/>
        <w:adjustRightInd w:val="0"/>
        <w:spacing w:after="0" w:line="240" w:lineRule="auto"/>
        <w:ind w:left="480" w:hanging="480"/>
        <w:contextualSpacing/>
        <w:jc w:val="both"/>
        <w:rPr>
          <w:rFonts w:ascii="Constantia" w:hAnsi="Constantia" w:cs="Times New Roman"/>
          <w:noProof/>
          <w:sz w:val="20"/>
          <w:szCs w:val="20"/>
        </w:rPr>
      </w:pPr>
      <w:r w:rsidRPr="00105C13">
        <w:rPr>
          <w:rFonts w:ascii="Constantia" w:hAnsi="Constantia" w:cs="Times New Roman"/>
          <w:noProof/>
          <w:sz w:val="20"/>
          <w:szCs w:val="20"/>
        </w:rPr>
        <w:t xml:space="preserve">Willentiana, K. A., Samudro, G., &amp; S, S. 2019. </w:t>
      </w:r>
      <w:r w:rsidR="001206BE" w:rsidRPr="00105C13">
        <w:rPr>
          <w:rFonts w:ascii="Constantia" w:hAnsi="Constantia" w:cs="Times New Roman"/>
          <w:noProof/>
          <w:sz w:val="20"/>
          <w:szCs w:val="20"/>
        </w:rPr>
        <w:t>Analisis Prakiraan Jejak Karbonsektor Persampahan Di Universitas Diponegoro. Undergraduate Thesis, Universitas Diponegoro.</w:t>
      </w:r>
    </w:p>
    <w:p w14:paraId="16C85F56" w14:textId="340D8204" w:rsidR="004106CD" w:rsidRPr="00105C13" w:rsidRDefault="003C5A99" w:rsidP="007E5546">
      <w:pPr>
        <w:spacing w:after="0" w:line="240" w:lineRule="auto"/>
        <w:contextualSpacing/>
        <w:jc w:val="both"/>
        <w:rPr>
          <w:rFonts w:ascii="Constantia" w:hAnsi="Constantia"/>
        </w:rPr>
      </w:pPr>
      <w:r w:rsidRPr="00105C13">
        <w:rPr>
          <w:rFonts w:ascii="Constantia" w:hAnsi="Constantia" w:cs="Times New Roman"/>
          <w:sz w:val="20"/>
          <w:szCs w:val="20"/>
        </w:rPr>
        <w:fldChar w:fldCharType="end"/>
      </w:r>
    </w:p>
    <w:sectPr w:rsidR="004106CD" w:rsidRPr="00105C13" w:rsidSect="002C53D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C5508" w14:textId="77777777" w:rsidR="005E1A5E" w:rsidRDefault="005E1A5E" w:rsidP="0007360F">
      <w:pPr>
        <w:spacing w:after="0" w:line="240" w:lineRule="auto"/>
      </w:pPr>
      <w:r>
        <w:separator/>
      </w:r>
    </w:p>
  </w:endnote>
  <w:endnote w:type="continuationSeparator" w:id="0">
    <w:p w14:paraId="2F81DCE3" w14:textId="77777777" w:rsidR="005E1A5E" w:rsidRDefault="005E1A5E" w:rsidP="00073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24486" w14:textId="77777777" w:rsidR="005E1A5E" w:rsidRDefault="005E1A5E" w:rsidP="0007360F">
      <w:pPr>
        <w:spacing w:after="0" w:line="240" w:lineRule="auto"/>
      </w:pPr>
      <w:r>
        <w:separator/>
      </w:r>
    </w:p>
  </w:footnote>
  <w:footnote w:type="continuationSeparator" w:id="0">
    <w:p w14:paraId="01556B52" w14:textId="77777777" w:rsidR="005E1A5E" w:rsidRDefault="005E1A5E" w:rsidP="000736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7AD4"/>
    <w:multiLevelType w:val="multilevel"/>
    <w:tmpl w:val="EF1E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946D8"/>
    <w:multiLevelType w:val="hybridMultilevel"/>
    <w:tmpl w:val="D51893FA"/>
    <w:lvl w:ilvl="0" w:tplc="72826622">
      <w:start w:val="1"/>
      <w:numFmt w:val="decimal"/>
      <w:lvlText w:val="%1."/>
      <w:lvlJc w:val="left"/>
      <w:pPr>
        <w:ind w:left="1287" w:hanging="360"/>
      </w:pPr>
      <w:rPr>
        <w:rFonts w:ascii="Times New Roman" w:hAnsi="Times New Roman" w:cs="Times New Roman" w:hint="default"/>
        <w:sz w:val="20"/>
        <w:szCs w:val="2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0603D94"/>
    <w:multiLevelType w:val="hybridMultilevel"/>
    <w:tmpl w:val="2B5250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29764321"/>
    <w:multiLevelType w:val="hybridMultilevel"/>
    <w:tmpl w:val="0E764622"/>
    <w:lvl w:ilvl="0" w:tplc="04090019">
      <w:start w:val="1"/>
      <w:numFmt w:val="lowerLetter"/>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4" w15:restartNumberingAfterBreak="0">
    <w:nsid w:val="2B4C3653"/>
    <w:multiLevelType w:val="hybridMultilevel"/>
    <w:tmpl w:val="97FE8058"/>
    <w:lvl w:ilvl="0" w:tplc="235CD8B0">
      <w:numFmt w:val="bullet"/>
      <w:lvlText w:val="-"/>
      <w:lvlJc w:val="left"/>
      <w:pPr>
        <w:ind w:left="2007" w:hanging="360"/>
      </w:pPr>
      <w:rPr>
        <w:rFonts w:ascii="Calibri" w:eastAsiaTheme="minorHAnsi" w:hAnsi="Calibri" w:cs="Calibri"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 w15:restartNumberingAfterBreak="0">
    <w:nsid w:val="30364A9B"/>
    <w:multiLevelType w:val="multilevel"/>
    <w:tmpl w:val="E2509E96"/>
    <w:lvl w:ilvl="0">
      <w:start w:val="3"/>
      <w:numFmt w:val="decimal"/>
      <w:lvlText w:val="%1"/>
      <w:lvlJc w:val="left"/>
      <w:pPr>
        <w:ind w:left="360" w:hanging="360"/>
      </w:pPr>
      <w:rPr>
        <w:rFonts w:eastAsiaTheme="minorHAnsi" w:hint="default"/>
      </w:rPr>
    </w:lvl>
    <w:lvl w:ilvl="1">
      <w:start w:val="4"/>
      <w:numFmt w:val="decimal"/>
      <w:lvlText w:val="%1.%2"/>
      <w:lvlJc w:val="left"/>
      <w:pPr>
        <w:ind w:left="644" w:hanging="360"/>
      </w:pPr>
      <w:rPr>
        <w:rFonts w:eastAsiaTheme="minorHAnsi" w:hint="default"/>
      </w:rPr>
    </w:lvl>
    <w:lvl w:ilvl="2">
      <w:start w:val="1"/>
      <w:numFmt w:val="decimal"/>
      <w:lvlText w:val="%1.%2.%3"/>
      <w:lvlJc w:val="left"/>
      <w:pPr>
        <w:ind w:left="1288" w:hanging="720"/>
      </w:pPr>
      <w:rPr>
        <w:rFonts w:eastAsiaTheme="minorHAnsi" w:hint="default"/>
      </w:rPr>
    </w:lvl>
    <w:lvl w:ilvl="3">
      <w:start w:val="1"/>
      <w:numFmt w:val="decimal"/>
      <w:lvlText w:val="%1.%2.%3.%4"/>
      <w:lvlJc w:val="left"/>
      <w:pPr>
        <w:ind w:left="1572" w:hanging="720"/>
      </w:pPr>
      <w:rPr>
        <w:rFonts w:eastAsiaTheme="minorHAnsi" w:hint="default"/>
      </w:rPr>
    </w:lvl>
    <w:lvl w:ilvl="4">
      <w:start w:val="1"/>
      <w:numFmt w:val="decimal"/>
      <w:lvlText w:val="%1.%2.%3.%4.%5"/>
      <w:lvlJc w:val="left"/>
      <w:pPr>
        <w:ind w:left="2216" w:hanging="1080"/>
      </w:pPr>
      <w:rPr>
        <w:rFonts w:eastAsiaTheme="minorHAnsi" w:hint="default"/>
      </w:rPr>
    </w:lvl>
    <w:lvl w:ilvl="5">
      <w:start w:val="1"/>
      <w:numFmt w:val="decimal"/>
      <w:lvlText w:val="%1.%2.%3.%4.%5.%6"/>
      <w:lvlJc w:val="left"/>
      <w:pPr>
        <w:ind w:left="2500" w:hanging="1080"/>
      </w:pPr>
      <w:rPr>
        <w:rFonts w:eastAsiaTheme="minorHAnsi" w:hint="default"/>
      </w:rPr>
    </w:lvl>
    <w:lvl w:ilvl="6">
      <w:start w:val="1"/>
      <w:numFmt w:val="decimal"/>
      <w:lvlText w:val="%1.%2.%3.%4.%5.%6.%7"/>
      <w:lvlJc w:val="left"/>
      <w:pPr>
        <w:ind w:left="3144" w:hanging="1440"/>
      </w:pPr>
      <w:rPr>
        <w:rFonts w:eastAsiaTheme="minorHAnsi" w:hint="default"/>
      </w:rPr>
    </w:lvl>
    <w:lvl w:ilvl="7">
      <w:start w:val="1"/>
      <w:numFmt w:val="decimal"/>
      <w:lvlText w:val="%1.%2.%3.%4.%5.%6.%7.%8"/>
      <w:lvlJc w:val="left"/>
      <w:pPr>
        <w:ind w:left="3428" w:hanging="1440"/>
      </w:pPr>
      <w:rPr>
        <w:rFonts w:eastAsiaTheme="minorHAnsi" w:hint="default"/>
      </w:rPr>
    </w:lvl>
    <w:lvl w:ilvl="8">
      <w:start w:val="1"/>
      <w:numFmt w:val="decimal"/>
      <w:lvlText w:val="%1.%2.%3.%4.%5.%6.%7.%8.%9"/>
      <w:lvlJc w:val="left"/>
      <w:pPr>
        <w:ind w:left="4072" w:hanging="1800"/>
      </w:pPr>
      <w:rPr>
        <w:rFonts w:eastAsiaTheme="minorHAnsi" w:hint="default"/>
      </w:rPr>
    </w:lvl>
  </w:abstractNum>
  <w:abstractNum w:abstractNumId="6" w15:restartNumberingAfterBreak="0">
    <w:nsid w:val="35566D6E"/>
    <w:multiLevelType w:val="multilevel"/>
    <w:tmpl w:val="BE10DC8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7520B29"/>
    <w:multiLevelType w:val="hybridMultilevel"/>
    <w:tmpl w:val="86DAD86E"/>
    <w:lvl w:ilvl="0" w:tplc="3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9BB6A85"/>
    <w:multiLevelType w:val="multilevel"/>
    <w:tmpl w:val="9252E22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47682048"/>
    <w:multiLevelType w:val="hybridMultilevel"/>
    <w:tmpl w:val="3FD42314"/>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57F6483E"/>
    <w:multiLevelType w:val="hybridMultilevel"/>
    <w:tmpl w:val="7C180E6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1" w15:restartNumberingAfterBreak="0">
    <w:nsid w:val="5FAE6BFC"/>
    <w:multiLevelType w:val="hybridMultilevel"/>
    <w:tmpl w:val="D6A034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682A70F7"/>
    <w:multiLevelType w:val="multilevel"/>
    <w:tmpl w:val="0DFCE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DF613C"/>
    <w:multiLevelType w:val="hybridMultilevel"/>
    <w:tmpl w:val="ABFA17D2"/>
    <w:lvl w:ilvl="0" w:tplc="17B85D2C">
      <w:start w:val="1"/>
      <w:numFmt w:val="decimal"/>
      <w:lvlText w:val="%1."/>
      <w:lvlJc w:val="left"/>
      <w:pPr>
        <w:ind w:left="1440" w:hanging="360"/>
      </w:pPr>
      <w:rPr>
        <w:rFonts w:ascii="Times New Roman" w:hAnsi="Times New Roman" w:cs="Times New Roman"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3FC4967"/>
    <w:multiLevelType w:val="hybridMultilevel"/>
    <w:tmpl w:val="D8804AF4"/>
    <w:lvl w:ilvl="0" w:tplc="0409000B">
      <w:start w:val="1"/>
      <w:numFmt w:val="bullet"/>
      <w:lvlText w:val=""/>
      <w:lvlJc w:val="left"/>
      <w:pPr>
        <w:ind w:left="2138" w:hanging="360"/>
      </w:pPr>
      <w:rPr>
        <w:rFonts w:ascii="Wingdings" w:hAnsi="Wingdings" w:hint="default"/>
      </w:rPr>
    </w:lvl>
    <w:lvl w:ilvl="1" w:tplc="04090003">
      <w:start w:val="1"/>
      <w:numFmt w:val="bullet"/>
      <w:lvlText w:val="o"/>
      <w:lvlJc w:val="left"/>
      <w:pPr>
        <w:ind w:left="2858" w:hanging="360"/>
      </w:pPr>
      <w:rPr>
        <w:rFonts w:ascii="Courier New" w:hAnsi="Courier New" w:cs="Courier New" w:hint="default"/>
      </w:rPr>
    </w:lvl>
    <w:lvl w:ilvl="2" w:tplc="04090005">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5" w15:restartNumberingAfterBreak="0">
    <w:nsid w:val="7C2D23E7"/>
    <w:multiLevelType w:val="hybridMultilevel"/>
    <w:tmpl w:val="4A5061CC"/>
    <w:lvl w:ilvl="0" w:tplc="C7AA52F0">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num w:numId="1" w16cid:durableId="765737609">
    <w:abstractNumId w:val="6"/>
  </w:num>
  <w:num w:numId="2" w16cid:durableId="862287989">
    <w:abstractNumId w:val="2"/>
  </w:num>
  <w:num w:numId="3" w16cid:durableId="184949594">
    <w:abstractNumId w:val="14"/>
  </w:num>
  <w:num w:numId="4" w16cid:durableId="2119523906">
    <w:abstractNumId w:val="1"/>
  </w:num>
  <w:num w:numId="5" w16cid:durableId="1388795864">
    <w:abstractNumId w:val="13"/>
  </w:num>
  <w:num w:numId="6" w16cid:durableId="932788595">
    <w:abstractNumId w:val="11"/>
  </w:num>
  <w:num w:numId="7" w16cid:durableId="1138959715">
    <w:abstractNumId w:val="4"/>
  </w:num>
  <w:num w:numId="8" w16cid:durableId="1324316422">
    <w:abstractNumId w:val="3"/>
  </w:num>
  <w:num w:numId="9" w16cid:durableId="95516533">
    <w:abstractNumId w:val="9"/>
  </w:num>
  <w:num w:numId="10" w16cid:durableId="502091587">
    <w:abstractNumId w:val="0"/>
  </w:num>
  <w:num w:numId="11" w16cid:durableId="789594060">
    <w:abstractNumId w:val="12"/>
  </w:num>
  <w:num w:numId="12" w16cid:durableId="566182688">
    <w:abstractNumId w:val="10"/>
  </w:num>
  <w:num w:numId="13" w16cid:durableId="631447566">
    <w:abstractNumId w:val="15"/>
  </w:num>
  <w:num w:numId="14" w16cid:durableId="1353799864">
    <w:abstractNumId w:val="7"/>
  </w:num>
  <w:num w:numId="15" w16cid:durableId="1589117508">
    <w:abstractNumId w:val="8"/>
  </w:num>
  <w:num w:numId="16" w16cid:durableId="6429255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0F"/>
    <w:rsid w:val="000045C1"/>
    <w:rsid w:val="00014A8E"/>
    <w:rsid w:val="0003120B"/>
    <w:rsid w:val="00031682"/>
    <w:rsid w:val="00033C92"/>
    <w:rsid w:val="00035DB6"/>
    <w:rsid w:val="00071C0D"/>
    <w:rsid w:val="0007360F"/>
    <w:rsid w:val="000951B7"/>
    <w:rsid w:val="000B05DC"/>
    <w:rsid w:val="000B20AB"/>
    <w:rsid w:val="000B3064"/>
    <w:rsid w:val="00105C13"/>
    <w:rsid w:val="00114E49"/>
    <w:rsid w:val="00114FAE"/>
    <w:rsid w:val="001206BE"/>
    <w:rsid w:val="00135028"/>
    <w:rsid w:val="00143433"/>
    <w:rsid w:val="0015324E"/>
    <w:rsid w:val="001913C6"/>
    <w:rsid w:val="00192713"/>
    <w:rsid w:val="00195E77"/>
    <w:rsid w:val="001A3B98"/>
    <w:rsid w:val="001B649A"/>
    <w:rsid w:val="001B7D7E"/>
    <w:rsid w:val="002111BA"/>
    <w:rsid w:val="002176FA"/>
    <w:rsid w:val="002449A2"/>
    <w:rsid w:val="002B01F2"/>
    <w:rsid w:val="002C53D6"/>
    <w:rsid w:val="002C781B"/>
    <w:rsid w:val="002E1C35"/>
    <w:rsid w:val="002F0289"/>
    <w:rsid w:val="0032050F"/>
    <w:rsid w:val="0032210D"/>
    <w:rsid w:val="003248BA"/>
    <w:rsid w:val="00336B13"/>
    <w:rsid w:val="0034218E"/>
    <w:rsid w:val="003445A2"/>
    <w:rsid w:val="00374DA2"/>
    <w:rsid w:val="003753F3"/>
    <w:rsid w:val="00393DE3"/>
    <w:rsid w:val="003A05F4"/>
    <w:rsid w:val="003B244F"/>
    <w:rsid w:val="003B43C1"/>
    <w:rsid w:val="003C5A99"/>
    <w:rsid w:val="003C6DB1"/>
    <w:rsid w:val="003F4DFA"/>
    <w:rsid w:val="003F7B2D"/>
    <w:rsid w:val="004017D3"/>
    <w:rsid w:val="004106CD"/>
    <w:rsid w:val="00411E49"/>
    <w:rsid w:val="00413558"/>
    <w:rsid w:val="00420A31"/>
    <w:rsid w:val="0042183A"/>
    <w:rsid w:val="00421DFF"/>
    <w:rsid w:val="00432EB7"/>
    <w:rsid w:val="004332C4"/>
    <w:rsid w:val="00451644"/>
    <w:rsid w:val="004603D2"/>
    <w:rsid w:val="004B1057"/>
    <w:rsid w:val="004B1AC9"/>
    <w:rsid w:val="004B4B64"/>
    <w:rsid w:val="004B6378"/>
    <w:rsid w:val="004D57CE"/>
    <w:rsid w:val="004D5C74"/>
    <w:rsid w:val="004D61F5"/>
    <w:rsid w:val="004F2596"/>
    <w:rsid w:val="0050068F"/>
    <w:rsid w:val="00502416"/>
    <w:rsid w:val="005559C5"/>
    <w:rsid w:val="00582451"/>
    <w:rsid w:val="005B03BA"/>
    <w:rsid w:val="005D3F34"/>
    <w:rsid w:val="005E1A5E"/>
    <w:rsid w:val="005F1A12"/>
    <w:rsid w:val="00612561"/>
    <w:rsid w:val="0061440E"/>
    <w:rsid w:val="0064720D"/>
    <w:rsid w:val="006643EB"/>
    <w:rsid w:val="006707D0"/>
    <w:rsid w:val="00675049"/>
    <w:rsid w:val="00680611"/>
    <w:rsid w:val="006B27CF"/>
    <w:rsid w:val="006F36B2"/>
    <w:rsid w:val="0073123D"/>
    <w:rsid w:val="00736BFB"/>
    <w:rsid w:val="007400A5"/>
    <w:rsid w:val="00761BC3"/>
    <w:rsid w:val="007626F2"/>
    <w:rsid w:val="007A2AC7"/>
    <w:rsid w:val="007A35E4"/>
    <w:rsid w:val="007B7B57"/>
    <w:rsid w:val="007D4286"/>
    <w:rsid w:val="007D7498"/>
    <w:rsid w:val="007E5546"/>
    <w:rsid w:val="007F252A"/>
    <w:rsid w:val="007F7145"/>
    <w:rsid w:val="00852744"/>
    <w:rsid w:val="00877371"/>
    <w:rsid w:val="0088298A"/>
    <w:rsid w:val="00892484"/>
    <w:rsid w:val="008D235B"/>
    <w:rsid w:val="008E1613"/>
    <w:rsid w:val="00911836"/>
    <w:rsid w:val="0091495C"/>
    <w:rsid w:val="009252D3"/>
    <w:rsid w:val="00927C64"/>
    <w:rsid w:val="009420E4"/>
    <w:rsid w:val="0094363A"/>
    <w:rsid w:val="00950C16"/>
    <w:rsid w:val="00972683"/>
    <w:rsid w:val="00992707"/>
    <w:rsid w:val="009932AC"/>
    <w:rsid w:val="009A22E7"/>
    <w:rsid w:val="009A491E"/>
    <w:rsid w:val="009B2856"/>
    <w:rsid w:val="009B3492"/>
    <w:rsid w:val="009B3A8C"/>
    <w:rsid w:val="009C3222"/>
    <w:rsid w:val="009D24C3"/>
    <w:rsid w:val="00A1443E"/>
    <w:rsid w:val="00A34DD0"/>
    <w:rsid w:val="00A473A0"/>
    <w:rsid w:val="00A55D70"/>
    <w:rsid w:val="00A63C28"/>
    <w:rsid w:val="00A748D1"/>
    <w:rsid w:val="00A9224A"/>
    <w:rsid w:val="00AA20CE"/>
    <w:rsid w:val="00AD3E96"/>
    <w:rsid w:val="00AD4D20"/>
    <w:rsid w:val="00AF02A6"/>
    <w:rsid w:val="00B1063F"/>
    <w:rsid w:val="00B14968"/>
    <w:rsid w:val="00B23F05"/>
    <w:rsid w:val="00B24E46"/>
    <w:rsid w:val="00B309E9"/>
    <w:rsid w:val="00B7342F"/>
    <w:rsid w:val="00B74DA1"/>
    <w:rsid w:val="00BB6E74"/>
    <w:rsid w:val="00BC0889"/>
    <w:rsid w:val="00BD2B1C"/>
    <w:rsid w:val="00BF4490"/>
    <w:rsid w:val="00BF58A6"/>
    <w:rsid w:val="00C03F8E"/>
    <w:rsid w:val="00C07A14"/>
    <w:rsid w:val="00C37377"/>
    <w:rsid w:val="00C44AD5"/>
    <w:rsid w:val="00C50242"/>
    <w:rsid w:val="00C61908"/>
    <w:rsid w:val="00C756C8"/>
    <w:rsid w:val="00C843A7"/>
    <w:rsid w:val="00C926E1"/>
    <w:rsid w:val="00CB5E58"/>
    <w:rsid w:val="00CB694D"/>
    <w:rsid w:val="00CF2E7B"/>
    <w:rsid w:val="00D11E28"/>
    <w:rsid w:val="00D1476D"/>
    <w:rsid w:val="00D318F8"/>
    <w:rsid w:val="00D44EDB"/>
    <w:rsid w:val="00D45A5B"/>
    <w:rsid w:val="00D5769C"/>
    <w:rsid w:val="00D77828"/>
    <w:rsid w:val="00DC493C"/>
    <w:rsid w:val="00DD38FB"/>
    <w:rsid w:val="00DF3A7A"/>
    <w:rsid w:val="00E35EB3"/>
    <w:rsid w:val="00E36D7B"/>
    <w:rsid w:val="00E44D11"/>
    <w:rsid w:val="00E5352B"/>
    <w:rsid w:val="00E732C4"/>
    <w:rsid w:val="00E82654"/>
    <w:rsid w:val="00E84ECA"/>
    <w:rsid w:val="00E9104A"/>
    <w:rsid w:val="00E97E9D"/>
    <w:rsid w:val="00EA0807"/>
    <w:rsid w:val="00EA1BD3"/>
    <w:rsid w:val="00EA2270"/>
    <w:rsid w:val="00EB1AE5"/>
    <w:rsid w:val="00EC6AEF"/>
    <w:rsid w:val="00EE733F"/>
    <w:rsid w:val="00F12DB7"/>
    <w:rsid w:val="00F141FB"/>
    <w:rsid w:val="00F32A57"/>
    <w:rsid w:val="00F4636D"/>
    <w:rsid w:val="00F51E16"/>
    <w:rsid w:val="00F62E55"/>
    <w:rsid w:val="00F75F9A"/>
    <w:rsid w:val="00F9427B"/>
    <w:rsid w:val="00FB2254"/>
    <w:rsid w:val="00FD069B"/>
    <w:rsid w:val="00FD7547"/>
    <w:rsid w:val="00FE5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529A3"/>
  <w15:chartTrackingRefBased/>
  <w15:docId w15:val="{DF95FF6A-FC4F-4C94-AB9E-727D0F4F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6E74"/>
    <w:pPr>
      <w:outlineLvl w:val="0"/>
    </w:pPr>
    <w:rPr>
      <w:rFonts w:ascii="Times New Roman" w:hAnsi="Times New Roman" w:cs="Times New Roman"/>
      <w:sz w:val="24"/>
      <w:szCs w:val="24"/>
    </w:rPr>
  </w:style>
  <w:style w:type="paragraph" w:styleId="Heading4">
    <w:name w:val="heading 4"/>
    <w:basedOn w:val="Normal"/>
    <w:next w:val="Normal"/>
    <w:link w:val="Heading4Char"/>
    <w:uiPriority w:val="9"/>
    <w:semiHidden/>
    <w:unhideWhenUsed/>
    <w:qFormat/>
    <w:rsid w:val="003C6DB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60F"/>
    <w:pPr>
      <w:ind w:left="720"/>
      <w:contextualSpacing/>
    </w:pPr>
  </w:style>
  <w:style w:type="paragraph" w:styleId="Header">
    <w:name w:val="header"/>
    <w:basedOn w:val="Normal"/>
    <w:link w:val="HeaderChar"/>
    <w:uiPriority w:val="99"/>
    <w:unhideWhenUsed/>
    <w:rsid w:val="00073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60F"/>
  </w:style>
  <w:style w:type="paragraph" w:styleId="Footer">
    <w:name w:val="footer"/>
    <w:basedOn w:val="Normal"/>
    <w:link w:val="FooterChar"/>
    <w:uiPriority w:val="99"/>
    <w:unhideWhenUsed/>
    <w:rsid w:val="00073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60F"/>
  </w:style>
  <w:style w:type="character" w:styleId="PlaceholderText">
    <w:name w:val="Placeholder Text"/>
    <w:basedOn w:val="DefaultParagraphFont"/>
    <w:uiPriority w:val="99"/>
    <w:semiHidden/>
    <w:rsid w:val="00031682"/>
    <w:rPr>
      <w:color w:val="808080"/>
    </w:rPr>
  </w:style>
  <w:style w:type="paragraph" w:styleId="Caption">
    <w:name w:val="caption"/>
    <w:basedOn w:val="Normal"/>
    <w:next w:val="Normal"/>
    <w:uiPriority w:val="35"/>
    <w:unhideWhenUsed/>
    <w:qFormat/>
    <w:rsid w:val="00C07A14"/>
    <w:pPr>
      <w:spacing w:after="200" w:line="240" w:lineRule="auto"/>
    </w:pPr>
    <w:rPr>
      <w:i/>
      <w:iCs/>
      <w:color w:val="44546A" w:themeColor="text2"/>
      <w:sz w:val="18"/>
      <w:szCs w:val="18"/>
    </w:rPr>
  </w:style>
  <w:style w:type="character" w:styleId="Hyperlink">
    <w:name w:val="Hyperlink"/>
    <w:basedOn w:val="DefaultParagraphFont"/>
    <w:uiPriority w:val="99"/>
    <w:unhideWhenUsed/>
    <w:rsid w:val="00877371"/>
    <w:rPr>
      <w:color w:val="0563C1" w:themeColor="hyperlink"/>
      <w:u w:val="single"/>
    </w:rPr>
  </w:style>
  <w:style w:type="character" w:styleId="UnresolvedMention">
    <w:name w:val="Unresolved Mention"/>
    <w:basedOn w:val="DefaultParagraphFont"/>
    <w:uiPriority w:val="99"/>
    <w:semiHidden/>
    <w:unhideWhenUsed/>
    <w:rsid w:val="00877371"/>
    <w:rPr>
      <w:color w:val="605E5C"/>
      <w:shd w:val="clear" w:color="auto" w:fill="E1DFDD"/>
    </w:rPr>
  </w:style>
  <w:style w:type="character" w:customStyle="1" w:styleId="Heading1Char">
    <w:name w:val="Heading 1 Char"/>
    <w:basedOn w:val="DefaultParagraphFont"/>
    <w:link w:val="Heading1"/>
    <w:uiPriority w:val="9"/>
    <w:rsid w:val="00BB6E74"/>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C61908"/>
    <w:rPr>
      <w:sz w:val="16"/>
      <w:szCs w:val="16"/>
    </w:rPr>
  </w:style>
  <w:style w:type="paragraph" w:styleId="CommentText">
    <w:name w:val="annotation text"/>
    <w:basedOn w:val="Normal"/>
    <w:link w:val="CommentTextChar"/>
    <w:uiPriority w:val="99"/>
    <w:unhideWhenUsed/>
    <w:rsid w:val="00C61908"/>
    <w:pPr>
      <w:spacing w:line="240" w:lineRule="auto"/>
    </w:pPr>
    <w:rPr>
      <w:sz w:val="20"/>
      <w:szCs w:val="20"/>
    </w:rPr>
  </w:style>
  <w:style w:type="character" w:customStyle="1" w:styleId="CommentTextChar">
    <w:name w:val="Comment Text Char"/>
    <w:basedOn w:val="DefaultParagraphFont"/>
    <w:link w:val="CommentText"/>
    <w:uiPriority w:val="99"/>
    <w:rsid w:val="00C61908"/>
    <w:rPr>
      <w:sz w:val="20"/>
      <w:szCs w:val="20"/>
    </w:rPr>
  </w:style>
  <w:style w:type="paragraph" w:styleId="CommentSubject">
    <w:name w:val="annotation subject"/>
    <w:basedOn w:val="CommentText"/>
    <w:next w:val="CommentText"/>
    <w:link w:val="CommentSubjectChar"/>
    <w:uiPriority w:val="99"/>
    <w:semiHidden/>
    <w:unhideWhenUsed/>
    <w:rsid w:val="00C61908"/>
    <w:rPr>
      <w:b/>
      <w:bCs/>
    </w:rPr>
  </w:style>
  <w:style w:type="character" w:customStyle="1" w:styleId="CommentSubjectChar">
    <w:name w:val="Comment Subject Char"/>
    <w:basedOn w:val="CommentTextChar"/>
    <w:link w:val="CommentSubject"/>
    <w:uiPriority w:val="99"/>
    <w:semiHidden/>
    <w:rsid w:val="00C61908"/>
    <w:rPr>
      <w:b/>
      <w:bCs/>
      <w:sz w:val="20"/>
      <w:szCs w:val="20"/>
    </w:rPr>
  </w:style>
  <w:style w:type="table" w:styleId="TableGrid">
    <w:name w:val="Table Grid"/>
    <w:basedOn w:val="TableNormal"/>
    <w:uiPriority w:val="39"/>
    <w:rsid w:val="00C61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D5C7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D5C74"/>
    <w:rPr>
      <w:rFonts w:ascii="Consolas" w:hAnsi="Consolas"/>
      <w:sz w:val="20"/>
      <w:szCs w:val="20"/>
    </w:rPr>
  </w:style>
  <w:style w:type="character" w:styleId="Strong">
    <w:name w:val="Strong"/>
    <w:basedOn w:val="DefaultParagraphFont"/>
    <w:uiPriority w:val="22"/>
    <w:qFormat/>
    <w:rsid w:val="004D5C74"/>
    <w:rPr>
      <w:b/>
      <w:bCs/>
    </w:rPr>
  </w:style>
  <w:style w:type="character" w:customStyle="1" w:styleId="Heading4Char">
    <w:name w:val="Heading 4 Char"/>
    <w:basedOn w:val="DefaultParagraphFont"/>
    <w:link w:val="Heading4"/>
    <w:uiPriority w:val="9"/>
    <w:semiHidden/>
    <w:rsid w:val="003C6DB1"/>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A55D70"/>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109027">
      <w:bodyDiv w:val="1"/>
      <w:marLeft w:val="0"/>
      <w:marRight w:val="0"/>
      <w:marTop w:val="0"/>
      <w:marBottom w:val="0"/>
      <w:divBdr>
        <w:top w:val="none" w:sz="0" w:space="0" w:color="auto"/>
        <w:left w:val="none" w:sz="0" w:space="0" w:color="auto"/>
        <w:bottom w:val="none" w:sz="0" w:space="0" w:color="auto"/>
        <w:right w:val="none" w:sz="0" w:space="0" w:color="auto"/>
      </w:divBdr>
    </w:div>
    <w:div w:id="141223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vinsetiani@ppns.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Vivin%20Setiani\Downloads\KOMPOSISI%20SAMPAH%20.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Vivin%20Setiani\Downloads\Perhitungan%20CO2%20Sampah.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r>
              <a:rPr lang="en-US" sz="1200">
                <a:latin typeface="Constantia" panose="02030602050306030303" pitchFamily="18" charset="0"/>
              </a:rPr>
              <a:t>Solid waste Compostion in PPNS</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4C7D-4B03-AA59-0BC749F6DE88}"/>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4C7D-4B03-AA59-0BC749F6DE88}"/>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4C7D-4B03-AA59-0BC749F6DE88}"/>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4C7D-4B03-AA59-0BC749F6DE88}"/>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4C7D-4B03-AA59-0BC749F6DE88}"/>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4C7D-4B03-AA59-0BC749F6DE88}"/>
              </c:ext>
            </c:extLst>
          </c:dPt>
          <c:dPt>
            <c:idx val="6"/>
            <c:bubble3D val="0"/>
            <c:spPr>
              <a:solidFill>
                <a:schemeClr val="accent1">
                  <a:lumMod val="60000"/>
                  <a:alpha val="90000"/>
                </a:schemeClr>
              </a:solidFill>
              <a:ln w="19050">
                <a:solidFill>
                  <a:schemeClr val="accent1">
                    <a:lumMod val="60000"/>
                    <a:lumMod val="75000"/>
                  </a:schemeClr>
                </a:solidFill>
              </a:ln>
              <a:effectLst>
                <a:innerShdw blurRad="114300">
                  <a:schemeClr val="accent1">
                    <a:lumMod val="60000"/>
                    <a:lumMod val="75000"/>
                  </a:schemeClr>
                </a:innerShdw>
              </a:effectLst>
              <a:scene3d>
                <a:camera prst="orthographicFront"/>
                <a:lightRig rig="threePt" dir="t"/>
              </a:scene3d>
              <a:sp3d contourW="19050" prstMaterial="flat">
                <a:contourClr>
                  <a:schemeClr val="accent1">
                    <a:lumMod val="60000"/>
                    <a:lumMod val="75000"/>
                  </a:schemeClr>
                </a:contourClr>
              </a:sp3d>
            </c:spPr>
            <c:extLst>
              <c:ext xmlns:c16="http://schemas.microsoft.com/office/drawing/2014/chart" uri="{C3380CC4-5D6E-409C-BE32-E72D297353CC}">
                <c16:uniqueId val="{0000000D-4C7D-4B03-AA59-0BC749F6DE88}"/>
              </c:ext>
            </c:extLst>
          </c:dPt>
          <c:dPt>
            <c:idx val="7"/>
            <c:bubble3D val="0"/>
            <c:spPr>
              <a:solidFill>
                <a:schemeClr val="accent2">
                  <a:lumMod val="60000"/>
                  <a:alpha val="90000"/>
                </a:schemeClr>
              </a:solidFill>
              <a:ln w="19050">
                <a:solidFill>
                  <a:schemeClr val="accent2">
                    <a:lumMod val="60000"/>
                    <a:lumMod val="75000"/>
                  </a:schemeClr>
                </a:solidFill>
              </a:ln>
              <a:effectLst>
                <a:innerShdw blurRad="114300">
                  <a:schemeClr val="accent2">
                    <a:lumMod val="60000"/>
                    <a:lumMod val="75000"/>
                  </a:schemeClr>
                </a:innerShdw>
              </a:effectLst>
              <a:scene3d>
                <a:camera prst="orthographicFront"/>
                <a:lightRig rig="threePt" dir="t"/>
              </a:scene3d>
              <a:sp3d contourW="19050" prstMaterial="flat">
                <a:contourClr>
                  <a:schemeClr val="accent2">
                    <a:lumMod val="60000"/>
                    <a:lumMod val="75000"/>
                  </a:schemeClr>
                </a:contourClr>
              </a:sp3d>
            </c:spPr>
            <c:extLst>
              <c:ext xmlns:c16="http://schemas.microsoft.com/office/drawing/2014/chart" uri="{C3380CC4-5D6E-409C-BE32-E72D297353CC}">
                <c16:uniqueId val="{0000000F-4C7D-4B03-AA59-0BC749F6DE88}"/>
              </c:ext>
            </c:extLst>
          </c:dPt>
          <c:dPt>
            <c:idx val="8"/>
            <c:bubble3D val="0"/>
            <c:spPr>
              <a:solidFill>
                <a:schemeClr val="accent3">
                  <a:lumMod val="60000"/>
                  <a:alpha val="90000"/>
                </a:schemeClr>
              </a:solidFill>
              <a:ln w="19050">
                <a:solidFill>
                  <a:schemeClr val="accent3">
                    <a:lumMod val="60000"/>
                    <a:lumMod val="75000"/>
                  </a:schemeClr>
                </a:solidFill>
              </a:ln>
              <a:effectLst>
                <a:innerShdw blurRad="114300">
                  <a:schemeClr val="accent3">
                    <a:lumMod val="60000"/>
                    <a:lumMod val="75000"/>
                  </a:schemeClr>
                </a:innerShdw>
              </a:effectLst>
              <a:scene3d>
                <a:camera prst="orthographicFront"/>
                <a:lightRig rig="threePt" dir="t"/>
              </a:scene3d>
              <a:sp3d contourW="19050" prstMaterial="flat">
                <a:contourClr>
                  <a:schemeClr val="accent3">
                    <a:lumMod val="60000"/>
                    <a:lumMod val="75000"/>
                  </a:schemeClr>
                </a:contourClr>
              </a:sp3d>
            </c:spPr>
            <c:extLst>
              <c:ext xmlns:c16="http://schemas.microsoft.com/office/drawing/2014/chart" uri="{C3380CC4-5D6E-409C-BE32-E72D297353CC}">
                <c16:uniqueId val="{00000011-4C7D-4B03-AA59-0BC749F6DE88}"/>
              </c:ext>
            </c:extLst>
          </c:dPt>
          <c:dPt>
            <c:idx val="9"/>
            <c:bubble3D val="0"/>
            <c:spPr>
              <a:solidFill>
                <a:schemeClr val="accent4">
                  <a:lumMod val="60000"/>
                  <a:alpha val="90000"/>
                </a:schemeClr>
              </a:solidFill>
              <a:ln w="19050">
                <a:solidFill>
                  <a:schemeClr val="accent4">
                    <a:lumMod val="60000"/>
                    <a:lumMod val="75000"/>
                  </a:schemeClr>
                </a:solidFill>
              </a:ln>
              <a:effectLst>
                <a:innerShdw blurRad="114300">
                  <a:schemeClr val="accent4">
                    <a:lumMod val="60000"/>
                    <a:lumMod val="75000"/>
                  </a:schemeClr>
                </a:innerShdw>
              </a:effectLst>
              <a:scene3d>
                <a:camera prst="orthographicFront"/>
                <a:lightRig rig="threePt" dir="t"/>
              </a:scene3d>
              <a:sp3d contourW="19050" prstMaterial="flat">
                <a:contourClr>
                  <a:schemeClr val="accent4">
                    <a:lumMod val="60000"/>
                    <a:lumMod val="75000"/>
                  </a:schemeClr>
                </a:contourClr>
              </a:sp3d>
            </c:spPr>
            <c:extLst>
              <c:ext xmlns:c16="http://schemas.microsoft.com/office/drawing/2014/chart" uri="{C3380CC4-5D6E-409C-BE32-E72D297353CC}">
                <c16:uniqueId val="{00000013-4C7D-4B03-AA59-0BC749F6DE88}"/>
              </c:ext>
            </c:extLst>
          </c:dPt>
          <c:dPt>
            <c:idx val="10"/>
            <c:bubble3D val="0"/>
            <c:spPr>
              <a:solidFill>
                <a:schemeClr val="accent5">
                  <a:lumMod val="60000"/>
                  <a:alpha val="90000"/>
                </a:schemeClr>
              </a:solidFill>
              <a:ln w="19050">
                <a:solidFill>
                  <a:schemeClr val="accent5">
                    <a:lumMod val="60000"/>
                    <a:lumMod val="75000"/>
                  </a:schemeClr>
                </a:solidFill>
              </a:ln>
              <a:effectLst>
                <a:innerShdw blurRad="114300">
                  <a:schemeClr val="accent5">
                    <a:lumMod val="60000"/>
                    <a:lumMod val="75000"/>
                  </a:schemeClr>
                </a:innerShdw>
              </a:effectLst>
              <a:scene3d>
                <a:camera prst="orthographicFront"/>
                <a:lightRig rig="threePt" dir="t"/>
              </a:scene3d>
              <a:sp3d contourW="19050" prstMaterial="flat">
                <a:contourClr>
                  <a:schemeClr val="accent5">
                    <a:lumMod val="60000"/>
                    <a:lumMod val="75000"/>
                  </a:schemeClr>
                </a:contourClr>
              </a:sp3d>
            </c:spPr>
            <c:extLst>
              <c:ext xmlns:c16="http://schemas.microsoft.com/office/drawing/2014/chart" uri="{C3380CC4-5D6E-409C-BE32-E72D297353CC}">
                <c16:uniqueId val="{00000015-4C7D-4B03-AA59-0BC749F6DE88}"/>
              </c:ext>
            </c:extLst>
          </c:dPt>
          <c:dPt>
            <c:idx val="11"/>
            <c:bubble3D val="0"/>
            <c:spPr>
              <a:solidFill>
                <a:schemeClr val="accent6">
                  <a:lumMod val="60000"/>
                  <a:alpha val="90000"/>
                </a:schemeClr>
              </a:solidFill>
              <a:ln w="19050">
                <a:solidFill>
                  <a:schemeClr val="accent6">
                    <a:lumMod val="60000"/>
                    <a:lumMod val="75000"/>
                  </a:schemeClr>
                </a:solidFill>
              </a:ln>
              <a:effectLst>
                <a:innerShdw blurRad="114300">
                  <a:schemeClr val="accent6">
                    <a:lumMod val="60000"/>
                    <a:lumMod val="75000"/>
                  </a:schemeClr>
                </a:innerShdw>
              </a:effectLst>
              <a:scene3d>
                <a:camera prst="orthographicFront"/>
                <a:lightRig rig="threePt" dir="t"/>
              </a:scene3d>
              <a:sp3d contourW="19050" prstMaterial="flat">
                <a:contourClr>
                  <a:schemeClr val="accent6">
                    <a:lumMod val="60000"/>
                    <a:lumMod val="75000"/>
                  </a:schemeClr>
                </a:contourClr>
              </a:sp3d>
            </c:spPr>
            <c:extLst>
              <c:ext xmlns:c16="http://schemas.microsoft.com/office/drawing/2014/chart" uri="{C3380CC4-5D6E-409C-BE32-E72D297353CC}">
                <c16:uniqueId val="{00000017-4C7D-4B03-AA59-0BC749F6DE88}"/>
              </c:ext>
            </c:extLst>
          </c:dPt>
          <c:dPt>
            <c:idx val="12"/>
            <c:bubble3D val="0"/>
            <c:spPr>
              <a:solidFill>
                <a:schemeClr val="accent1">
                  <a:lumMod val="80000"/>
                  <a:lumOff val="20000"/>
                  <a:alpha val="90000"/>
                </a:schemeClr>
              </a:solidFill>
              <a:ln w="19050">
                <a:solidFill>
                  <a:schemeClr val="accent1">
                    <a:lumMod val="80000"/>
                    <a:lumOff val="20000"/>
                    <a:lumMod val="75000"/>
                  </a:schemeClr>
                </a:solidFill>
              </a:ln>
              <a:effectLst>
                <a:innerShdw blurRad="114300">
                  <a:schemeClr val="accent1">
                    <a:lumMod val="80000"/>
                    <a:lumOff val="20000"/>
                    <a:lumMod val="75000"/>
                  </a:schemeClr>
                </a:innerShdw>
              </a:effectLst>
              <a:scene3d>
                <a:camera prst="orthographicFront"/>
                <a:lightRig rig="threePt" dir="t"/>
              </a:scene3d>
              <a:sp3d contourW="19050" prstMaterial="flat">
                <a:contourClr>
                  <a:schemeClr val="accent1">
                    <a:lumMod val="80000"/>
                    <a:lumOff val="20000"/>
                    <a:lumMod val="75000"/>
                  </a:schemeClr>
                </a:contourClr>
              </a:sp3d>
            </c:spPr>
            <c:extLst>
              <c:ext xmlns:c16="http://schemas.microsoft.com/office/drawing/2014/chart" uri="{C3380CC4-5D6E-409C-BE32-E72D297353CC}">
                <c16:uniqueId val="{00000019-4C7D-4B03-AA59-0BC749F6DE88}"/>
              </c:ext>
            </c:extLst>
          </c:dPt>
          <c:dPt>
            <c:idx val="13"/>
            <c:bubble3D val="0"/>
            <c:spPr>
              <a:solidFill>
                <a:schemeClr val="accent2">
                  <a:lumMod val="80000"/>
                  <a:lumOff val="20000"/>
                  <a:alpha val="90000"/>
                </a:schemeClr>
              </a:solidFill>
              <a:ln w="19050">
                <a:solidFill>
                  <a:schemeClr val="accent2">
                    <a:lumMod val="80000"/>
                    <a:lumOff val="20000"/>
                    <a:lumMod val="75000"/>
                  </a:schemeClr>
                </a:solidFill>
              </a:ln>
              <a:effectLst>
                <a:innerShdw blurRad="114300">
                  <a:schemeClr val="accent2">
                    <a:lumMod val="80000"/>
                    <a:lumOff val="20000"/>
                    <a:lumMod val="75000"/>
                  </a:schemeClr>
                </a:innerShdw>
              </a:effectLst>
              <a:scene3d>
                <a:camera prst="orthographicFront"/>
                <a:lightRig rig="threePt" dir="t"/>
              </a:scene3d>
              <a:sp3d contourW="19050" prstMaterial="flat">
                <a:contourClr>
                  <a:schemeClr val="accent2">
                    <a:lumMod val="80000"/>
                    <a:lumOff val="20000"/>
                    <a:lumMod val="75000"/>
                  </a:schemeClr>
                </a:contourClr>
              </a:sp3d>
            </c:spPr>
            <c:extLst>
              <c:ext xmlns:c16="http://schemas.microsoft.com/office/drawing/2014/chart" uri="{C3380CC4-5D6E-409C-BE32-E72D297353CC}">
                <c16:uniqueId val="{0000001B-4C7D-4B03-AA59-0BC749F6DE88}"/>
              </c:ext>
            </c:extLst>
          </c:dPt>
          <c:dPt>
            <c:idx val="14"/>
            <c:bubble3D val="0"/>
            <c:spPr>
              <a:solidFill>
                <a:schemeClr val="accent3">
                  <a:lumMod val="80000"/>
                  <a:lumOff val="20000"/>
                  <a:alpha val="90000"/>
                </a:schemeClr>
              </a:solidFill>
              <a:ln w="19050">
                <a:solidFill>
                  <a:schemeClr val="accent3">
                    <a:lumMod val="80000"/>
                    <a:lumOff val="20000"/>
                    <a:lumMod val="75000"/>
                  </a:schemeClr>
                </a:solidFill>
              </a:ln>
              <a:effectLst>
                <a:innerShdw blurRad="114300">
                  <a:schemeClr val="accent3">
                    <a:lumMod val="80000"/>
                    <a:lumOff val="20000"/>
                    <a:lumMod val="75000"/>
                  </a:schemeClr>
                </a:innerShdw>
              </a:effectLst>
              <a:scene3d>
                <a:camera prst="orthographicFront"/>
                <a:lightRig rig="threePt" dir="t"/>
              </a:scene3d>
              <a:sp3d contourW="19050" prstMaterial="flat">
                <a:contourClr>
                  <a:schemeClr val="accent3">
                    <a:lumMod val="80000"/>
                    <a:lumOff val="20000"/>
                    <a:lumMod val="75000"/>
                  </a:schemeClr>
                </a:contourClr>
              </a:sp3d>
            </c:spPr>
            <c:extLst>
              <c:ext xmlns:c16="http://schemas.microsoft.com/office/drawing/2014/chart" uri="{C3380CC4-5D6E-409C-BE32-E72D297353CC}">
                <c16:uniqueId val="{0000001D-4C7D-4B03-AA59-0BC749F6DE88}"/>
              </c:ext>
            </c:extLst>
          </c:dPt>
          <c:dPt>
            <c:idx val="15"/>
            <c:bubble3D val="0"/>
            <c:spPr>
              <a:solidFill>
                <a:schemeClr val="accent4">
                  <a:lumMod val="80000"/>
                  <a:lumOff val="20000"/>
                  <a:alpha val="90000"/>
                </a:schemeClr>
              </a:solidFill>
              <a:ln w="19050">
                <a:solidFill>
                  <a:schemeClr val="accent4">
                    <a:lumMod val="80000"/>
                    <a:lumOff val="20000"/>
                    <a:lumMod val="75000"/>
                  </a:schemeClr>
                </a:solidFill>
              </a:ln>
              <a:effectLst>
                <a:innerShdw blurRad="114300">
                  <a:schemeClr val="accent4">
                    <a:lumMod val="80000"/>
                    <a:lumOff val="20000"/>
                    <a:lumMod val="75000"/>
                  </a:schemeClr>
                </a:innerShdw>
              </a:effectLst>
              <a:scene3d>
                <a:camera prst="orthographicFront"/>
                <a:lightRig rig="threePt" dir="t"/>
              </a:scene3d>
              <a:sp3d contourW="19050" prstMaterial="flat">
                <a:contourClr>
                  <a:schemeClr val="accent4">
                    <a:lumMod val="80000"/>
                    <a:lumOff val="20000"/>
                    <a:lumMod val="75000"/>
                  </a:schemeClr>
                </a:contourClr>
              </a:sp3d>
            </c:spPr>
            <c:extLst>
              <c:ext xmlns:c16="http://schemas.microsoft.com/office/drawing/2014/chart" uri="{C3380CC4-5D6E-409C-BE32-E72D297353CC}">
                <c16:uniqueId val="{0000001F-4C7D-4B03-AA59-0BC749F6DE88}"/>
              </c:ext>
            </c:extLst>
          </c:dPt>
          <c:dPt>
            <c:idx val="16"/>
            <c:bubble3D val="0"/>
            <c:spPr>
              <a:solidFill>
                <a:schemeClr val="accent5">
                  <a:lumMod val="80000"/>
                  <a:lumOff val="20000"/>
                  <a:alpha val="90000"/>
                </a:schemeClr>
              </a:solidFill>
              <a:ln w="19050">
                <a:solidFill>
                  <a:schemeClr val="accent5">
                    <a:lumMod val="80000"/>
                    <a:lumOff val="20000"/>
                    <a:lumMod val="75000"/>
                  </a:schemeClr>
                </a:solidFill>
              </a:ln>
              <a:effectLst>
                <a:innerShdw blurRad="114300">
                  <a:schemeClr val="accent5">
                    <a:lumMod val="80000"/>
                    <a:lumOff val="20000"/>
                    <a:lumMod val="75000"/>
                  </a:schemeClr>
                </a:innerShdw>
              </a:effectLst>
              <a:scene3d>
                <a:camera prst="orthographicFront"/>
                <a:lightRig rig="threePt" dir="t"/>
              </a:scene3d>
              <a:sp3d contourW="19050" prstMaterial="flat">
                <a:contourClr>
                  <a:schemeClr val="accent5">
                    <a:lumMod val="80000"/>
                    <a:lumOff val="20000"/>
                    <a:lumMod val="75000"/>
                  </a:schemeClr>
                </a:contourClr>
              </a:sp3d>
            </c:spPr>
            <c:extLst>
              <c:ext xmlns:c16="http://schemas.microsoft.com/office/drawing/2014/chart" uri="{C3380CC4-5D6E-409C-BE32-E72D297353CC}">
                <c16:uniqueId val="{00000021-4C7D-4B03-AA59-0BC749F6DE88}"/>
              </c:ext>
            </c:extLst>
          </c:dPt>
          <c:dPt>
            <c:idx val="17"/>
            <c:bubble3D val="0"/>
            <c:spPr>
              <a:solidFill>
                <a:schemeClr val="accent6">
                  <a:lumMod val="80000"/>
                  <a:lumOff val="20000"/>
                  <a:alpha val="90000"/>
                </a:schemeClr>
              </a:solidFill>
              <a:ln w="19050">
                <a:solidFill>
                  <a:schemeClr val="accent6">
                    <a:lumMod val="80000"/>
                    <a:lumOff val="20000"/>
                    <a:lumMod val="75000"/>
                  </a:schemeClr>
                </a:solidFill>
              </a:ln>
              <a:effectLst>
                <a:innerShdw blurRad="114300">
                  <a:schemeClr val="accent6">
                    <a:lumMod val="80000"/>
                    <a:lumOff val="20000"/>
                    <a:lumMod val="75000"/>
                  </a:schemeClr>
                </a:innerShdw>
              </a:effectLst>
              <a:scene3d>
                <a:camera prst="orthographicFront"/>
                <a:lightRig rig="threePt" dir="t"/>
              </a:scene3d>
              <a:sp3d contourW="19050" prstMaterial="flat">
                <a:contourClr>
                  <a:schemeClr val="accent6">
                    <a:lumMod val="80000"/>
                    <a:lumOff val="20000"/>
                    <a:lumMod val="75000"/>
                  </a:schemeClr>
                </a:contourClr>
              </a:sp3d>
            </c:spPr>
            <c:extLst>
              <c:ext xmlns:c16="http://schemas.microsoft.com/office/drawing/2014/chart" uri="{C3380CC4-5D6E-409C-BE32-E72D297353CC}">
                <c16:uniqueId val="{00000023-4C7D-4B03-AA59-0BC749F6DE88}"/>
              </c:ext>
            </c:extLst>
          </c:dPt>
          <c:dLbls>
            <c:dLbl>
              <c:idx val="0"/>
              <c:numFmt formatCode="0.0%" sourceLinked="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1-4C7D-4B03-AA59-0BC749F6DE88}"/>
                </c:ext>
              </c:extLst>
            </c:dLbl>
            <c:dLbl>
              <c:idx val="1"/>
              <c:numFmt formatCode="0.0%" sourceLinked="0"/>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3-4C7D-4B03-AA59-0BC749F6DE88}"/>
                </c:ext>
              </c:extLst>
            </c:dLbl>
            <c:dLbl>
              <c:idx val="2"/>
              <c:numFmt formatCode="0.0%" sourceLinked="0"/>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5-4C7D-4B03-AA59-0BC749F6DE88}"/>
                </c:ext>
              </c:extLst>
            </c:dLbl>
            <c:dLbl>
              <c:idx val="3"/>
              <c:numFmt formatCode="0.0%" sourceLinked="0"/>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7-4C7D-4B03-AA59-0BC749F6DE88}"/>
                </c:ext>
              </c:extLst>
            </c:dLbl>
            <c:dLbl>
              <c:idx val="4"/>
              <c:numFmt formatCode="0.0%" sourceLinked="0"/>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9-4C7D-4B03-AA59-0BC749F6DE88}"/>
                </c:ext>
              </c:extLst>
            </c:dLbl>
            <c:dLbl>
              <c:idx val="5"/>
              <c:numFmt formatCode="0.0%" sourceLinked="0"/>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B-4C7D-4B03-AA59-0BC749F6DE88}"/>
                </c:ext>
              </c:extLst>
            </c:dLbl>
            <c:dLbl>
              <c:idx val="6"/>
              <c:numFmt formatCode="0.0%" sourceLinked="0"/>
              <c:spPr>
                <a:solidFill>
                  <a:schemeClr val="lt1">
                    <a:alpha val="90000"/>
                  </a:schemeClr>
                </a:solidFill>
                <a:ln w="12700" cap="flat" cmpd="sng" algn="ctr">
                  <a:solidFill>
                    <a:schemeClr val="accent1">
                      <a:lumMod val="60000"/>
                    </a:schemeClr>
                  </a:solidFill>
                  <a:round/>
                </a:ln>
                <a:effectLst>
                  <a:outerShdw blurRad="50800" dist="38100" dir="2700000" algn="tl" rotWithShape="0">
                    <a:schemeClr val="accent1">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lumMod val="6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D-4C7D-4B03-AA59-0BC749F6DE88}"/>
                </c:ext>
              </c:extLst>
            </c:dLbl>
            <c:dLbl>
              <c:idx val="7"/>
              <c:numFmt formatCode="0.0%" sourceLinked="0"/>
              <c:spPr>
                <a:solidFill>
                  <a:schemeClr val="lt1">
                    <a:alpha val="90000"/>
                  </a:schemeClr>
                </a:solidFill>
                <a:ln w="12700" cap="flat" cmpd="sng" algn="ctr">
                  <a:solidFill>
                    <a:schemeClr val="accent2">
                      <a:lumMod val="60000"/>
                    </a:schemeClr>
                  </a:solidFill>
                  <a:round/>
                </a:ln>
                <a:effectLst>
                  <a:outerShdw blurRad="50800" dist="38100" dir="2700000" algn="tl" rotWithShape="0">
                    <a:schemeClr val="accent2">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lumMod val="6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0F-4C7D-4B03-AA59-0BC749F6DE88}"/>
                </c:ext>
              </c:extLst>
            </c:dLbl>
            <c:dLbl>
              <c:idx val="8"/>
              <c:numFmt formatCode="0.0%" sourceLinked="0"/>
              <c:spPr>
                <a:solidFill>
                  <a:schemeClr val="lt1">
                    <a:alpha val="90000"/>
                  </a:schemeClr>
                </a:solidFill>
                <a:ln w="12700" cap="flat" cmpd="sng" algn="ctr">
                  <a:solidFill>
                    <a:schemeClr val="accent3">
                      <a:lumMod val="60000"/>
                    </a:schemeClr>
                  </a:solidFill>
                  <a:round/>
                </a:ln>
                <a:effectLst>
                  <a:outerShdw blurRad="50800" dist="38100" dir="2700000" algn="tl" rotWithShape="0">
                    <a:schemeClr val="accent3">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lumMod val="6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11-4C7D-4B03-AA59-0BC749F6DE88}"/>
                </c:ext>
              </c:extLst>
            </c:dLbl>
            <c:dLbl>
              <c:idx val="9"/>
              <c:numFmt formatCode="0.0%" sourceLinked="0"/>
              <c:spPr>
                <a:solidFill>
                  <a:schemeClr val="lt1">
                    <a:alpha val="90000"/>
                  </a:schemeClr>
                </a:solidFill>
                <a:ln w="12700" cap="flat" cmpd="sng" algn="ctr">
                  <a:solidFill>
                    <a:schemeClr val="accent4">
                      <a:lumMod val="60000"/>
                    </a:schemeClr>
                  </a:solidFill>
                  <a:round/>
                </a:ln>
                <a:effectLst>
                  <a:outerShdw blurRad="50800" dist="38100" dir="2700000" algn="tl" rotWithShape="0">
                    <a:schemeClr val="accent4">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lumMod val="6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13-4C7D-4B03-AA59-0BC749F6DE88}"/>
                </c:ext>
              </c:extLst>
            </c:dLbl>
            <c:dLbl>
              <c:idx val="10"/>
              <c:numFmt formatCode="0.0%" sourceLinked="0"/>
              <c:spPr>
                <a:solidFill>
                  <a:schemeClr val="lt1">
                    <a:alpha val="90000"/>
                  </a:schemeClr>
                </a:solidFill>
                <a:ln w="12700" cap="flat" cmpd="sng" algn="ctr">
                  <a:solidFill>
                    <a:schemeClr val="accent5">
                      <a:lumMod val="60000"/>
                    </a:schemeClr>
                  </a:solidFill>
                  <a:round/>
                </a:ln>
                <a:effectLst>
                  <a:outerShdw blurRad="50800" dist="38100" dir="2700000" algn="tl" rotWithShape="0">
                    <a:schemeClr val="accent5">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lumMod val="6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15-4C7D-4B03-AA59-0BC749F6DE88}"/>
                </c:ext>
              </c:extLst>
            </c:dLbl>
            <c:dLbl>
              <c:idx val="11"/>
              <c:numFmt formatCode="0.0%" sourceLinked="0"/>
              <c:spPr>
                <a:solidFill>
                  <a:schemeClr val="lt1">
                    <a:alpha val="90000"/>
                  </a:schemeClr>
                </a:solidFill>
                <a:ln w="12700" cap="flat" cmpd="sng" algn="ctr">
                  <a:solidFill>
                    <a:schemeClr val="accent6">
                      <a:lumMod val="60000"/>
                    </a:schemeClr>
                  </a:solidFill>
                  <a:round/>
                </a:ln>
                <a:effectLst>
                  <a:outerShdw blurRad="50800" dist="38100" dir="2700000" algn="tl" rotWithShape="0">
                    <a:schemeClr val="accent6">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lumMod val="6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17-4C7D-4B03-AA59-0BC749F6DE88}"/>
                </c:ext>
              </c:extLst>
            </c:dLbl>
            <c:dLbl>
              <c:idx val="12"/>
              <c:numFmt formatCode="0.0%" sourceLinked="0"/>
              <c:spPr>
                <a:solidFill>
                  <a:schemeClr val="lt1">
                    <a:alpha val="90000"/>
                  </a:schemeClr>
                </a:solidFill>
                <a:ln w="12700" cap="flat" cmpd="sng" algn="ctr">
                  <a:solidFill>
                    <a:schemeClr val="accent1">
                      <a:lumMod val="80000"/>
                      <a:lumOff val="20000"/>
                    </a:schemeClr>
                  </a:solidFill>
                  <a:round/>
                </a:ln>
                <a:effectLst>
                  <a:outerShdw blurRad="50800" dist="38100" dir="2700000" algn="tl" rotWithShape="0">
                    <a:schemeClr val="accent1">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lumMod val="80000"/>
                          <a:lumOff val="2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19-4C7D-4B03-AA59-0BC749F6DE88}"/>
                </c:ext>
              </c:extLst>
            </c:dLbl>
            <c:dLbl>
              <c:idx val="13"/>
              <c:numFmt formatCode="0.0%" sourceLinked="0"/>
              <c:spPr>
                <a:solidFill>
                  <a:schemeClr val="lt1">
                    <a:alpha val="90000"/>
                  </a:schemeClr>
                </a:solidFill>
                <a:ln w="12700" cap="flat" cmpd="sng" algn="ctr">
                  <a:solidFill>
                    <a:schemeClr val="accent2">
                      <a:lumMod val="80000"/>
                      <a:lumOff val="20000"/>
                    </a:schemeClr>
                  </a:solidFill>
                  <a:round/>
                </a:ln>
                <a:effectLst>
                  <a:outerShdw blurRad="50800" dist="38100" dir="2700000" algn="tl" rotWithShape="0">
                    <a:schemeClr val="accent2">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lumMod val="80000"/>
                          <a:lumOff val="2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1B-4C7D-4B03-AA59-0BC749F6DE88}"/>
                </c:ext>
              </c:extLst>
            </c:dLbl>
            <c:dLbl>
              <c:idx val="14"/>
              <c:numFmt formatCode="0.0%" sourceLinked="0"/>
              <c:spPr>
                <a:solidFill>
                  <a:schemeClr val="lt1">
                    <a:alpha val="90000"/>
                  </a:schemeClr>
                </a:solidFill>
                <a:ln w="12700" cap="flat" cmpd="sng" algn="ctr">
                  <a:solidFill>
                    <a:schemeClr val="accent3">
                      <a:lumMod val="80000"/>
                      <a:lumOff val="20000"/>
                    </a:schemeClr>
                  </a:solidFill>
                  <a:round/>
                </a:ln>
                <a:effectLst>
                  <a:outerShdw blurRad="50800" dist="38100" dir="2700000" algn="tl" rotWithShape="0">
                    <a:schemeClr val="accent3">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lumMod val="80000"/>
                          <a:lumOff val="2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1D-4C7D-4B03-AA59-0BC749F6DE88}"/>
                </c:ext>
              </c:extLst>
            </c:dLbl>
            <c:dLbl>
              <c:idx val="15"/>
              <c:numFmt formatCode="0.0%" sourceLinked="0"/>
              <c:spPr>
                <a:solidFill>
                  <a:schemeClr val="lt1">
                    <a:alpha val="90000"/>
                  </a:schemeClr>
                </a:solidFill>
                <a:ln w="12700" cap="flat" cmpd="sng" algn="ctr">
                  <a:solidFill>
                    <a:schemeClr val="accent4">
                      <a:lumMod val="80000"/>
                      <a:lumOff val="20000"/>
                    </a:schemeClr>
                  </a:solidFill>
                  <a:round/>
                </a:ln>
                <a:effectLst>
                  <a:outerShdw blurRad="50800" dist="38100" dir="2700000" algn="tl" rotWithShape="0">
                    <a:schemeClr val="accent4">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lumMod val="80000"/>
                          <a:lumOff val="2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1F-4C7D-4B03-AA59-0BC749F6DE88}"/>
                </c:ext>
              </c:extLst>
            </c:dLbl>
            <c:dLbl>
              <c:idx val="16"/>
              <c:numFmt formatCode="0.0%" sourceLinked="0"/>
              <c:spPr>
                <a:solidFill>
                  <a:schemeClr val="lt1">
                    <a:alpha val="90000"/>
                  </a:schemeClr>
                </a:solidFill>
                <a:ln w="12700" cap="flat" cmpd="sng" algn="ctr">
                  <a:solidFill>
                    <a:schemeClr val="accent5">
                      <a:lumMod val="80000"/>
                      <a:lumOff val="20000"/>
                    </a:schemeClr>
                  </a:solidFill>
                  <a:round/>
                </a:ln>
                <a:effectLst>
                  <a:outerShdw blurRad="50800" dist="38100" dir="2700000" algn="tl" rotWithShape="0">
                    <a:schemeClr val="accent5">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lumMod val="80000"/>
                          <a:lumOff val="2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21-4C7D-4B03-AA59-0BC749F6DE88}"/>
                </c:ext>
              </c:extLst>
            </c:dLbl>
            <c:dLbl>
              <c:idx val="17"/>
              <c:numFmt formatCode="0.0%" sourceLinked="0"/>
              <c:spPr>
                <a:solidFill>
                  <a:schemeClr val="lt1">
                    <a:alpha val="90000"/>
                  </a:schemeClr>
                </a:solidFill>
                <a:ln w="12700" cap="flat" cmpd="sng" algn="ctr">
                  <a:solidFill>
                    <a:schemeClr val="accent6">
                      <a:lumMod val="80000"/>
                      <a:lumOff val="20000"/>
                    </a:schemeClr>
                  </a:solidFill>
                  <a:round/>
                </a:ln>
                <a:effectLst>
                  <a:outerShdw blurRad="50800" dist="38100" dir="2700000" algn="tl" rotWithShape="0">
                    <a:schemeClr val="accent6">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lumMod val="80000"/>
                          <a:lumOff val="20000"/>
                        </a:schemeClr>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extLst>
                <c:ext xmlns:c16="http://schemas.microsoft.com/office/drawing/2014/chart" uri="{C3380CC4-5D6E-409C-BE32-E72D297353CC}">
                  <c16:uniqueId val="{00000023-4C7D-4B03-AA59-0BC749F6DE88}"/>
                </c:ext>
              </c:extLst>
            </c:dLbl>
            <c:numFmt formatCode="0.0%" sourceLinked="0"/>
            <c:spPr>
              <a:solidFill>
                <a:srgbClr val="FFFFFF">
                  <a:alpha val="90000"/>
                </a:srgbClr>
              </a:solidFill>
              <a:ln w="12700" cap="flat" cmpd="sng" algn="ctr">
                <a:solidFill>
                  <a:srgbClr val="4285F4"/>
                </a:solidFill>
                <a:round/>
              </a:ln>
              <a:effectLst>
                <a:outerShdw blurRad="50800" dist="38100" dir="2700000" algn="tl" rotWithShape="0">
                  <a:srgbClr val="4285F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Constantia" panose="02030602050306030303" pitchFamily="18" charset="0"/>
                    <a:ea typeface="Calibri" panose="020F0502020204030204" pitchFamily="34" charset="0"/>
                    <a:cs typeface="Calibri" panose="020F0502020204030204" pitchFamily="34" charset="0"/>
                  </a:defRPr>
                </a:pPr>
                <a:endParaRPr lang="en-US"/>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TOTAL!$A$2:$R$2</c:f>
              <c:strCache>
                <c:ptCount val="18"/>
                <c:pt idx="0">
                  <c:v>Carboard</c:v>
                </c:pt>
                <c:pt idx="1">
                  <c:v>HVS</c:v>
                </c:pt>
                <c:pt idx="2">
                  <c:v>Mix Paper</c:v>
                </c:pt>
                <c:pt idx="3">
                  <c:v>Wood</c:v>
                </c:pt>
                <c:pt idx="4">
                  <c:v>Metal </c:v>
                </c:pt>
                <c:pt idx="5">
                  <c:v>Rubber</c:v>
                </c:pt>
                <c:pt idx="6">
                  <c:v>Fabric</c:v>
                </c:pt>
                <c:pt idx="7">
                  <c:v>Food waste</c:v>
                </c:pt>
                <c:pt idx="8">
                  <c:v>Glass</c:v>
                </c:pt>
                <c:pt idx="9">
                  <c:v>Leave</c:v>
                </c:pt>
                <c:pt idx="10">
                  <c:v>HDPE </c:v>
                </c:pt>
                <c:pt idx="11">
                  <c:v>LDPE </c:v>
                </c:pt>
                <c:pt idx="12">
                  <c:v>PET </c:v>
                </c:pt>
                <c:pt idx="13">
                  <c:v>PVC</c:v>
                </c:pt>
                <c:pt idx="14">
                  <c:v>PP</c:v>
                </c:pt>
                <c:pt idx="15">
                  <c:v>PS</c:v>
                </c:pt>
                <c:pt idx="16">
                  <c:v>Diapers</c:v>
                </c:pt>
                <c:pt idx="17">
                  <c:v>Residue</c:v>
                </c:pt>
              </c:strCache>
            </c:strRef>
          </c:cat>
          <c:val>
            <c:numRef>
              <c:f>TOTAL!$A$3:$R$3</c:f>
              <c:numCache>
                <c:formatCode>0.000</c:formatCode>
                <c:ptCount val="18"/>
                <c:pt idx="0">
                  <c:v>2.7793749999999999</c:v>
                </c:pt>
                <c:pt idx="1">
                  <c:v>3.9875000000000007</c:v>
                </c:pt>
                <c:pt idx="2">
                  <c:v>9.0243749999999991</c:v>
                </c:pt>
                <c:pt idx="3">
                  <c:v>0.12437499999999999</c:v>
                </c:pt>
                <c:pt idx="4">
                  <c:v>8.1250000000000003E-2</c:v>
                </c:pt>
                <c:pt idx="5">
                  <c:v>4.3750000000000004E-3</c:v>
                </c:pt>
                <c:pt idx="6">
                  <c:v>0.47750000000000004</c:v>
                </c:pt>
                <c:pt idx="7">
                  <c:v>9.2068750000000001</c:v>
                </c:pt>
                <c:pt idx="8">
                  <c:v>0.95812500000000012</c:v>
                </c:pt>
                <c:pt idx="9">
                  <c:v>17.809999999999999</c:v>
                </c:pt>
                <c:pt idx="10">
                  <c:v>1.191875</c:v>
                </c:pt>
                <c:pt idx="11">
                  <c:v>5.1620228187499997</c:v>
                </c:pt>
                <c:pt idx="12">
                  <c:v>4.5387500000000003</c:v>
                </c:pt>
                <c:pt idx="13">
                  <c:v>0.25687500000000002</c:v>
                </c:pt>
                <c:pt idx="14">
                  <c:v>3.9093750000000003</c:v>
                </c:pt>
                <c:pt idx="15">
                  <c:v>1.743125</c:v>
                </c:pt>
                <c:pt idx="16">
                  <c:v>0.75646893375000002</c:v>
                </c:pt>
                <c:pt idx="17">
                  <c:v>0.98062499999999997</c:v>
                </c:pt>
              </c:numCache>
            </c:numRef>
          </c:val>
          <c:extLst>
            <c:ext xmlns:c16="http://schemas.microsoft.com/office/drawing/2014/chart" uri="{C3380CC4-5D6E-409C-BE32-E72D297353CC}">
              <c16:uniqueId val="{00000024-4C7D-4B03-AA59-0BC749F6DE88}"/>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Constantia" panose="02030602050306030303" pitchFamily="18" charset="0"/>
              <a:ea typeface="Calibri" panose="020F0502020204030204" pitchFamily="34" charset="0"/>
              <a:cs typeface="Calibri" panose="020F0502020204030204" pitchFamily="34" charset="0"/>
            </a:defRPr>
          </a:pPr>
          <a:endParaRPr lang="en-US"/>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Constantia" panose="02030602050306030303" pitchFamily="18" charset="0"/>
                <a:ea typeface="+mn-ea"/>
                <a:cs typeface="+mn-cs"/>
              </a:defRPr>
            </a:pPr>
            <a:r>
              <a:rPr lang="en-ID"/>
              <a:t>Carbon Emission (ton CO2/year)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Constantia" panose="02030602050306030303" pitchFamily="18"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Sheet1!$E$5:$E$25</c:f>
              <c:strCache>
                <c:ptCount val="21"/>
                <c:pt idx="0">
                  <c:v>Theory Building (C)</c:v>
                </c:pt>
                <c:pt idx="1">
                  <c:v>Training Center Building (TC)</c:v>
                </c:pt>
                <c:pt idx="2">
                  <c:v>P3M Building (E)</c:v>
                </c:pt>
                <c:pt idx="3">
                  <c:v>Library &amp; Shipmart</c:v>
                </c:pt>
                <c:pt idx="4">
                  <c:v>Directorate Building (A)</c:v>
                </c:pt>
                <c:pt idx="5">
                  <c:v>Student Practice Building (B)</c:v>
                </c:pt>
                <c:pt idx="6">
                  <c:v>Teleconference Building</c:v>
                </c:pt>
                <c:pt idx="7">
                  <c:v>Building J</c:v>
                </c:pt>
                <c:pt idx="8">
                  <c:v>Building K</c:v>
                </c:pt>
                <c:pt idx="9">
                  <c:v>South Workshop (Repair Workshop)</c:v>
                </c:pt>
                <c:pt idx="10">
                  <c:v>Welding Workshop</c:v>
                </c:pt>
                <c:pt idx="11">
                  <c:v>Construction Workshop</c:v>
                </c:pt>
                <c:pt idx="12">
                  <c:v>CNC Workshop</c:v>
                </c:pt>
                <c:pt idx="13">
                  <c:v>Tool Workshop</c:v>
                </c:pt>
                <c:pt idx="14">
                  <c:v>Wood Workshop</c:v>
                </c:pt>
                <c:pt idx="15">
                  <c:v>Building P</c:v>
                </c:pt>
                <c:pt idx="16">
                  <c:v>Building M</c:v>
                </c:pt>
                <c:pt idx="17">
                  <c:v>Building N</c:v>
                </c:pt>
                <c:pt idx="18">
                  <c:v>Mosque</c:v>
                </c:pt>
                <c:pt idx="19">
                  <c:v>Garden</c:v>
                </c:pt>
                <c:pt idx="20">
                  <c:v>Cafeteria</c:v>
                </c:pt>
              </c:strCache>
            </c:strRef>
          </c:cat>
          <c:val>
            <c:numRef>
              <c:f>Sheet1!$F$5:$F$25</c:f>
              <c:numCache>
                <c:formatCode>General</c:formatCode>
                <c:ptCount val="21"/>
                <c:pt idx="0">
                  <c:v>0.26719999999999999</c:v>
                </c:pt>
                <c:pt idx="1">
                  <c:v>0.22209999999999999</c:v>
                </c:pt>
                <c:pt idx="2">
                  <c:v>8.3799999999999999E-2</c:v>
                </c:pt>
                <c:pt idx="3">
                  <c:v>0.40670000000000001</c:v>
                </c:pt>
                <c:pt idx="4">
                  <c:v>0.20399999999999999</c:v>
                </c:pt>
                <c:pt idx="5">
                  <c:v>0.19040000000000001</c:v>
                </c:pt>
                <c:pt idx="6">
                  <c:v>5.5800000000000002E-2</c:v>
                </c:pt>
                <c:pt idx="7">
                  <c:v>0.62260000000000004</c:v>
                </c:pt>
                <c:pt idx="8">
                  <c:v>0.23180000000000001</c:v>
                </c:pt>
                <c:pt idx="9">
                  <c:v>0.1502</c:v>
                </c:pt>
                <c:pt idx="10">
                  <c:v>0.12520000000000001</c:v>
                </c:pt>
                <c:pt idx="11">
                  <c:v>0.1066</c:v>
                </c:pt>
                <c:pt idx="12">
                  <c:v>7.2499999999999995E-2</c:v>
                </c:pt>
                <c:pt idx="13">
                  <c:v>6.0699999999999997E-2</c:v>
                </c:pt>
                <c:pt idx="14">
                  <c:v>0.10199999999999999</c:v>
                </c:pt>
                <c:pt idx="15">
                  <c:v>0.151</c:v>
                </c:pt>
                <c:pt idx="16">
                  <c:v>0.34570000000000001</c:v>
                </c:pt>
                <c:pt idx="17">
                  <c:v>2.8199999999999999E-2</c:v>
                </c:pt>
                <c:pt idx="18">
                  <c:v>0.33529999999999999</c:v>
                </c:pt>
                <c:pt idx="19">
                  <c:v>1.2386999999999999</c:v>
                </c:pt>
                <c:pt idx="20">
                  <c:v>0.4375</c:v>
                </c:pt>
              </c:numCache>
            </c:numRef>
          </c:val>
          <c:extLst>
            <c:ext xmlns:c16="http://schemas.microsoft.com/office/drawing/2014/chart" uri="{C3380CC4-5D6E-409C-BE32-E72D297353CC}">
              <c16:uniqueId val="{00000000-E33E-4967-BD68-C6B419C0983A}"/>
            </c:ext>
          </c:extLst>
        </c:ser>
        <c:dLbls>
          <c:showLegendKey val="0"/>
          <c:showVal val="0"/>
          <c:showCatName val="0"/>
          <c:showSerName val="0"/>
          <c:showPercent val="0"/>
          <c:showBubbleSize val="0"/>
        </c:dLbls>
        <c:gapWidth val="182"/>
        <c:axId val="82684448"/>
        <c:axId val="82681088"/>
      </c:barChart>
      <c:catAx>
        <c:axId val="82684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nstantia" panose="02030602050306030303" pitchFamily="18" charset="0"/>
                <a:ea typeface="+mn-ea"/>
                <a:cs typeface="+mn-cs"/>
              </a:defRPr>
            </a:pPr>
            <a:endParaRPr lang="en-US"/>
          </a:p>
        </c:txPr>
        <c:crossAx val="82681088"/>
        <c:crosses val="autoZero"/>
        <c:auto val="1"/>
        <c:lblAlgn val="ctr"/>
        <c:lblOffset val="100"/>
        <c:noMultiLvlLbl val="0"/>
      </c:catAx>
      <c:valAx>
        <c:axId val="82681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nstantia" panose="02030602050306030303" pitchFamily="18" charset="0"/>
                <a:ea typeface="+mn-ea"/>
                <a:cs typeface="+mn-cs"/>
              </a:defRPr>
            </a:pPr>
            <a:endParaRPr lang="en-US"/>
          </a:p>
        </c:txPr>
        <c:crossAx val="826844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onstantia" panose="02030602050306030303"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Carbon emission before mitigation(ton CO2/year)</c:v>
          </c:tx>
          <c:spPr>
            <a:solidFill>
              <a:schemeClr val="accent1"/>
            </a:solidFill>
            <a:ln>
              <a:noFill/>
            </a:ln>
            <a:effectLst/>
          </c:spPr>
          <c:invertIfNegative val="0"/>
          <c:cat>
            <c:strRef>
              <c:f>'Copy of Sheet2'!$A$2:$A$22</c:f>
              <c:strCache>
                <c:ptCount val="21"/>
                <c:pt idx="0">
                  <c:v>Teory Building C</c:v>
                </c:pt>
                <c:pt idx="1">
                  <c:v>Building  Training Center (TC)</c:v>
                </c:pt>
                <c:pt idx="2">
                  <c:v> P3M Building  (E)</c:v>
                </c:pt>
                <c:pt idx="3">
                  <c:v>Library and Shipmart</c:v>
                </c:pt>
                <c:pt idx="4">
                  <c:v>Directorat Building  A</c:v>
                </c:pt>
                <c:pt idx="5">
                  <c:v>Building  B</c:v>
                </c:pt>
                <c:pt idx="6">
                  <c:v>Gedung Teleconference</c:v>
                </c:pt>
                <c:pt idx="7">
                  <c:v>Building  J</c:v>
                </c:pt>
                <c:pt idx="8">
                  <c:v>Building K</c:v>
                </c:pt>
                <c:pt idx="9">
                  <c:v>Workshop Reparation</c:v>
                </c:pt>
                <c:pt idx="10">
                  <c:v>Welding Workshop</c:v>
                </c:pt>
                <c:pt idx="11">
                  <c:v>Construction Workshop</c:v>
                </c:pt>
                <c:pt idx="12">
                  <c:v>CNC Workshop</c:v>
                </c:pt>
                <c:pt idx="13">
                  <c:v>Perkakas Workshop</c:v>
                </c:pt>
                <c:pt idx="14">
                  <c:v>Wood Workshop</c:v>
                </c:pt>
                <c:pt idx="15">
                  <c:v>Building P</c:v>
                </c:pt>
                <c:pt idx="16">
                  <c:v>Building M</c:v>
                </c:pt>
                <c:pt idx="17">
                  <c:v>Building N</c:v>
                </c:pt>
                <c:pt idx="18">
                  <c:v>Mosquito</c:v>
                </c:pt>
                <c:pt idx="19">
                  <c:v>Garden</c:v>
                </c:pt>
                <c:pt idx="20">
                  <c:v>Canteen</c:v>
                </c:pt>
              </c:strCache>
            </c:strRef>
          </c:cat>
          <c:val>
            <c:numRef>
              <c:f>'Copy of Sheet2'!$B$2:$B$22</c:f>
              <c:numCache>
                <c:formatCode>0.0000</c:formatCode>
                <c:ptCount val="21"/>
                <c:pt idx="0">
                  <c:v>0.26715559741171879</c:v>
                </c:pt>
                <c:pt idx="1">
                  <c:v>0.22210043196259599</c:v>
                </c:pt>
                <c:pt idx="2">
                  <c:v>8.3783565189843784E-2</c:v>
                </c:pt>
                <c:pt idx="3">
                  <c:v>0.40672980665100011</c:v>
                </c:pt>
                <c:pt idx="4">
                  <c:v>0.20401908118200007</c:v>
                </c:pt>
                <c:pt idx="5">
                  <c:v>0.19044664920225007</c:v>
                </c:pt>
                <c:pt idx="6">
                  <c:v>5.583372834375E-2</c:v>
                </c:pt>
                <c:pt idx="7">
                  <c:v>0.6225988273115628</c:v>
                </c:pt>
                <c:pt idx="8">
                  <c:v>0.23175613437046877</c:v>
                </c:pt>
                <c:pt idx="9">
                  <c:v>0.15016019620612509</c:v>
                </c:pt>
                <c:pt idx="10">
                  <c:v>0.12516602987700004</c:v>
                </c:pt>
                <c:pt idx="11">
                  <c:v>0.10656064890450001</c:v>
                </c:pt>
                <c:pt idx="12">
                  <c:v>7.2536366196000013E-2</c:v>
                </c:pt>
                <c:pt idx="13">
                  <c:v>6.0711925585500016E-2</c:v>
                </c:pt>
                <c:pt idx="14">
                  <c:v>0.10199898933525001</c:v>
                </c:pt>
                <c:pt idx="15">
                  <c:v>0.15097088435625006</c:v>
                </c:pt>
                <c:pt idx="16">
                  <c:v>0.34568771468765641</c:v>
                </c:pt>
                <c:pt idx="17">
                  <c:v>2.8185921193500007E-2</c:v>
                </c:pt>
                <c:pt idx="18">
                  <c:v>0.33532330409156264</c:v>
                </c:pt>
                <c:pt idx="19">
                  <c:v>1.2387174250500004</c:v>
                </c:pt>
                <c:pt idx="20">
                  <c:v>0.43749463060406257</c:v>
                </c:pt>
              </c:numCache>
            </c:numRef>
          </c:val>
          <c:extLst>
            <c:ext xmlns:c16="http://schemas.microsoft.com/office/drawing/2014/chart" uri="{C3380CC4-5D6E-409C-BE32-E72D297353CC}">
              <c16:uniqueId val="{00000000-6D3B-4C26-9F40-23A17C09BA20}"/>
            </c:ext>
          </c:extLst>
        </c:ser>
        <c:ser>
          <c:idx val="1"/>
          <c:order val="1"/>
          <c:spPr>
            <a:solidFill>
              <a:schemeClr val="accent2"/>
            </a:solidFill>
            <a:ln>
              <a:noFill/>
            </a:ln>
            <a:effectLst/>
          </c:spPr>
          <c:invertIfNegative val="0"/>
          <c:cat>
            <c:strRef>
              <c:f>'Copy of Sheet2'!$A$2:$A$22</c:f>
              <c:strCache>
                <c:ptCount val="21"/>
                <c:pt idx="0">
                  <c:v>Teory Building C</c:v>
                </c:pt>
                <c:pt idx="1">
                  <c:v>Building  Training Center (TC)</c:v>
                </c:pt>
                <c:pt idx="2">
                  <c:v> P3M Building  (E)</c:v>
                </c:pt>
                <c:pt idx="3">
                  <c:v>Library and Shipmart</c:v>
                </c:pt>
                <c:pt idx="4">
                  <c:v>Directorat Building  A</c:v>
                </c:pt>
                <c:pt idx="5">
                  <c:v>Building  B</c:v>
                </c:pt>
                <c:pt idx="6">
                  <c:v>Gedung Teleconference</c:v>
                </c:pt>
                <c:pt idx="7">
                  <c:v>Building  J</c:v>
                </c:pt>
                <c:pt idx="8">
                  <c:v>Building K</c:v>
                </c:pt>
                <c:pt idx="9">
                  <c:v>Workshop Reparation</c:v>
                </c:pt>
                <c:pt idx="10">
                  <c:v>Welding Workshop</c:v>
                </c:pt>
                <c:pt idx="11">
                  <c:v>Construction Workshop</c:v>
                </c:pt>
                <c:pt idx="12">
                  <c:v>CNC Workshop</c:v>
                </c:pt>
                <c:pt idx="13">
                  <c:v>Perkakas Workshop</c:v>
                </c:pt>
                <c:pt idx="14">
                  <c:v>Wood Workshop</c:v>
                </c:pt>
                <c:pt idx="15">
                  <c:v>Building P</c:v>
                </c:pt>
                <c:pt idx="16">
                  <c:v>Building M</c:v>
                </c:pt>
                <c:pt idx="17">
                  <c:v>Building N</c:v>
                </c:pt>
                <c:pt idx="18">
                  <c:v>Mosquito</c:v>
                </c:pt>
                <c:pt idx="19">
                  <c:v>Garden</c:v>
                </c:pt>
                <c:pt idx="20">
                  <c:v>Canteen</c:v>
                </c:pt>
              </c:strCache>
            </c:strRef>
          </c:cat>
          <c:val>
            <c:numRef>
              <c:f>'Copy of Sheet2'!$C$2:$C$22</c:f>
            </c:numRef>
          </c:val>
          <c:extLst>
            <c:ext xmlns:c16="http://schemas.microsoft.com/office/drawing/2014/chart" uri="{C3380CC4-5D6E-409C-BE32-E72D297353CC}">
              <c16:uniqueId val="{00000001-6D3B-4C26-9F40-23A17C09BA20}"/>
            </c:ext>
          </c:extLst>
        </c:ser>
        <c:ser>
          <c:idx val="2"/>
          <c:order val="2"/>
          <c:tx>
            <c:v>Carbon emission after mitigation(ton CO2/year)</c:v>
          </c:tx>
          <c:spPr>
            <a:solidFill>
              <a:schemeClr val="accent3"/>
            </a:solidFill>
            <a:ln>
              <a:noFill/>
            </a:ln>
            <a:effectLst/>
          </c:spPr>
          <c:invertIfNegative val="0"/>
          <c:cat>
            <c:strRef>
              <c:f>'Copy of Sheet2'!$A$2:$A$22</c:f>
              <c:strCache>
                <c:ptCount val="21"/>
                <c:pt idx="0">
                  <c:v>Teory Building C</c:v>
                </c:pt>
                <c:pt idx="1">
                  <c:v>Building  Training Center (TC)</c:v>
                </c:pt>
                <c:pt idx="2">
                  <c:v> P3M Building  (E)</c:v>
                </c:pt>
                <c:pt idx="3">
                  <c:v>Library and Shipmart</c:v>
                </c:pt>
                <c:pt idx="4">
                  <c:v>Directorat Building  A</c:v>
                </c:pt>
                <c:pt idx="5">
                  <c:v>Building  B</c:v>
                </c:pt>
                <c:pt idx="6">
                  <c:v>Gedung Teleconference</c:v>
                </c:pt>
                <c:pt idx="7">
                  <c:v>Building  J</c:v>
                </c:pt>
                <c:pt idx="8">
                  <c:v>Building K</c:v>
                </c:pt>
                <c:pt idx="9">
                  <c:v>Workshop Reparation</c:v>
                </c:pt>
                <c:pt idx="10">
                  <c:v>Welding Workshop</c:v>
                </c:pt>
                <c:pt idx="11">
                  <c:v>Construction Workshop</c:v>
                </c:pt>
                <c:pt idx="12">
                  <c:v>CNC Workshop</c:v>
                </c:pt>
                <c:pt idx="13">
                  <c:v>Perkakas Workshop</c:v>
                </c:pt>
                <c:pt idx="14">
                  <c:v>Wood Workshop</c:v>
                </c:pt>
                <c:pt idx="15">
                  <c:v>Building P</c:v>
                </c:pt>
                <c:pt idx="16">
                  <c:v>Building M</c:v>
                </c:pt>
                <c:pt idx="17">
                  <c:v>Building N</c:v>
                </c:pt>
                <c:pt idx="18">
                  <c:v>Mosquito</c:v>
                </c:pt>
                <c:pt idx="19">
                  <c:v>Garden</c:v>
                </c:pt>
                <c:pt idx="20">
                  <c:v>Canteen</c:v>
                </c:pt>
              </c:strCache>
            </c:strRef>
          </c:cat>
          <c:val>
            <c:numRef>
              <c:f>'Copy of Sheet2'!$D$2:$D$22</c:f>
              <c:numCache>
                <c:formatCode>0.0000</c:formatCode>
                <c:ptCount val="21"/>
                <c:pt idx="0">
                  <c:v>8.9943428743174098E-2</c:v>
                </c:pt>
                <c:pt idx="1">
                  <c:v>8.7441316827151117E-2</c:v>
                </c:pt>
                <c:pt idx="2">
                  <c:v>2.8935288962291271E-2</c:v>
                </c:pt>
                <c:pt idx="3">
                  <c:v>0.23905079075533958</c:v>
                </c:pt>
                <c:pt idx="4">
                  <c:v>8.0328903279111935E-2</c:v>
                </c:pt>
                <c:pt idx="5">
                  <c:v>7.5009830960269822E-2</c:v>
                </c:pt>
                <c:pt idx="6">
                  <c:v>1.9268210858714989E-2</c:v>
                </c:pt>
                <c:pt idx="7">
                  <c:v>0.23761616464769408</c:v>
                </c:pt>
                <c:pt idx="8">
                  <c:v>9.7440594500383282E-2</c:v>
                </c:pt>
                <c:pt idx="9">
                  <c:v>7.4025565156927181E-2</c:v>
                </c:pt>
                <c:pt idx="10">
                  <c:v>6.3422541780840919E-2</c:v>
                </c:pt>
                <c:pt idx="11">
                  <c:v>5.4010776633149696E-2</c:v>
                </c:pt>
                <c:pt idx="12">
                  <c:v>3.67021590606657E-2</c:v>
                </c:pt>
                <c:pt idx="13">
                  <c:v>3.0728201247771307E-2</c:v>
                </c:pt>
                <c:pt idx="14">
                  <c:v>5.1643048113001785E-2</c:v>
                </c:pt>
                <c:pt idx="15">
                  <c:v>5.5116992091908276E-2</c:v>
                </c:pt>
                <c:pt idx="16">
                  <c:v>0.13171414183326399</c:v>
                </c:pt>
                <c:pt idx="17">
                  <c:v>1.0529999893583102E-2</c:v>
                </c:pt>
                <c:pt idx="18">
                  <c:v>0.12565003532222144</c:v>
                </c:pt>
                <c:pt idx="19">
                  <c:v>0.15508742161626032</c:v>
                </c:pt>
                <c:pt idx="20">
                  <c:v>0.25708297915557732</c:v>
                </c:pt>
              </c:numCache>
            </c:numRef>
          </c:val>
          <c:extLst>
            <c:ext xmlns:c16="http://schemas.microsoft.com/office/drawing/2014/chart" uri="{C3380CC4-5D6E-409C-BE32-E72D297353CC}">
              <c16:uniqueId val="{00000002-6D3B-4C26-9F40-23A17C09BA20}"/>
            </c:ext>
          </c:extLst>
        </c:ser>
        <c:dLbls>
          <c:showLegendKey val="0"/>
          <c:showVal val="0"/>
          <c:showCatName val="0"/>
          <c:showSerName val="0"/>
          <c:showPercent val="0"/>
          <c:showBubbleSize val="0"/>
        </c:dLbls>
        <c:gapWidth val="182"/>
        <c:axId val="2118374319"/>
        <c:axId val="2118384879"/>
      </c:barChart>
      <c:catAx>
        <c:axId val="21183743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nstantia" panose="02030602050306030303" pitchFamily="18" charset="0"/>
                <a:ea typeface="+mn-ea"/>
                <a:cs typeface="+mn-cs"/>
              </a:defRPr>
            </a:pPr>
            <a:endParaRPr lang="en-US"/>
          </a:p>
        </c:txPr>
        <c:crossAx val="2118384879"/>
        <c:crosses val="autoZero"/>
        <c:auto val="1"/>
        <c:lblAlgn val="ctr"/>
        <c:lblOffset val="100"/>
        <c:noMultiLvlLbl val="0"/>
      </c:catAx>
      <c:valAx>
        <c:axId val="2118384879"/>
        <c:scaling>
          <c:orientation val="minMax"/>
        </c:scaling>
        <c:delete val="0"/>
        <c:axPos val="b"/>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onstantia" panose="02030602050306030303" pitchFamily="18" charset="0"/>
                <a:ea typeface="+mn-ea"/>
                <a:cs typeface="+mn-cs"/>
              </a:defRPr>
            </a:pPr>
            <a:endParaRPr lang="en-US"/>
          </a:p>
        </c:txPr>
        <c:crossAx val="2118374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onstantia" panose="02030602050306030303" pitchFamily="18"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Constantia" panose="02030602050306030303"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140A9-9414-486D-9B7A-596EC7A4D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12</Pages>
  <Words>5282</Words>
  <Characters>30108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auliadellacornellia@gmail.com</dc:creator>
  <cp:keywords/>
  <dc:description/>
  <cp:lastModifiedBy>Vivin Setiani</cp:lastModifiedBy>
  <cp:revision>13</cp:revision>
  <cp:lastPrinted>2025-08-07T06:07:00Z</cp:lastPrinted>
  <dcterms:created xsi:type="dcterms:W3CDTF">2025-12-08T14:38:00Z</dcterms:created>
  <dcterms:modified xsi:type="dcterms:W3CDTF">2025-12-08T16:05:00Z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a9caf38c-ec22-32c3-aeb3-5b82303fcd4b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