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3996A" w14:textId="10F12519" w:rsidR="00E01807" w:rsidRDefault="00E01807">
      <w:pPr>
        <w:spacing w:before="81" w:line="259" w:lineRule="auto"/>
        <w:ind w:left="172" w:right="192" w:firstLine="5"/>
        <w:jc w:val="center"/>
        <w:rPr>
          <w:b/>
          <w:sz w:val="28"/>
          <w:szCs w:val="32"/>
          <w:lang w:bidi="ar"/>
        </w:rPr>
      </w:pPr>
      <w:r>
        <w:rPr>
          <w:b/>
          <w:sz w:val="28"/>
          <w:szCs w:val="32"/>
          <w:lang w:bidi="ar"/>
        </w:rPr>
        <w:t>DETERMINANTS OF FINANCIAL STATEMENT FRAUD: TESTING THE FRAUD TRIANGLE THEORY, A STUDY OF PUBLIC COMPANIES LISTED ON THE INDONESIA STOCK EXCHANGE</w:t>
      </w:r>
    </w:p>
    <w:p w14:paraId="25552E8C" w14:textId="53132695" w:rsidR="001E51E8" w:rsidRPr="00E01807" w:rsidRDefault="001E51E8" w:rsidP="00E01807">
      <w:pPr>
        <w:spacing w:before="81" w:line="259" w:lineRule="auto"/>
        <w:ind w:left="172" w:right="192" w:firstLine="5"/>
        <w:rPr>
          <w:b/>
          <w:sz w:val="28"/>
          <w:szCs w:val="32"/>
          <w:lang w:bidi="ar"/>
        </w:rPr>
      </w:pPr>
      <w:r w:rsidRPr="001E51E8">
        <w:rPr>
          <w:b/>
          <w:sz w:val="28"/>
          <w:szCs w:val="32"/>
          <w:lang w:bidi="ar"/>
        </w:rPr>
        <w:t xml:space="preserve"> </w:t>
      </w:r>
    </w:p>
    <w:p w14:paraId="4B1D1D4A" w14:textId="36F97A8C" w:rsidR="00E01807" w:rsidRPr="00E01807" w:rsidRDefault="00E01807" w:rsidP="00E01807">
      <w:pPr>
        <w:pStyle w:val="Heading1"/>
        <w:spacing w:before="0" w:line="360" w:lineRule="auto"/>
        <w:ind w:left="2982" w:right="2999"/>
        <w:rPr>
          <w:w w:val="105"/>
          <w:sz w:val="20"/>
          <w:vertAlign w:val="superscript"/>
        </w:rPr>
      </w:pPr>
      <w:r w:rsidRPr="000524AB">
        <w:rPr>
          <w:w w:val="105"/>
          <w:sz w:val="20"/>
          <w:lang w:val="id"/>
        </w:rPr>
        <w:t>Musaroh</w:t>
      </w:r>
      <w:r w:rsidRPr="000524AB">
        <w:rPr>
          <w:w w:val="105"/>
          <w:sz w:val="20"/>
          <w:vertAlign w:val="superscript"/>
        </w:rPr>
        <w:t>1</w:t>
      </w:r>
    </w:p>
    <w:p w14:paraId="334DAA34" w14:textId="77777777" w:rsidR="00E01807" w:rsidRDefault="00E01807" w:rsidP="00E01807">
      <w:pPr>
        <w:pStyle w:val="Heading1"/>
        <w:spacing w:before="0" w:line="360" w:lineRule="auto"/>
        <w:ind w:left="2982" w:right="2999"/>
        <w:rPr>
          <w:w w:val="105"/>
          <w:sz w:val="20"/>
          <w:vertAlign w:val="superscript"/>
        </w:rPr>
      </w:pPr>
      <w:r w:rsidRPr="000524AB">
        <w:rPr>
          <w:w w:val="105"/>
          <w:sz w:val="20"/>
          <w:lang w:val="id"/>
        </w:rPr>
        <w:t>Nindya</w:t>
      </w:r>
      <w:r w:rsidRPr="000524AB">
        <w:rPr>
          <w:spacing w:val="-13"/>
          <w:w w:val="105"/>
          <w:sz w:val="20"/>
          <w:lang w:val="id"/>
        </w:rPr>
        <w:t xml:space="preserve"> </w:t>
      </w:r>
      <w:r w:rsidRPr="000524AB">
        <w:rPr>
          <w:w w:val="105"/>
          <w:sz w:val="20"/>
          <w:lang w:val="id"/>
        </w:rPr>
        <w:t>Nuriswati</w:t>
      </w:r>
      <w:r w:rsidRPr="000524AB">
        <w:rPr>
          <w:spacing w:val="-13"/>
          <w:w w:val="105"/>
          <w:sz w:val="20"/>
          <w:lang w:val="id"/>
        </w:rPr>
        <w:t xml:space="preserve"> </w:t>
      </w:r>
      <w:r w:rsidRPr="000524AB">
        <w:rPr>
          <w:w w:val="105"/>
          <w:sz w:val="20"/>
          <w:lang w:val="id"/>
        </w:rPr>
        <w:t>Laili</w:t>
      </w:r>
      <w:r w:rsidRPr="000524AB">
        <w:rPr>
          <w:w w:val="105"/>
          <w:sz w:val="20"/>
          <w:vertAlign w:val="superscript"/>
        </w:rPr>
        <w:t>2</w:t>
      </w:r>
    </w:p>
    <w:p w14:paraId="458BC062" w14:textId="1D60482B" w:rsidR="00E01807" w:rsidRDefault="00E01807">
      <w:pPr>
        <w:spacing w:before="117" w:line="256" w:lineRule="auto"/>
        <w:ind w:left="503" w:right="519" w:hanging="2"/>
        <w:jc w:val="center"/>
        <w:rPr>
          <w:b/>
          <w:w w:val="105"/>
          <w:sz w:val="20"/>
          <w:vertAlign w:val="superscript"/>
        </w:rPr>
      </w:pPr>
      <w:r w:rsidRPr="000524AB">
        <w:rPr>
          <w:b/>
          <w:w w:val="105"/>
          <w:sz w:val="20"/>
          <w:lang w:val="id"/>
        </w:rPr>
        <w:t>Mahendra Ryansa Gallen Gagah Pratama</w:t>
      </w:r>
      <w:r w:rsidRPr="000524AB">
        <w:rPr>
          <w:b/>
          <w:w w:val="105"/>
          <w:sz w:val="20"/>
          <w:vertAlign w:val="superscript"/>
        </w:rPr>
        <w:t>3</w:t>
      </w:r>
    </w:p>
    <w:p w14:paraId="11BD67ED" w14:textId="73E79671" w:rsidR="00E01807" w:rsidRDefault="00E01807">
      <w:pPr>
        <w:spacing w:before="117" w:line="256" w:lineRule="auto"/>
        <w:ind w:left="503" w:right="519" w:hanging="2"/>
        <w:jc w:val="center"/>
        <w:rPr>
          <w:b/>
          <w:w w:val="105"/>
          <w:sz w:val="20"/>
          <w:vertAlign w:val="superscript"/>
        </w:rPr>
      </w:pPr>
      <w:r w:rsidRPr="000524AB">
        <w:rPr>
          <w:b/>
          <w:w w:val="105"/>
          <w:sz w:val="20"/>
        </w:rPr>
        <w:t>Bintang Lazuardi Benteng Buana Muslim</w:t>
      </w:r>
      <w:r w:rsidRPr="000524AB">
        <w:rPr>
          <w:b/>
          <w:w w:val="105"/>
          <w:sz w:val="20"/>
          <w:vertAlign w:val="superscript"/>
        </w:rPr>
        <w:t>4</w:t>
      </w:r>
    </w:p>
    <w:p w14:paraId="25D20E34" w14:textId="0677B125" w:rsidR="00E01807" w:rsidRDefault="00E01807" w:rsidP="00E01807">
      <w:pPr>
        <w:spacing w:before="117" w:line="360" w:lineRule="auto"/>
        <w:ind w:left="503" w:right="519" w:hanging="2"/>
        <w:jc w:val="center"/>
        <w:rPr>
          <w:b/>
          <w:w w:val="105"/>
          <w:sz w:val="20"/>
          <w:vertAlign w:val="superscript"/>
        </w:rPr>
      </w:pPr>
      <w:r w:rsidRPr="000524AB">
        <w:rPr>
          <w:b/>
          <w:w w:val="105"/>
          <w:sz w:val="20"/>
          <w:lang w:val="id"/>
        </w:rPr>
        <w:t>Naning</w:t>
      </w:r>
      <w:r w:rsidRPr="000524AB">
        <w:rPr>
          <w:b/>
          <w:spacing w:val="-13"/>
          <w:w w:val="105"/>
          <w:sz w:val="20"/>
          <w:lang w:val="id"/>
        </w:rPr>
        <w:t xml:space="preserve"> </w:t>
      </w:r>
      <w:r w:rsidRPr="000524AB">
        <w:rPr>
          <w:b/>
          <w:w w:val="105"/>
          <w:sz w:val="20"/>
          <w:lang w:val="id"/>
        </w:rPr>
        <w:t>Margasari</w:t>
      </w:r>
      <w:r w:rsidRPr="000524AB">
        <w:rPr>
          <w:b/>
          <w:w w:val="105"/>
          <w:sz w:val="20"/>
          <w:vertAlign w:val="superscript"/>
        </w:rPr>
        <w:t>5</w:t>
      </w:r>
    </w:p>
    <w:p w14:paraId="5DB8568F" w14:textId="7A4DB419" w:rsidR="00E01807" w:rsidRPr="00E01807" w:rsidRDefault="00E01807" w:rsidP="00E01807">
      <w:pPr>
        <w:spacing w:line="360" w:lineRule="auto"/>
        <w:ind w:right="-46"/>
        <w:jc w:val="center"/>
        <w:rPr>
          <w:b/>
          <w:w w:val="105"/>
          <w:sz w:val="20"/>
        </w:rPr>
      </w:pPr>
      <w:r w:rsidRPr="000524AB">
        <w:rPr>
          <w:b/>
          <w:w w:val="105"/>
          <w:sz w:val="20"/>
        </w:rPr>
        <w:t>Helena Christia Deshed</w:t>
      </w:r>
      <w:r>
        <w:rPr>
          <w:b/>
          <w:w w:val="105"/>
          <w:sz w:val="20"/>
        </w:rPr>
        <w:t>iany</w:t>
      </w:r>
      <w:r w:rsidRPr="000524AB">
        <w:rPr>
          <w:b/>
          <w:w w:val="105"/>
          <w:sz w:val="20"/>
          <w:vertAlign w:val="superscript"/>
        </w:rPr>
        <w:t>6</w:t>
      </w:r>
    </w:p>
    <w:p w14:paraId="502AF684" w14:textId="6F57A1B5" w:rsidR="00B04F7B" w:rsidRDefault="00F01243">
      <w:pPr>
        <w:spacing w:before="117" w:line="256" w:lineRule="auto"/>
        <w:ind w:left="503" w:right="519" w:hanging="2"/>
        <w:jc w:val="center"/>
        <w:rPr>
          <w:b/>
          <w:sz w:val="16"/>
        </w:rPr>
      </w:pPr>
      <w:r>
        <w:rPr>
          <w:b/>
          <w:w w:val="105"/>
          <w:sz w:val="20"/>
        </w:rPr>
        <w:t xml:space="preserve">Management Department, </w:t>
      </w:r>
      <w:r w:rsidR="00E01807" w:rsidRPr="000524AB">
        <w:rPr>
          <w:b/>
          <w:w w:val="105"/>
          <w:sz w:val="20"/>
        </w:rPr>
        <w:t>Faculty of Economics and Business, Yogyakarta State University</w:t>
      </w:r>
      <w:r w:rsidR="001E51E8">
        <w:rPr>
          <w:b/>
          <w:position w:val="8"/>
          <w:sz w:val="16"/>
        </w:rPr>
        <w:t>1,2,</w:t>
      </w:r>
      <w:r w:rsidR="000256D4">
        <w:rPr>
          <w:b/>
          <w:position w:val="8"/>
          <w:sz w:val="16"/>
        </w:rPr>
        <w:t>3</w:t>
      </w:r>
      <w:r w:rsidR="00E01807">
        <w:rPr>
          <w:b/>
          <w:position w:val="8"/>
          <w:sz w:val="16"/>
        </w:rPr>
        <w:t>,4,5,6</w:t>
      </w:r>
      <w:r w:rsidR="000256D4">
        <w:rPr>
          <w:b/>
          <w:position w:val="8"/>
          <w:sz w:val="16"/>
        </w:rPr>
        <w:t xml:space="preserve"> </w:t>
      </w:r>
    </w:p>
    <w:p w14:paraId="1B4009C3" w14:textId="77777777" w:rsidR="00B04F7B" w:rsidRDefault="00B04F7B">
      <w:pPr>
        <w:pStyle w:val="BodyText"/>
        <w:rPr>
          <w:b/>
          <w:sz w:val="26"/>
        </w:rPr>
      </w:pPr>
    </w:p>
    <w:p w14:paraId="1602E97B" w14:textId="46F656DD" w:rsidR="00E01807" w:rsidRDefault="000256D4" w:rsidP="00E01807">
      <w:pPr>
        <w:jc w:val="center"/>
      </w:pPr>
      <w:r>
        <w:t>Ema</w:t>
      </w:r>
      <w:r w:rsidR="001E51E8">
        <w:t xml:space="preserve">il: </w:t>
      </w:r>
      <w:hyperlink r:id="rId9" w:history="1">
        <w:r w:rsidR="00E01807" w:rsidRPr="002B4532">
          <w:rPr>
            <w:rStyle w:val="Hyperlink"/>
          </w:rPr>
          <w:t>musaroh@uny.ac.id</w:t>
        </w:r>
        <w:r w:rsidR="00E01807" w:rsidRPr="002B4532">
          <w:rPr>
            <w:rStyle w:val="Hyperlink"/>
            <w:vertAlign w:val="superscript"/>
          </w:rPr>
          <w:t>1</w:t>
        </w:r>
      </w:hyperlink>
      <w:r w:rsidR="00E01807" w:rsidRPr="000524AB">
        <w:t>,</w:t>
      </w:r>
    </w:p>
    <w:p w14:paraId="1678A5C3" w14:textId="4550811F" w:rsidR="00E01807" w:rsidRDefault="00E01807" w:rsidP="00E01807">
      <w:pPr>
        <w:jc w:val="center"/>
      </w:pPr>
      <w:r w:rsidRPr="000524AB">
        <w:t xml:space="preserve"> </w:t>
      </w:r>
      <w:hyperlink r:id="rId10" w:history="1">
        <w:r w:rsidRPr="000524AB">
          <w:rPr>
            <w:color w:val="0000FF" w:themeColor="hyperlink"/>
            <w:u w:val="single"/>
            <w:lang w:val="id"/>
          </w:rPr>
          <w:t>nindya.nl@uny.ac.id</w:t>
        </w:r>
      </w:hyperlink>
      <w:r w:rsidRPr="000524AB">
        <w:rPr>
          <w:vertAlign w:val="superscript"/>
        </w:rPr>
        <w:t>2</w:t>
      </w:r>
      <w:r w:rsidRPr="000524AB">
        <w:t xml:space="preserve">, </w:t>
      </w:r>
      <w:hyperlink r:id="rId11" w:history="1">
        <w:r w:rsidRPr="002B4532">
          <w:rPr>
            <w:rStyle w:val="Hyperlink"/>
            <w:w w:val="105"/>
            <w:sz w:val="20"/>
          </w:rPr>
          <w:t>gallenpratama@uny.ac.id</w:t>
        </w:r>
        <w:r w:rsidRPr="002B4532">
          <w:rPr>
            <w:rStyle w:val="Hyperlink"/>
            <w:w w:val="105"/>
            <w:sz w:val="20"/>
            <w:vertAlign w:val="superscript"/>
          </w:rPr>
          <w:t>3</w:t>
        </w:r>
      </w:hyperlink>
      <w:r w:rsidRPr="000524AB">
        <w:rPr>
          <w:w w:val="105"/>
          <w:sz w:val="20"/>
        </w:rPr>
        <w:t>,</w:t>
      </w:r>
      <w:r w:rsidRPr="000524AB">
        <w:t xml:space="preserve"> </w:t>
      </w:r>
    </w:p>
    <w:p w14:paraId="256FEF55" w14:textId="5D0A1457" w:rsidR="00E01807" w:rsidRDefault="00C858C5" w:rsidP="00E01807">
      <w:pPr>
        <w:jc w:val="center"/>
      </w:pPr>
      <w:hyperlink r:id="rId12" w:history="1">
        <w:r w:rsidR="00E01807" w:rsidRPr="000524AB">
          <w:rPr>
            <w:color w:val="0000FF" w:themeColor="hyperlink"/>
            <w:u w:val="single"/>
          </w:rPr>
          <w:t>bintanglazuardi@uny.ac.id</w:t>
        </w:r>
      </w:hyperlink>
      <w:r w:rsidR="00E01807" w:rsidRPr="000524AB">
        <w:rPr>
          <w:vertAlign w:val="superscript"/>
        </w:rPr>
        <w:t>4</w:t>
      </w:r>
      <w:r w:rsidR="00E01807" w:rsidRPr="000524AB">
        <w:t xml:space="preserve">, </w:t>
      </w:r>
      <w:hyperlink r:id="rId13" w:history="1">
        <w:r w:rsidR="00E01807" w:rsidRPr="002B4532">
          <w:rPr>
            <w:rStyle w:val="Hyperlink"/>
          </w:rPr>
          <w:t>naning_m@uny.ac.id</w:t>
        </w:r>
        <w:r w:rsidR="00E01807" w:rsidRPr="002B4532">
          <w:rPr>
            <w:rStyle w:val="Hyperlink"/>
            <w:vertAlign w:val="superscript"/>
          </w:rPr>
          <w:t>5</w:t>
        </w:r>
      </w:hyperlink>
      <w:r w:rsidR="00E01807" w:rsidRPr="000524AB">
        <w:t>,</w:t>
      </w:r>
    </w:p>
    <w:p w14:paraId="744A898A" w14:textId="3C766791" w:rsidR="00E01807" w:rsidRDefault="00E01807" w:rsidP="00E01807">
      <w:pPr>
        <w:jc w:val="center"/>
        <w:rPr>
          <w:color w:val="0000FF" w:themeColor="hyperlink"/>
          <w:u w:val="single"/>
          <w:vertAlign w:val="superscript"/>
        </w:rPr>
      </w:pPr>
      <w:r w:rsidRPr="000524AB">
        <w:t xml:space="preserve"> </w:t>
      </w:r>
      <w:hyperlink r:id="rId14" w:history="1">
        <w:r w:rsidRPr="000524AB">
          <w:rPr>
            <w:color w:val="0000FF" w:themeColor="hyperlink"/>
            <w:u w:val="single"/>
          </w:rPr>
          <w:t>helenachristia.2022@student.uny.ac.id</w:t>
        </w:r>
        <w:r w:rsidRPr="000524AB">
          <w:rPr>
            <w:u w:val="single"/>
            <w:vertAlign w:val="superscript"/>
          </w:rPr>
          <w:t>6</w:t>
        </w:r>
      </w:hyperlink>
    </w:p>
    <w:p w14:paraId="02C32F39" w14:textId="6A8B6CAA" w:rsidR="00B04F7B" w:rsidRDefault="001E51E8">
      <w:pPr>
        <w:pStyle w:val="BodyText"/>
        <w:ind w:left="2983" w:right="3000"/>
        <w:jc w:val="center"/>
      </w:pPr>
      <w:r>
        <w:t xml:space="preserve"> </w:t>
      </w:r>
    </w:p>
    <w:p w14:paraId="20694E95" w14:textId="77777777" w:rsidR="00B04F7B" w:rsidRDefault="00B04F7B">
      <w:pPr>
        <w:pStyle w:val="BodyText"/>
        <w:spacing w:before="8"/>
        <w:rPr>
          <w:sz w:val="25"/>
        </w:rPr>
      </w:pPr>
    </w:p>
    <w:p w14:paraId="02F861E1" w14:textId="77777777" w:rsidR="00B04F7B" w:rsidRDefault="000256D4">
      <w:pPr>
        <w:pStyle w:val="Heading1"/>
        <w:spacing w:before="1"/>
        <w:ind w:left="2980" w:right="3000"/>
      </w:pPr>
      <w:r>
        <w:rPr>
          <w:color w:val="202020"/>
        </w:rPr>
        <w:t>Abstract</w:t>
      </w:r>
    </w:p>
    <w:p w14:paraId="0DCFAD9D" w14:textId="77777777" w:rsidR="00B04F7B" w:rsidRDefault="00B04F7B">
      <w:pPr>
        <w:pStyle w:val="BodyText"/>
        <w:spacing w:before="11"/>
        <w:rPr>
          <w:b/>
          <w:sz w:val="23"/>
        </w:rPr>
      </w:pPr>
    </w:p>
    <w:p w14:paraId="14E71A31" w14:textId="0F8D86F1" w:rsidR="00B04F7B" w:rsidRPr="00414BAE" w:rsidRDefault="00414BAE" w:rsidP="00F00147">
      <w:pPr>
        <w:ind w:right="113"/>
        <w:jc w:val="both"/>
        <w:rPr>
          <w:i/>
          <w:color w:val="202020"/>
          <w:sz w:val="24"/>
        </w:rPr>
      </w:pPr>
      <w:r w:rsidRPr="00414BAE">
        <w:rPr>
          <w:i/>
          <w:color w:val="202020"/>
          <w:sz w:val="24"/>
        </w:rPr>
        <w:t xml:space="preserve">      </w:t>
      </w:r>
      <w:r w:rsidR="00F00147">
        <w:rPr>
          <w:i/>
          <w:color w:val="202020"/>
          <w:sz w:val="24"/>
        </w:rPr>
        <w:t xml:space="preserve">   </w:t>
      </w:r>
      <w:r w:rsidRPr="00414BAE">
        <w:rPr>
          <w:i/>
          <w:color w:val="202020"/>
          <w:sz w:val="24"/>
        </w:rPr>
        <w:t>This study aims to provide empirical evidence on the determinants of financial statement fraud among public companies listed on the Indonesia Stock Exchange by testing the Fraud Triangle theory. A causal associative research design was employed, utilizing a purposive sample of 76 companies, comprising 38 fraud and 38 non-fraud firms. Data were analyzed using binary logistic regression. The findings reveal that external pressure, proxied by Debt to Total Assets, and internal pressure, proxied by Earnings Per Share, have a positive and significant effect on the probability of financial statement fraud. Conversely, internal control, proxied by the proportion of independent commissioners, significantly reduces the likelihood of fraud. However, rationalization, indicated by auditor and director turnover, does not show a significant impact. This study provides valuable insights by highlighting that excessive debt, ambitious financial targets, and weak board oversight are primary drivers of fraud. It emphasizes the critical role of independent commissioners in corporate governance and advises investors to scrutinize company fundamentals</w:t>
      </w:r>
      <w:r w:rsidR="002C159D">
        <w:rPr>
          <w:i/>
          <w:color w:val="202020"/>
          <w:sz w:val="24"/>
        </w:rPr>
        <w:t>.</w:t>
      </w:r>
      <w:bookmarkStart w:id="0" w:name="_GoBack"/>
      <w:bookmarkEnd w:id="0"/>
    </w:p>
    <w:p w14:paraId="00E48393" w14:textId="4208F3BB" w:rsidR="00B04F7B" w:rsidRDefault="00414BAE" w:rsidP="00F00147">
      <w:pPr>
        <w:spacing w:before="219"/>
        <w:ind w:left="1430" w:right="444" w:hanging="1430"/>
        <w:jc w:val="both"/>
        <w:rPr>
          <w:i/>
          <w:sz w:val="24"/>
        </w:rPr>
      </w:pPr>
      <w:r>
        <w:rPr>
          <w:i/>
          <w:color w:val="202020"/>
          <w:sz w:val="24"/>
        </w:rPr>
        <w:t>Keywords: Financial Statement Fraud</w:t>
      </w:r>
      <w:r w:rsidR="001E51E8" w:rsidRPr="001E51E8">
        <w:rPr>
          <w:i/>
          <w:color w:val="202020"/>
          <w:sz w:val="24"/>
        </w:rPr>
        <w:t>;</w:t>
      </w:r>
      <w:r w:rsidR="00020103">
        <w:rPr>
          <w:i/>
          <w:color w:val="202020"/>
          <w:sz w:val="24"/>
        </w:rPr>
        <w:t xml:space="preserve"> </w:t>
      </w:r>
      <w:r>
        <w:rPr>
          <w:i/>
          <w:color w:val="202020"/>
          <w:sz w:val="24"/>
        </w:rPr>
        <w:t>Fraud Triangle;</w:t>
      </w:r>
      <w:r w:rsidR="00020103">
        <w:rPr>
          <w:i/>
          <w:color w:val="202020"/>
          <w:sz w:val="24"/>
        </w:rPr>
        <w:t xml:space="preserve"> </w:t>
      </w:r>
      <w:r>
        <w:rPr>
          <w:i/>
          <w:color w:val="202020"/>
          <w:sz w:val="24"/>
        </w:rPr>
        <w:t>Opportunity;</w:t>
      </w:r>
      <w:r w:rsidR="00020103">
        <w:rPr>
          <w:i/>
          <w:color w:val="202020"/>
          <w:sz w:val="24"/>
        </w:rPr>
        <w:t xml:space="preserve"> </w:t>
      </w:r>
      <w:r>
        <w:rPr>
          <w:i/>
          <w:color w:val="202020"/>
          <w:sz w:val="24"/>
        </w:rPr>
        <w:t xml:space="preserve">Rationalization </w:t>
      </w:r>
    </w:p>
    <w:p w14:paraId="5998539A" w14:textId="77777777" w:rsidR="00B04F7B" w:rsidRDefault="00B04F7B">
      <w:pPr>
        <w:pStyle w:val="BodyText"/>
        <w:rPr>
          <w:i/>
          <w:sz w:val="20"/>
        </w:rPr>
      </w:pPr>
    </w:p>
    <w:p w14:paraId="43CC1370" w14:textId="77777777" w:rsidR="00B04F7B" w:rsidRDefault="00B04F7B">
      <w:pPr>
        <w:pStyle w:val="BodyText"/>
        <w:rPr>
          <w:i/>
          <w:sz w:val="20"/>
        </w:rPr>
      </w:pPr>
    </w:p>
    <w:p w14:paraId="0712827D" w14:textId="77777777" w:rsidR="00B04F7B" w:rsidRDefault="00B04F7B">
      <w:pPr>
        <w:pStyle w:val="BodyText"/>
        <w:rPr>
          <w:i/>
          <w:sz w:val="20"/>
        </w:rPr>
      </w:pPr>
    </w:p>
    <w:p w14:paraId="6C249DDE" w14:textId="77777777" w:rsidR="00B04F7B" w:rsidRDefault="00B04F7B">
      <w:pPr>
        <w:pStyle w:val="BodyText"/>
        <w:rPr>
          <w:i/>
          <w:sz w:val="20"/>
        </w:rPr>
      </w:pPr>
    </w:p>
    <w:p w14:paraId="53C95126" w14:textId="77777777" w:rsidR="00B04F7B" w:rsidRDefault="00B04F7B">
      <w:pPr>
        <w:rPr>
          <w:sz w:val="18"/>
        </w:rPr>
        <w:sectPr w:rsidR="00B04F7B">
          <w:headerReference w:type="default" r:id="rId15"/>
          <w:footerReference w:type="default" r:id="rId16"/>
          <w:type w:val="continuous"/>
          <w:pgSz w:w="11910" w:h="16840"/>
          <w:pgMar w:top="1340" w:right="1320" w:bottom="280" w:left="1340" w:header="730" w:footer="720" w:gutter="0"/>
          <w:cols w:space="720"/>
        </w:sectPr>
      </w:pPr>
    </w:p>
    <w:p w14:paraId="6D3AF040" w14:textId="77777777" w:rsidR="00B04F7B" w:rsidRDefault="001E51E8" w:rsidP="001E51E8">
      <w:pPr>
        <w:pStyle w:val="Heading1"/>
        <w:ind w:left="0"/>
        <w:jc w:val="left"/>
      </w:pPr>
      <w:r>
        <w:rPr>
          <w:color w:val="202020"/>
        </w:rPr>
        <w:lastRenderedPageBreak/>
        <w:t>INTRODUCTION</w:t>
      </w:r>
    </w:p>
    <w:p w14:paraId="091FB21A" w14:textId="2D9BE95A" w:rsidR="001E51E8" w:rsidRDefault="00906B16" w:rsidP="001E51E8">
      <w:pPr>
        <w:pStyle w:val="BodyText"/>
        <w:spacing w:before="120"/>
        <w:ind w:right="117" w:firstLine="567"/>
        <w:jc w:val="both"/>
      </w:pPr>
      <w:r w:rsidRPr="00906B16">
        <w:t>Public companies are obligated to disclose their annual financial performance to ensure public accountability and assist investors in decision-making. However, corporate financial management is highly susceptible to misconduct, particularly financial statement fraud. This type of fraud involves intentional deception, such as manipulating financial records, to benefit the perpetrators while misleading stakeholders and causing investors to make poor decisions. This issue is highly relevant among public companies listed on the Indonesia Stock Exchange, where non-compliance—such as the widespread delay in submitting financial reports to the Financial Services Authority—often serves as an early indicator of fraudulent behavior.</w:t>
      </w:r>
      <w:r w:rsidR="001E51E8">
        <w:t xml:space="preserve">. </w:t>
      </w:r>
    </w:p>
    <w:p w14:paraId="200043D3" w14:textId="4EE7953E" w:rsidR="00B04F7B" w:rsidRDefault="00906B16" w:rsidP="001E51E8">
      <w:pPr>
        <w:pStyle w:val="BodyText"/>
        <w:spacing w:before="120"/>
        <w:ind w:right="117" w:firstLine="567"/>
        <w:jc w:val="both"/>
      </w:pPr>
      <w:r w:rsidRPr="00906B16">
        <w:t>To understand the underlying causes of this misconduct, the study relies on the Fraud Triangle theory, which identifies three constant components of fraudulent behavior: pressure, opportunity, and rationalization. The research operationalizes these components using specific variables to explain financial statement fraud. Pressure is divided into internal demands, proxied by Earnings Per Share (EPS) targets, and external demands, proxied by the ratio of debt to total assets. Opportunity, which typically arises from weak oversight, is measured by the number of independent commissioners acting as internal controls. Finally, rationalization is proxied by the turnover of auditors and board directors</w:t>
      </w:r>
      <w:r w:rsidR="001E51E8">
        <w:t>.</w:t>
      </w:r>
    </w:p>
    <w:p w14:paraId="25554DC2" w14:textId="5C335997" w:rsidR="00906B16" w:rsidRDefault="00906B16" w:rsidP="001E51E8">
      <w:pPr>
        <w:pStyle w:val="BodyText"/>
        <w:spacing w:before="120"/>
        <w:ind w:right="117" w:firstLine="567"/>
        <w:jc w:val="both"/>
      </w:pPr>
      <w:r w:rsidRPr="00906B16">
        <w:t xml:space="preserve">The primary objective of this study is to find empirical evidence regarding how these three components—pressure, internal control (opportunity), and rationalization—affect the likelihood of financial statement fraud. To achieve this, the study analyzes a population of public companies listed on the Indonesia Stock Exchange using logistic regression. The </w:t>
      </w:r>
      <w:r w:rsidRPr="00906B16">
        <w:t>methodology compares two distinct groups: a sample of companies officially identified by the Financial Services Authority as having committed fraud, and a control group of non-fraud companies operating within similar industries. Through this approach, the research aims to clearly determine the impact of each variable on fraudulent financial reporting</w:t>
      </w:r>
    </w:p>
    <w:p w14:paraId="1436EDE6" w14:textId="1E3B95F7" w:rsidR="004B3CBB" w:rsidRPr="004B3CBB" w:rsidRDefault="001E51E8" w:rsidP="004B3CBB">
      <w:pPr>
        <w:pStyle w:val="BodyText"/>
        <w:spacing w:before="120"/>
        <w:ind w:right="117"/>
        <w:jc w:val="both"/>
        <w:rPr>
          <w:b/>
        </w:rPr>
      </w:pPr>
      <w:r w:rsidRPr="001E51E8">
        <w:rPr>
          <w:b/>
        </w:rPr>
        <w:t>LITERATURE REVIEW AND HYPOTHESES</w:t>
      </w:r>
    </w:p>
    <w:p w14:paraId="5CD24ADB" w14:textId="5C1B090C" w:rsidR="001E51E8" w:rsidRDefault="00703F71" w:rsidP="001E51E8">
      <w:pPr>
        <w:pStyle w:val="BodyText"/>
        <w:spacing w:before="120"/>
        <w:ind w:right="117" w:firstLine="567"/>
        <w:jc w:val="both"/>
      </w:pPr>
      <w:r w:rsidRPr="00703F71">
        <w:t>Fraud is fundamentally defined as a systematic, unfair, and intentional act of deception designed to gain personal benefits at the expense of others, such as shareholders or investors. It manifests in various ways and is generally classified into five specific categories: Occupational Fraud (committed by subordinates against superiors), Management Fraud (perpetrated by directors against stakeholders via false financial reporting), Investment Scams (deceiving passive investors), Vendor Fraud (overcharging or failing to deliver goods), and Customer Fraud (buyers falsely claiming issues with purchased products). Furthermore, the Association of Certified Fraud Examiners (ACFE) broadly groups these deceptive practices into three main categories: asset misappropriation, false statements, and corruption</w:t>
      </w:r>
      <w:r w:rsidR="001E51E8">
        <w:t xml:space="preserve">. </w:t>
      </w:r>
    </w:p>
    <w:p w14:paraId="0A8EACA5" w14:textId="0289845A" w:rsidR="001E51E8" w:rsidRDefault="00703F71" w:rsidP="001E51E8">
      <w:pPr>
        <w:pStyle w:val="BodyText"/>
        <w:spacing w:before="120"/>
        <w:ind w:right="117" w:firstLine="567"/>
        <w:jc w:val="both"/>
      </w:pPr>
      <w:r w:rsidRPr="00703F71">
        <w:t>To understand the underlying causes of these deceptive practices, several theoretical frameworks have been developed. The foundational model is the Fraud Triangle Theory, which asserts that financial statement fraud is driven by three main factors: pressure, opportunity, and rationalization (or the justification of the act). Building upon this concept, the Fraud Diamond Theory introduces a fourth essential element—capability or capacity. This advanced theory suggests that in addition to facing pressure, spotting an opportunity, and rationalizing the behavior, the perpetrator must also possess the specific skills, traits, and capacity required to successfully execute the fraud.</w:t>
      </w:r>
    </w:p>
    <w:p w14:paraId="1E81FDCD" w14:textId="2670BD3F" w:rsidR="001E51E8" w:rsidRDefault="004B3CBB" w:rsidP="0063385F">
      <w:pPr>
        <w:pStyle w:val="BodyText"/>
        <w:spacing w:before="120"/>
        <w:ind w:right="117"/>
        <w:jc w:val="both"/>
        <w:rPr>
          <w:b/>
        </w:rPr>
      </w:pPr>
      <w:r w:rsidRPr="004B3CBB">
        <w:rPr>
          <w:b/>
        </w:rPr>
        <w:lastRenderedPageBreak/>
        <w:t>The Effect of External Pressure Proxied by Debt to Total Assets on Financial Statement Fraud</w:t>
      </w:r>
    </w:p>
    <w:p w14:paraId="43865B14" w14:textId="485D1619" w:rsidR="005C7A25" w:rsidRDefault="005C7A25" w:rsidP="005C7A25">
      <w:pPr>
        <w:pStyle w:val="BodyText"/>
        <w:spacing w:before="120"/>
        <w:ind w:right="117"/>
        <w:jc w:val="both"/>
      </w:pPr>
      <w:r>
        <w:t xml:space="preserve">         </w:t>
      </w:r>
      <w:r w:rsidRPr="005C7A25">
        <w:t>Companies frequently face external pressure to demonstrate continuous profit growth, often requiring them to seek external debt when internal funds are insufficient for new investments. Because creditors only lend to financially healthy organizations, management faces a moral hazard and is incentivized to manipulate or misstate financial reports to secure funding. Consequently, external pressure has a direct, positive impact on the likelihood of corporate financial statement fraud.</w:t>
      </w:r>
    </w:p>
    <w:p w14:paraId="36258E15" w14:textId="11819172" w:rsidR="005C7A25" w:rsidRDefault="005C7A25" w:rsidP="005C7A25">
      <w:pPr>
        <w:pStyle w:val="BodyText"/>
        <w:spacing w:before="120"/>
        <w:ind w:left="660" w:right="117" w:hanging="660"/>
        <w:jc w:val="both"/>
      </w:pPr>
      <w:r w:rsidRPr="005C7A25">
        <w:t>Ha1: There is a positive effect of the external pressure variable on financial statement fraud</w:t>
      </w:r>
    </w:p>
    <w:p w14:paraId="29FB29E8" w14:textId="171E0C6D" w:rsidR="004B3CBB" w:rsidRDefault="004B3CBB" w:rsidP="004B3CBB">
      <w:pPr>
        <w:pStyle w:val="BodyText"/>
        <w:spacing w:before="120"/>
        <w:ind w:right="117"/>
        <w:jc w:val="both"/>
        <w:rPr>
          <w:b/>
          <w:bCs/>
        </w:rPr>
      </w:pPr>
      <w:r w:rsidRPr="004B3CBB">
        <w:rPr>
          <w:b/>
          <w:bCs/>
        </w:rPr>
        <w:t>The Effect of Financial Targets on Financial Statement Fraud</w:t>
      </w:r>
    </w:p>
    <w:p w14:paraId="76CF6B4A" w14:textId="3006EB33" w:rsidR="005C7A25" w:rsidRDefault="005C7A25" w:rsidP="004B3CBB">
      <w:pPr>
        <w:pStyle w:val="BodyText"/>
        <w:spacing w:before="120"/>
        <w:ind w:right="117"/>
        <w:jc w:val="both"/>
      </w:pPr>
      <w:r>
        <w:t xml:space="preserve">         </w:t>
      </w:r>
      <w:r w:rsidRPr="005C7A25">
        <w:t xml:space="preserve">Ambitious financial targets, typically measured by indicators like Earnings per Share (EPS), place significant psychological pressure on company management. When actual performance falls short of these early expectations, the desire for bonuses and the fear of dismissal </w:t>
      </w:r>
      <w:r>
        <w:t>create</w:t>
      </w:r>
      <w:r w:rsidRPr="005C7A25">
        <w:t xml:space="preserve"> strong incentives for management to manipulate financial reports. Consequently, higher financial targets directly increase the likelihood of financial statement fraud</w:t>
      </w:r>
      <w:r>
        <w:t>.</w:t>
      </w:r>
    </w:p>
    <w:p w14:paraId="1479C46B" w14:textId="2B7DECF6" w:rsidR="005C7A25" w:rsidRPr="005C7A25" w:rsidRDefault="005C7A25" w:rsidP="005C7A25">
      <w:pPr>
        <w:pStyle w:val="BodyText"/>
        <w:spacing w:before="120"/>
        <w:ind w:left="550" w:right="117" w:hanging="550"/>
        <w:jc w:val="both"/>
      </w:pPr>
      <w:r w:rsidRPr="005C7A25">
        <w:t>Ha2: Financial targets proxied by earnings per share have a positive effect on financial statement fraud</w:t>
      </w:r>
    </w:p>
    <w:p w14:paraId="633F2FC9" w14:textId="3F1E53FB" w:rsidR="004B3CBB" w:rsidRDefault="004B3CBB" w:rsidP="004B3CBB">
      <w:pPr>
        <w:pStyle w:val="BodyText"/>
        <w:spacing w:before="120"/>
        <w:ind w:right="117"/>
        <w:jc w:val="both"/>
        <w:rPr>
          <w:b/>
          <w:bCs/>
        </w:rPr>
      </w:pPr>
      <w:r w:rsidRPr="004B3CBB">
        <w:rPr>
          <w:b/>
          <w:bCs/>
        </w:rPr>
        <w:t>The Effect of Internal Control Proxied by the Number of Independent Commissioners on Financial Statement Fraud</w:t>
      </w:r>
    </w:p>
    <w:p w14:paraId="0988A7D8" w14:textId="0CAF3E7D" w:rsidR="005C7A25" w:rsidRDefault="005C7A25" w:rsidP="004B3CBB">
      <w:pPr>
        <w:pStyle w:val="BodyText"/>
        <w:spacing w:before="120"/>
        <w:ind w:right="117"/>
        <w:jc w:val="both"/>
      </w:pPr>
      <w:r>
        <w:t xml:space="preserve">         </w:t>
      </w:r>
      <w:r w:rsidRPr="005C7A25">
        <w:t xml:space="preserve">Weak supervision by a company's board of commissioners creates opportunities for management to engage in financial statement fraud, such as earnings management. Conversely, strict and effective oversight by an independent board can significantly minimize these </w:t>
      </w:r>
      <w:r w:rsidRPr="005C7A25">
        <w:t>deceptive practices. Therefore, a healthy board composition—specifically</w:t>
      </w:r>
      <w:r>
        <w:t>,</w:t>
      </w:r>
      <w:r w:rsidRPr="005C7A25">
        <w:t xml:space="preserve"> having a higher proportion of independent commissioners</w:t>
      </w:r>
      <w:r>
        <w:t xml:space="preserve"> harms</w:t>
      </w:r>
      <w:r w:rsidRPr="005C7A25">
        <w:t xml:space="preserve"> financial statement fraud, meaning it effectively reduces the likelihood of such misconduct.</w:t>
      </w:r>
    </w:p>
    <w:p w14:paraId="39FCEBBF" w14:textId="256EC441" w:rsidR="005C7A25" w:rsidRPr="005C7A25" w:rsidRDefault="005C7A25" w:rsidP="005C7A25">
      <w:pPr>
        <w:pStyle w:val="BodyText"/>
        <w:spacing w:before="120"/>
        <w:ind w:left="660" w:right="117" w:hanging="660"/>
        <w:jc w:val="both"/>
      </w:pPr>
      <w:r w:rsidRPr="005C7A25">
        <w:t>Ha3: The composition of the board of commissioners harms financial statement fraud</w:t>
      </w:r>
    </w:p>
    <w:p w14:paraId="764B1EF9" w14:textId="11A92557" w:rsidR="004B3CBB" w:rsidRPr="004B3CBB" w:rsidRDefault="004B3CBB" w:rsidP="004B3CBB">
      <w:pPr>
        <w:pStyle w:val="BodyText"/>
        <w:spacing w:before="120"/>
        <w:ind w:right="117"/>
        <w:jc w:val="both"/>
        <w:rPr>
          <w:b/>
          <w:bCs/>
        </w:rPr>
      </w:pPr>
      <w:r w:rsidRPr="004B3CBB">
        <w:rPr>
          <w:b/>
          <w:bCs/>
        </w:rPr>
        <w:t xml:space="preserve">The Effect of Rationalization on Financial Statement Fraud     </w:t>
      </w:r>
    </w:p>
    <w:p w14:paraId="6768A32C" w14:textId="34F8BD05" w:rsidR="004B3CBB" w:rsidRDefault="005C7A25" w:rsidP="004B3CBB">
      <w:pPr>
        <w:pStyle w:val="BodyText"/>
        <w:spacing w:before="120"/>
        <w:ind w:right="117"/>
        <w:jc w:val="both"/>
      </w:pPr>
      <w:r>
        <w:t xml:space="preserve">         </w:t>
      </w:r>
      <w:r w:rsidRPr="005C7A25">
        <w:t>Fraud perpetrators often rationalize their deliberate deception by frequently changing the company's board of directors and auditors. While ostensibly done to improve performance, this turnover is typically a tactic to replace uninvolved personnel and cover up past fraudulent practices. Consequently, a higher frequency of auditor and director turnover strongly indicates a greater incidence of fraud.</w:t>
      </w:r>
    </w:p>
    <w:p w14:paraId="4315A04A" w14:textId="77777777" w:rsidR="001E51E8" w:rsidRDefault="001E51E8" w:rsidP="001E51E8">
      <w:pPr>
        <w:pStyle w:val="BodyText"/>
        <w:spacing w:before="120"/>
        <w:ind w:right="117"/>
        <w:jc w:val="both"/>
        <w:rPr>
          <w:b/>
        </w:rPr>
      </w:pPr>
      <w:r w:rsidRPr="001E51E8">
        <w:rPr>
          <w:b/>
        </w:rPr>
        <w:t>METHODS</w:t>
      </w:r>
    </w:p>
    <w:p w14:paraId="2FB32182" w14:textId="5733CBD6" w:rsidR="001E51E8" w:rsidRDefault="005C7A25" w:rsidP="001E51E8">
      <w:pPr>
        <w:pStyle w:val="BodyText"/>
        <w:spacing w:before="120"/>
        <w:ind w:right="117" w:firstLine="567"/>
        <w:jc w:val="both"/>
      </w:pPr>
      <w:r w:rsidRPr="005C7A25">
        <w:t>This study employs a causal associative research design to examine the cause-and-effect relationship between specific independent variables and financial statement fraud. The research uses purposive sampling to select public companies listed on the Indonesia Stock Exchange. The sample is divided into two distinct groups: a target group of companies officially identified by the Financial Services Authority as having committed fraud (counted only once per company, even if fraud occurred in consecutive years), and a matched control group of non-fraudulent companies from the same industry and timeframe</w:t>
      </w:r>
      <w:r w:rsidR="001E51E8">
        <w:t>.</w:t>
      </w:r>
    </w:p>
    <w:p w14:paraId="36742620" w14:textId="308EA019" w:rsidR="005C7A25" w:rsidRDefault="005C7A25" w:rsidP="001E51E8">
      <w:pPr>
        <w:pStyle w:val="BodyText"/>
        <w:spacing w:before="120"/>
        <w:ind w:right="117" w:firstLine="567"/>
        <w:jc w:val="both"/>
      </w:pPr>
      <w:r w:rsidRPr="005C7A25">
        <w:t>The analysis uses a dichotomous model where the dependent variable, Financial Statement Fraud, is measured as a dummy variable (1 for companies that committed fraud, 0 for those that did not). The independent variables are structured around the Fraud Triangle theory</w:t>
      </w:r>
      <w:r>
        <w:t>:</w:t>
      </w:r>
    </w:p>
    <w:p w14:paraId="6AA0BDB7" w14:textId="030E1E2B" w:rsidR="005C7A25" w:rsidRDefault="005C7A25" w:rsidP="00F00147">
      <w:pPr>
        <w:pStyle w:val="BodyText"/>
        <w:numPr>
          <w:ilvl w:val="0"/>
          <w:numId w:val="6"/>
        </w:numPr>
        <w:spacing w:before="120"/>
        <w:ind w:left="330" w:right="117" w:hanging="330"/>
        <w:jc w:val="both"/>
      </w:pPr>
      <w:r w:rsidRPr="005C7A25">
        <w:t xml:space="preserve">Pressure: Divided into external pressure </w:t>
      </w:r>
      <w:r w:rsidRPr="005C7A25">
        <w:lastRenderedPageBreak/>
        <w:t>(measured by Debt to Total Assets) and internal financial targets (measured by Earnings per Share/EPS).</w:t>
      </w:r>
    </w:p>
    <w:p w14:paraId="4FA81A15" w14:textId="09106621" w:rsidR="005C7A25" w:rsidRDefault="00F00147" w:rsidP="00F00147">
      <w:pPr>
        <w:pStyle w:val="BodyText"/>
        <w:numPr>
          <w:ilvl w:val="0"/>
          <w:numId w:val="6"/>
        </w:numPr>
        <w:spacing w:before="120"/>
        <w:ind w:left="330" w:right="117" w:hanging="330"/>
        <w:jc w:val="both"/>
      </w:pPr>
      <w:r w:rsidRPr="00F00147">
        <w:t>Opportunity: Measured by the composition of the board of commissioners</w:t>
      </w:r>
      <w:r>
        <w:t>.</w:t>
      </w:r>
    </w:p>
    <w:p w14:paraId="552AB14A" w14:textId="5A71C574" w:rsidR="00F00147" w:rsidRDefault="00F00147" w:rsidP="00F00147">
      <w:pPr>
        <w:pStyle w:val="BodyText"/>
        <w:numPr>
          <w:ilvl w:val="0"/>
          <w:numId w:val="6"/>
        </w:numPr>
        <w:spacing w:before="120"/>
        <w:ind w:left="330" w:right="117" w:hanging="330"/>
        <w:jc w:val="both"/>
      </w:pPr>
      <w:r w:rsidRPr="00F00147">
        <w:t>Rationalization: Measured as a dummy variable (1 if there were changes in the board of directors or auditors during the period, and 0 if there were no changes)</w:t>
      </w:r>
      <w:r>
        <w:t>.</w:t>
      </w:r>
    </w:p>
    <w:p w14:paraId="59B0E5DB" w14:textId="5DD933C6" w:rsidR="00F00147" w:rsidRDefault="002F370F" w:rsidP="00F00147">
      <w:pPr>
        <w:pStyle w:val="BodyText"/>
        <w:spacing w:before="120"/>
        <w:ind w:right="117"/>
        <w:jc w:val="both"/>
      </w:pPr>
      <w:r>
        <w:t xml:space="preserve">         </w:t>
      </w:r>
      <w:r w:rsidRPr="002F370F">
        <w:t>To process this data, the study utilizes a Dichotomous Response Model solved through Binary Logistic Regression. This technique is specifically designed to predict group membership—in this case, categorizing companies into fraud or non-fraud groups. Logistic regression was chosen due to its high flexibility:</w:t>
      </w:r>
    </w:p>
    <w:p w14:paraId="08F83682" w14:textId="77777777" w:rsidR="002F370F" w:rsidRDefault="002F370F" w:rsidP="002F370F">
      <w:pPr>
        <w:pStyle w:val="BodyText"/>
        <w:numPr>
          <w:ilvl w:val="0"/>
          <w:numId w:val="7"/>
        </w:numPr>
        <w:spacing w:before="120"/>
        <w:ind w:left="330" w:right="117" w:hanging="330"/>
        <w:jc w:val="both"/>
      </w:pPr>
      <w:r w:rsidRPr="002F370F">
        <w:t>It does not require the independent variables to be normally distributed, linear, or have equal variance</w:t>
      </w:r>
      <w:r>
        <w:t>.</w:t>
      </w:r>
    </w:p>
    <w:p w14:paraId="27304175" w14:textId="77777777" w:rsidR="002F370F" w:rsidRDefault="002F370F" w:rsidP="002F370F">
      <w:pPr>
        <w:pStyle w:val="BodyText"/>
        <w:numPr>
          <w:ilvl w:val="0"/>
          <w:numId w:val="7"/>
        </w:numPr>
        <w:spacing w:before="120"/>
        <w:ind w:left="330" w:right="117" w:hanging="330"/>
        <w:jc w:val="both"/>
      </w:pPr>
      <w:r w:rsidRPr="002F370F">
        <w:t>It can easily handle a mixture of continuous, discrete, and dichotomous independent variables</w:t>
      </w:r>
      <w:r>
        <w:t>.</w:t>
      </w:r>
    </w:p>
    <w:p w14:paraId="57162D8A" w14:textId="5D3ACCA4" w:rsidR="002F370F" w:rsidRDefault="002F370F" w:rsidP="002F370F">
      <w:pPr>
        <w:pStyle w:val="BodyText"/>
        <w:numPr>
          <w:ilvl w:val="0"/>
          <w:numId w:val="7"/>
        </w:numPr>
        <w:spacing w:before="120"/>
        <w:ind w:left="330" w:right="117" w:hanging="330"/>
        <w:jc w:val="both"/>
      </w:pPr>
      <w:r w:rsidRPr="002F370F">
        <w:t>It is highly effective when the relationship between the dependent and independent variables is expected to be nonlinear</w:t>
      </w:r>
      <w:r>
        <w:t>.</w:t>
      </w:r>
    </w:p>
    <w:p w14:paraId="56C1CBA3" w14:textId="77777777" w:rsidR="002F370F" w:rsidRDefault="002F370F" w:rsidP="002F370F">
      <w:pPr>
        <w:pStyle w:val="BodyText"/>
        <w:spacing w:before="120"/>
        <w:ind w:right="117"/>
        <w:jc w:val="both"/>
      </w:pPr>
      <w:r>
        <w:t>In general, the logistic regression model can be expressed in the following equation:</w:t>
      </w:r>
    </w:p>
    <w:p w14:paraId="63AE15F0" w14:textId="0732205D" w:rsidR="002F370F" w:rsidRDefault="002F370F" w:rsidP="002F370F">
      <w:pPr>
        <w:pStyle w:val="BodyText"/>
        <w:spacing w:before="120"/>
        <w:ind w:right="117"/>
        <w:jc w:val="center"/>
      </w:pPr>
      <w:r>
        <w:t>Yi: eu / 1+eu</w:t>
      </w:r>
    </w:p>
    <w:p w14:paraId="288C7D58" w14:textId="77777777" w:rsidR="002F370F" w:rsidRDefault="002F370F" w:rsidP="002F370F">
      <w:pPr>
        <w:pStyle w:val="BodyText"/>
        <w:spacing w:before="120"/>
        <w:ind w:right="117"/>
        <w:jc w:val="both"/>
      </w:pPr>
      <w:r>
        <w:t>Where Yi is the estimated probability with 4 cases, and u is the ordinary regression equation.</w:t>
      </w:r>
    </w:p>
    <w:p w14:paraId="33C98ED0" w14:textId="746F8BE0" w:rsidR="002F370F" w:rsidRDefault="002F370F" w:rsidP="002F370F">
      <w:pPr>
        <w:pStyle w:val="BodyText"/>
        <w:spacing w:before="120"/>
        <w:ind w:right="117"/>
        <w:jc w:val="center"/>
      </w:pPr>
      <w:r>
        <w:t>U: α + β1DTA+ β2EPS+ β3KI+ β4 PA+ β4 PD + ei</w:t>
      </w:r>
    </w:p>
    <w:p w14:paraId="5A498B74" w14:textId="77777777" w:rsidR="002F370F" w:rsidRDefault="002F370F" w:rsidP="002F370F">
      <w:pPr>
        <w:pStyle w:val="BodyText"/>
        <w:spacing w:before="120"/>
        <w:ind w:right="117"/>
      </w:pPr>
      <w:r>
        <w:t>Description:</w:t>
      </w:r>
    </w:p>
    <w:p w14:paraId="5277BFC6" w14:textId="648609AD" w:rsidR="002F370F" w:rsidRDefault="002F370F" w:rsidP="002F370F">
      <w:pPr>
        <w:pStyle w:val="BodyText"/>
        <w:spacing w:before="120"/>
        <w:ind w:left="770" w:right="117" w:hanging="770"/>
        <w:jc w:val="both"/>
      </w:pPr>
      <w:r>
        <w:t xml:space="preserve">Yi   = Financial Statement Fraud. This variable is measured using a dummy variable, where a value of 1 is given to companies that commit financial statement fraud, while a value of 0) is given to </w:t>
      </w:r>
      <w:r>
        <w:t>companies that do not engage in financial statement fraud.</w:t>
      </w:r>
    </w:p>
    <w:p w14:paraId="5704F894" w14:textId="77777777" w:rsidR="002F370F" w:rsidRDefault="002F370F" w:rsidP="002F370F">
      <w:pPr>
        <w:pStyle w:val="BodyText"/>
        <w:spacing w:before="120"/>
        <w:ind w:left="770" w:right="117" w:hanging="770"/>
        <w:jc w:val="both"/>
      </w:pPr>
      <w:r>
        <w:t>DTA = External Pressure Variable proxied by Debt to Total Assets</w:t>
      </w:r>
    </w:p>
    <w:p w14:paraId="74C123F3" w14:textId="4B9617D3" w:rsidR="002F370F" w:rsidRDefault="002F370F" w:rsidP="002F370F">
      <w:pPr>
        <w:pStyle w:val="BodyText"/>
        <w:spacing w:before="120"/>
        <w:ind w:left="660" w:right="117" w:hanging="660"/>
        <w:jc w:val="both"/>
      </w:pPr>
      <w:r>
        <w:t>EPS = Internal Pressure Variable in the form of Financial Targets, proxied by EPS</w:t>
      </w:r>
    </w:p>
    <w:p w14:paraId="308D077B" w14:textId="77777777" w:rsidR="002F370F" w:rsidRDefault="002F370F" w:rsidP="004D1587">
      <w:pPr>
        <w:pStyle w:val="BodyText"/>
        <w:spacing w:before="120"/>
        <w:ind w:left="770" w:right="117" w:hanging="770"/>
        <w:jc w:val="both"/>
      </w:pPr>
      <w:r>
        <w:t>KI     = Internal Oversight Variable proxied by Independent Commissioners</w:t>
      </w:r>
    </w:p>
    <w:p w14:paraId="2D64CA3C" w14:textId="77777777" w:rsidR="002F370F" w:rsidRDefault="002F370F" w:rsidP="004D1587">
      <w:pPr>
        <w:pStyle w:val="BodyText"/>
        <w:spacing w:before="120"/>
        <w:ind w:left="660" w:right="117" w:hanging="660"/>
        <w:jc w:val="both"/>
      </w:pPr>
      <w:r>
        <w:t>PA    = Rationalization Variable proxied by Auditor Replacement</w:t>
      </w:r>
    </w:p>
    <w:p w14:paraId="7655FBAB" w14:textId="5A670BC7" w:rsidR="002F370F" w:rsidRDefault="002F370F" w:rsidP="004D1587">
      <w:pPr>
        <w:pStyle w:val="BodyText"/>
        <w:spacing w:before="120"/>
        <w:ind w:left="660" w:right="117" w:hanging="660"/>
        <w:jc w:val="both"/>
      </w:pPr>
      <w:r>
        <w:t>PD    = Rationalization Variable proxied by Board of Directors Replacement</w:t>
      </w:r>
    </w:p>
    <w:p w14:paraId="3E3BC67B" w14:textId="5CF8B073" w:rsidR="007F58F4" w:rsidRDefault="007F58F4" w:rsidP="004D1587">
      <w:pPr>
        <w:pStyle w:val="BodyText"/>
        <w:spacing w:before="120"/>
        <w:ind w:right="117"/>
        <w:jc w:val="both"/>
        <w:rPr>
          <w:b/>
          <w:bCs/>
        </w:rPr>
      </w:pPr>
      <w:r w:rsidRPr="007F58F4">
        <w:rPr>
          <w:b/>
          <w:bCs/>
        </w:rPr>
        <w:t>Goodness of Fit Model Logistic</w:t>
      </w:r>
      <w:r w:rsidR="004E4AA1">
        <w:rPr>
          <w:b/>
          <w:bCs/>
        </w:rPr>
        <w:t xml:space="preserve"> Regression</w:t>
      </w:r>
      <w:r w:rsidRPr="007F58F4">
        <w:rPr>
          <w:b/>
          <w:bCs/>
        </w:rPr>
        <w:t xml:space="preserve"> Test</w:t>
      </w:r>
    </w:p>
    <w:p w14:paraId="60C27B86" w14:textId="5F5162B7" w:rsidR="007F58F4" w:rsidRDefault="007F58F4" w:rsidP="004D1587">
      <w:pPr>
        <w:pStyle w:val="ListParagraph"/>
        <w:numPr>
          <w:ilvl w:val="0"/>
          <w:numId w:val="8"/>
        </w:numPr>
        <w:ind w:left="330" w:hanging="330"/>
        <w:jc w:val="both"/>
        <w:rPr>
          <w:b/>
          <w:bCs/>
          <w:sz w:val="24"/>
          <w:szCs w:val="24"/>
        </w:rPr>
      </w:pPr>
      <w:r w:rsidRPr="007F58F4">
        <w:rPr>
          <w:b/>
          <w:bCs/>
          <w:sz w:val="24"/>
          <w:szCs w:val="24"/>
        </w:rPr>
        <w:t>Hosmer and Lemeshow’s Test</w:t>
      </w:r>
    </w:p>
    <w:p w14:paraId="61DFC1D6" w14:textId="00D269B5" w:rsidR="007F58F4" w:rsidRPr="007F58F4" w:rsidRDefault="007F58F4" w:rsidP="004D1587">
      <w:pPr>
        <w:pStyle w:val="ListParagraph"/>
        <w:ind w:left="330"/>
        <w:jc w:val="both"/>
        <w:rPr>
          <w:sz w:val="24"/>
          <w:szCs w:val="24"/>
        </w:rPr>
      </w:pPr>
      <w:r>
        <w:rPr>
          <w:b/>
          <w:bCs/>
          <w:sz w:val="24"/>
          <w:szCs w:val="24"/>
        </w:rPr>
        <w:t xml:space="preserve">      </w:t>
      </w:r>
      <w:r w:rsidRPr="007F58F4">
        <w:rPr>
          <w:sz w:val="24"/>
          <w:szCs w:val="24"/>
        </w:rPr>
        <w:t xml:space="preserve">   Assessing the suitability of the regression model from Hosmer and Lemeshow, with the hypothesis:</w:t>
      </w:r>
    </w:p>
    <w:p w14:paraId="601C0F8B" w14:textId="77777777" w:rsidR="007F58F4" w:rsidRPr="007F58F4" w:rsidRDefault="007F58F4" w:rsidP="004D1587">
      <w:pPr>
        <w:pStyle w:val="ListParagraph"/>
        <w:ind w:left="770" w:hanging="440"/>
        <w:jc w:val="both"/>
        <w:rPr>
          <w:sz w:val="24"/>
          <w:szCs w:val="24"/>
        </w:rPr>
      </w:pPr>
      <w:r w:rsidRPr="007F58F4">
        <w:rPr>
          <w:sz w:val="24"/>
          <w:szCs w:val="24"/>
        </w:rPr>
        <w:t>Ho: The hypothesized model does not fit the data.</w:t>
      </w:r>
    </w:p>
    <w:p w14:paraId="31CF0137" w14:textId="77777777" w:rsidR="004D1587" w:rsidRDefault="007F58F4" w:rsidP="004D1587">
      <w:pPr>
        <w:pStyle w:val="ListParagraph"/>
        <w:ind w:left="770" w:hanging="440"/>
        <w:jc w:val="both"/>
        <w:rPr>
          <w:sz w:val="24"/>
          <w:szCs w:val="24"/>
        </w:rPr>
      </w:pPr>
      <w:r w:rsidRPr="007F58F4">
        <w:rPr>
          <w:sz w:val="24"/>
          <w:szCs w:val="24"/>
        </w:rPr>
        <w:t>Ha: The hypothesized model fits the data.</w:t>
      </w:r>
    </w:p>
    <w:p w14:paraId="50450183" w14:textId="72F7DE0E" w:rsidR="007F58F4" w:rsidRPr="004D1587" w:rsidRDefault="004D1587" w:rsidP="004D1587">
      <w:pPr>
        <w:pStyle w:val="ListParagraph"/>
        <w:ind w:left="330"/>
        <w:jc w:val="both"/>
        <w:rPr>
          <w:sz w:val="24"/>
          <w:szCs w:val="24"/>
        </w:rPr>
      </w:pPr>
      <w:r>
        <w:rPr>
          <w:sz w:val="24"/>
          <w:szCs w:val="24"/>
        </w:rPr>
        <w:t xml:space="preserve">         </w:t>
      </w:r>
      <w:r w:rsidR="007F58F4" w:rsidRPr="004D1587">
        <w:rPr>
          <w:sz w:val="24"/>
          <w:szCs w:val="24"/>
        </w:rPr>
        <w:t>The goodness of fit test value is measured by the chi-square value at the bottom of the Hosmer and Lemeshow test. If the probability is ≥ 0.05, then Ha is accepted, and Ho is rejected, which means that the hypothesized model fits the data or there is no significant difference between the model and the data. If the probability is &lt; 0.05, then Ha is rejected and Ho is accepted, which means that the proposed model does not fit the data, or, in other words, there is a significant difference between the hypothesized model and the data.</w:t>
      </w:r>
    </w:p>
    <w:p w14:paraId="5E9DB6A4" w14:textId="77777777" w:rsidR="004D1587" w:rsidRDefault="007F58F4" w:rsidP="004D1587">
      <w:pPr>
        <w:pStyle w:val="ListParagraph"/>
        <w:numPr>
          <w:ilvl w:val="0"/>
          <w:numId w:val="8"/>
        </w:numPr>
        <w:ind w:left="440" w:hanging="330"/>
        <w:jc w:val="both"/>
        <w:rPr>
          <w:b/>
          <w:bCs/>
          <w:sz w:val="24"/>
          <w:szCs w:val="24"/>
        </w:rPr>
      </w:pPr>
      <w:r w:rsidRPr="007F58F4">
        <w:rPr>
          <w:b/>
          <w:bCs/>
          <w:sz w:val="24"/>
          <w:szCs w:val="24"/>
        </w:rPr>
        <w:t>Assessing Overall Model Fit</w:t>
      </w:r>
    </w:p>
    <w:p w14:paraId="59CD0591" w14:textId="1463AFBA" w:rsidR="007F58F4" w:rsidRPr="004D1587" w:rsidRDefault="004D1587" w:rsidP="004D1587">
      <w:pPr>
        <w:pStyle w:val="ListParagraph"/>
        <w:tabs>
          <w:tab w:val="left" w:pos="880"/>
        </w:tabs>
        <w:ind w:left="440"/>
        <w:jc w:val="both"/>
        <w:rPr>
          <w:b/>
          <w:bCs/>
          <w:sz w:val="24"/>
          <w:szCs w:val="24"/>
        </w:rPr>
      </w:pPr>
      <w:r>
        <w:rPr>
          <w:b/>
          <w:bCs/>
          <w:sz w:val="24"/>
          <w:szCs w:val="24"/>
        </w:rPr>
        <w:t xml:space="preserve">        </w:t>
      </w:r>
      <w:r w:rsidR="007F58F4" w:rsidRPr="004D1587">
        <w:rPr>
          <w:sz w:val="24"/>
          <w:szCs w:val="24"/>
        </w:rPr>
        <w:t xml:space="preserve">Assessing the overall model fit is conducted using three main tests. First, the Nagelkerke R Square test, which functions similarly to the R² value in multiple regression with a range from 0 to 1, is used to determine how much the combination of independent variables can explain the dependent variable. Second, the Log Likelihood test serves a similar purpose to the "sum of squared </w:t>
      </w:r>
      <w:r w:rsidR="007F58F4" w:rsidRPr="004D1587">
        <w:rPr>
          <w:sz w:val="24"/>
          <w:szCs w:val="24"/>
        </w:rPr>
        <w:lastRenderedPageBreak/>
        <w:t>errors" in standard regression models, where a decrease in its value indicates a well-fitting model. Finally, the G test is utilized to determine the model's feasibility; if the significance level of the test result is 0.05 (5%) or less, the model is considered feasible to proceed because it demonstrates that at least one independent variable significantly affects the dependent variable.</w:t>
      </w:r>
    </w:p>
    <w:p w14:paraId="0B031CAD" w14:textId="77777777" w:rsidR="004D1587" w:rsidRDefault="007F58F4" w:rsidP="004D1587">
      <w:pPr>
        <w:pStyle w:val="ListParagraph"/>
        <w:numPr>
          <w:ilvl w:val="0"/>
          <w:numId w:val="8"/>
        </w:numPr>
        <w:ind w:left="330" w:hanging="330"/>
        <w:jc w:val="both"/>
        <w:rPr>
          <w:b/>
          <w:bCs/>
          <w:sz w:val="24"/>
          <w:szCs w:val="24"/>
        </w:rPr>
      </w:pPr>
      <w:r w:rsidRPr="007F58F4">
        <w:rPr>
          <w:b/>
          <w:bCs/>
          <w:sz w:val="24"/>
          <w:szCs w:val="24"/>
        </w:rPr>
        <w:t>Testing the Accuracy of Research Model Classification</w:t>
      </w:r>
    </w:p>
    <w:p w14:paraId="34F6ED76" w14:textId="460F3D7A" w:rsidR="007F58F4" w:rsidRPr="004D1587" w:rsidRDefault="004D1587" w:rsidP="004D1587">
      <w:pPr>
        <w:pStyle w:val="ListParagraph"/>
        <w:ind w:left="330"/>
        <w:jc w:val="both"/>
        <w:rPr>
          <w:b/>
          <w:bCs/>
          <w:sz w:val="24"/>
          <w:szCs w:val="24"/>
        </w:rPr>
      </w:pPr>
      <w:r>
        <w:rPr>
          <w:sz w:val="24"/>
          <w:szCs w:val="24"/>
        </w:rPr>
        <w:t xml:space="preserve">         </w:t>
      </w:r>
      <w:r w:rsidR="007F58F4" w:rsidRPr="004D1587">
        <w:rPr>
          <w:sz w:val="24"/>
          <w:szCs w:val="24"/>
        </w:rPr>
        <w:t>Classification accuracy testing is used to determine the accuracy level of research model predictions regarding the behavior of dependent variables, which in this case is the Financial Statement Fraud variable.</w:t>
      </w:r>
    </w:p>
    <w:p w14:paraId="572C0DB9" w14:textId="77777777" w:rsidR="004D1587" w:rsidRDefault="007F58F4" w:rsidP="004D1587">
      <w:pPr>
        <w:pStyle w:val="ListParagraph"/>
        <w:numPr>
          <w:ilvl w:val="0"/>
          <w:numId w:val="8"/>
        </w:numPr>
        <w:ind w:left="330" w:hanging="330"/>
        <w:rPr>
          <w:b/>
          <w:bCs/>
          <w:sz w:val="24"/>
          <w:szCs w:val="24"/>
        </w:rPr>
      </w:pPr>
      <w:r>
        <w:rPr>
          <w:b/>
          <w:bCs/>
          <w:sz w:val="24"/>
          <w:szCs w:val="24"/>
        </w:rPr>
        <w:t>Wald Te</w:t>
      </w:r>
      <w:r w:rsidR="004D1587">
        <w:rPr>
          <w:b/>
          <w:bCs/>
          <w:sz w:val="24"/>
          <w:szCs w:val="24"/>
        </w:rPr>
        <w:t>st</w:t>
      </w:r>
    </w:p>
    <w:p w14:paraId="082E3727" w14:textId="70440AE6" w:rsidR="007F58F4" w:rsidRPr="004D1587" w:rsidRDefault="004D1587" w:rsidP="004D1587">
      <w:pPr>
        <w:pStyle w:val="ListParagraph"/>
        <w:ind w:left="330"/>
        <w:jc w:val="both"/>
        <w:rPr>
          <w:b/>
          <w:bCs/>
          <w:sz w:val="24"/>
          <w:szCs w:val="24"/>
        </w:rPr>
      </w:pPr>
      <w:r>
        <w:rPr>
          <w:b/>
          <w:bCs/>
          <w:sz w:val="24"/>
          <w:szCs w:val="24"/>
        </w:rPr>
        <w:t xml:space="preserve">         </w:t>
      </w:r>
      <w:r w:rsidR="007F58F4" w:rsidRPr="004D1587">
        <w:rPr>
          <w:sz w:val="24"/>
          <w:szCs w:val="24"/>
        </w:rPr>
        <w:t>This test is used to determine the effect of each independent variable on the dependent variable. The test criterion is that if the significance level of the test result is less than or equal to 5%, it can be concluded that the independent variable has a significant effect on the dependent variable. Conversely, if the significance level of the test result is greater than 5%, it can be concluded that the independent variable does not significantly affect the dependent variable</w:t>
      </w:r>
      <w:r w:rsidRPr="004D1587">
        <w:rPr>
          <w:sz w:val="24"/>
          <w:szCs w:val="24"/>
        </w:rPr>
        <w:t>.</w:t>
      </w:r>
    </w:p>
    <w:p w14:paraId="4D299217" w14:textId="451660BC" w:rsidR="007F58F4" w:rsidRPr="007F58F4" w:rsidRDefault="007F58F4" w:rsidP="007F58F4">
      <w:pPr>
        <w:rPr>
          <w:b/>
          <w:bCs/>
          <w:sz w:val="24"/>
          <w:szCs w:val="24"/>
        </w:rPr>
      </w:pPr>
      <w:r>
        <w:rPr>
          <w:b/>
          <w:bCs/>
          <w:sz w:val="24"/>
          <w:szCs w:val="24"/>
        </w:rPr>
        <w:t>Hypothesis Testing</w:t>
      </w:r>
    </w:p>
    <w:p w14:paraId="2C7B3355" w14:textId="5A31E368" w:rsidR="007F58F4" w:rsidRPr="007F58F4" w:rsidRDefault="007F58F4" w:rsidP="007F58F4">
      <w:pPr>
        <w:pStyle w:val="BodyText"/>
        <w:spacing w:before="120"/>
        <w:ind w:right="117"/>
        <w:jc w:val="both"/>
      </w:pPr>
      <w:r>
        <w:t xml:space="preserve">        </w:t>
      </w:r>
      <w:r w:rsidRPr="007F58F4">
        <w:t>Hypothesis testing is conducted by examining the significance level of the test results and the direction of the hypothesized relationship. The alternative hypothesis (Ha1, Ha2, Ha3, Ha4, and Ha5) is accepted if the significance level of the test results is less than or equal to 5% with the direction of the relationship as hypothesized. Conversely, the alternative hypothesis is rejected if the significance level of the test results is greater than 5%, with the direction of the relationship either the same or different from that hypothesized</w:t>
      </w:r>
    </w:p>
    <w:p w14:paraId="57F3E686" w14:textId="3DFD3615" w:rsidR="007F58F4" w:rsidRPr="004D1587" w:rsidRDefault="001E51E8" w:rsidP="004D1587">
      <w:pPr>
        <w:pStyle w:val="BodyText"/>
        <w:spacing w:before="120"/>
        <w:ind w:right="117"/>
        <w:jc w:val="both"/>
        <w:rPr>
          <w:b/>
        </w:rPr>
      </w:pPr>
      <w:r w:rsidRPr="001E51E8">
        <w:rPr>
          <w:b/>
        </w:rPr>
        <w:t>RESULT AND DISCUSSION</w:t>
      </w:r>
    </w:p>
    <w:p w14:paraId="00FE44A3" w14:textId="344FDF4C" w:rsidR="001E51E8" w:rsidRDefault="004D1587" w:rsidP="004D1587">
      <w:pPr>
        <w:pStyle w:val="BodyText"/>
        <w:spacing w:before="120"/>
        <w:ind w:right="117"/>
        <w:jc w:val="both"/>
      </w:pPr>
      <w:r>
        <w:t>Descriptive Statistic</w:t>
      </w:r>
    </w:p>
    <w:p w14:paraId="698D8B6F" w14:textId="41EBF2EC" w:rsidR="004D1587" w:rsidRDefault="004D1587" w:rsidP="004D1587">
      <w:pPr>
        <w:pStyle w:val="BodyText"/>
        <w:spacing w:before="120"/>
        <w:ind w:right="117"/>
        <w:jc w:val="both"/>
      </w:pPr>
      <w:r>
        <w:t xml:space="preserve">         Based on 76 selected samples, there are five variables used as proxies in this study. The proxy for fraud, which is a proxy for companies that commit fraud or not, uses a dummy variable, where a value of 1 indicates that the company is suspected of committing fraud, while a value of 0 indicates a comparable company in the same industry that is not suspected of committing fraud. There were 38 companies indicated to have committed fraud and 38 that were not indicated to have committed fraud. The Debt to Asset (DTA) proxy represents the external pressure variable. The minimum value of Debt to Total Assets was -4.23, and the maximum value was 13.97, with an average value of 0.53 and a standard deviation of 1.94.</w:t>
      </w:r>
    </w:p>
    <w:p w14:paraId="762B1F47" w14:textId="77777777" w:rsidR="004D1587" w:rsidRDefault="004D1587" w:rsidP="004D1587">
      <w:pPr>
        <w:pStyle w:val="BodyText"/>
        <w:spacing w:before="120"/>
        <w:ind w:right="117"/>
        <w:jc w:val="both"/>
      </w:pPr>
      <w:r>
        <w:t xml:space="preserve">      The EPS (Earnings per Share) proxy, or income generated from each outstanding share, shows a minimum value of -12.54 and a maximum value of 2.21, with an average value of -95.23 and a standard deviation of 1.56. The next independent variable is Independent Commissioners, which is the ratio of Independent Commissioners to the total number of commissioners. Independent Commissioners in this study represent the Internal Control variable. </w:t>
      </w:r>
    </w:p>
    <w:p w14:paraId="6F5BCD98" w14:textId="0BB30205" w:rsidR="004D1587" w:rsidRDefault="004D1587" w:rsidP="004D1587">
      <w:pPr>
        <w:pStyle w:val="BodyText"/>
        <w:spacing w:before="120"/>
        <w:ind w:right="117"/>
        <w:jc w:val="both"/>
      </w:pPr>
      <w:r>
        <w:t xml:space="preserve">      Based on the results of descriptive statistical tests, it appears that there are companies that do not have independent commissioners on their boards of commissioners. However, there are companies that only use independent commissioners on their boards of commissioners. There are two companies that only use independent commissioners in their board of commissioners, namely PT Trada Alam Minera</w:t>
      </w:r>
      <w:r w:rsidR="002E77E0">
        <w:t>l</w:t>
      </w:r>
      <w:r>
        <w:t xml:space="preserve">, Tbk. and PT. Humpuss Intermoda Transportasi Tbk. The Independent Commissioner proxy has an average value of 0.48 and a standard deviation of 0.186. The Auditor Replacement proxy, which represents the Rationalization variable, is similar to the previous variable in that it uses a dummy variable, where a value of 1 indicates </w:t>
      </w:r>
      <w:r>
        <w:lastRenderedPageBreak/>
        <w:t>Auditor Replacement and a value of 0 indicates no Auditor Replacement.</w:t>
      </w:r>
    </w:p>
    <w:p w14:paraId="773646F7" w14:textId="2FEB2227" w:rsidR="004D1587" w:rsidRDefault="004D1587" w:rsidP="004D1587">
      <w:pPr>
        <w:pStyle w:val="BodyText"/>
        <w:spacing w:before="120"/>
        <w:ind w:right="117"/>
        <w:jc w:val="both"/>
      </w:pPr>
      <w:r>
        <w:t xml:space="preserve">      Based on the data from the companies studied, only 22 companies changed their auditors. Continuing with the proxy for Board Turnover, which also represents the Rationalization variable, the Board Turnover proxy uses a dummy variable, where a value of 1 indicates Board Turnover and a value of 0 indicates no Board Turnover during the research period. Based on the data from the companies sampled in the study, only about 23 companies changed their directors.</w:t>
      </w:r>
    </w:p>
    <w:p w14:paraId="359BD764" w14:textId="50F06F7B" w:rsidR="003C23DE" w:rsidRDefault="004D1587" w:rsidP="004D1587">
      <w:pPr>
        <w:pStyle w:val="BodyText"/>
        <w:spacing w:before="120"/>
        <w:ind w:right="117"/>
        <w:jc w:val="both"/>
        <w:rPr>
          <w:b/>
          <w:bCs/>
        </w:rPr>
      </w:pPr>
      <w:r w:rsidRPr="004D1587">
        <w:rPr>
          <w:b/>
          <w:bCs/>
        </w:rPr>
        <w:t>Goodness of Fit Model Test</w:t>
      </w:r>
    </w:p>
    <w:p w14:paraId="7BE79EB6" w14:textId="1BA16C7F" w:rsidR="001A61C5" w:rsidRDefault="004D1587" w:rsidP="001A61C5">
      <w:pPr>
        <w:pStyle w:val="BodyText"/>
        <w:numPr>
          <w:ilvl w:val="0"/>
          <w:numId w:val="9"/>
        </w:numPr>
        <w:spacing w:before="120"/>
        <w:ind w:left="330" w:right="117" w:hanging="330"/>
        <w:jc w:val="both"/>
        <w:rPr>
          <w:b/>
          <w:bCs/>
        </w:rPr>
      </w:pPr>
      <w:r>
        <w:rPr>
          <w:b/>
          <w:bCs/>
        </w:rPr>
        <w:t>Hosmer and Lemeslow Test</w:t>
      </w:r>
    </w:p>
    <w:p w14:paraId="1ACBFCC9" w14:textId="33445ABF" w:rsidR="001A61C5" w:rsidRPr="00C146F4" w:rsidRDefault="00C146F4" w:rsidP="00C146F4">
      <w:pPr>
        <w:pStyle w:val="Caption"/>
        <w:ind w:left="330"/>
        <w:rPr>
          <w:b/>
          <w:bCs/>
          <w:i w:val="0"/>
          <w:iCs w:val="0"/>
          <w:color w:val="000000" w:themeColor="text1"/>
        </w:rPr>
      </w:pPr>
      <w:r w:rsidRPr="00C146F4">
        <w:rPr>
          <w:b/>
          <w:bCs/>
          <w:i w:val="0"/>
          <w:iCs w:val="0"/>
          <w:color w:val="000000" w:themeColor="text1"/>
        </w:rPr>
        <w:t xml:space="preserve">Table </w:t>
      </w:r>
      <w:r w:rsidRPr="00C146F4">
        <w:rPr>
          <w:b/>
          <w:bCs/>
          <w:i w:val="0"/>
          <w:iCs w:val="0"/>
          <w:color w:val="000000" w:themeColor="text1"/>
        </w:rPr>
        <w:fldChar w:fldCharType="begin"/>
      </w:r>
      <w:r w:rsidRPr="00C146F4">
        <w:rPr>
          <w:b/>
          <w:bCs/>
          <w:i w:val="0"/>
          <w:iCs w:val="0"/>
          <w:color w:val="000000" w:themeColor="text1"/>
        </w:rPr>
        <w:instrText xml:space="preserve"> SEQ Table \* ARABIC </w:instrText>
      </w:r>
      <w:r w:rsidRPr="00C146F4">
        <w:rPr>
          <w:b/>
          <w:bCs/>
          <w:i w:val="0"/>
          <w:iCs w:val="0"/>
          <w:color w:val="000000" w:themeColor="text1"/>
        </w:rPr>
        <w:fldChar w:fldCharType="separate"/>
      </w:r>
      <w:r>
        <w:rPr>
          <w:b/>
          <w:bCs/>
          <w:i w:val="0"/>
          <w:iCs w:val="0"/>
          <w:noProof/>
          <w:color w:val="000000" w:themeColor="text1"/>
        </w:rPr>
        <w:t>1</w:t>
      </w:r>
      <w:r w:rsidRPr="00C146F4">
        <w:rPr>
          <w:b/>
          <w:bCs/>
          <w:i w:val="0"/>
          <w:iCs w:val="0"/>
          <w:color w:val="000000" w:themeColor="text1"/>
        </w:rPr>
        <w:fldChar w:fldCharType="end"/>
      </w:r>
      <w:r w:rsidRPr="00C146F4">
        <w:rPr>
          <w:b/>
          <w:bCs/>
          <w:i w:val="0"/>
          <w:iCs w:val="0"/>
          <w:color w:val="000000" w:themeColor="text1"/>
        </w:rPr>
        <w:t>. Hosmer and Lemeslow Test</w:t>
      </w:r>
    </w:p>
    <w:p w14:paraId="2985092B" w14:textId="110C3082" w:rsidR="001A61C5" w:rsidRDefault="001A61C5" w:rsidP="001A61C5">
      <w:pPr>
        <w:pStyle w:val="BodyText"/>
        <w:spacing w:before="120"/>
        <w:ind w:left="330" w:right="117"/>
        <w:jc w:val="both"/>
        <w:rPr>
          <w:b/>
          <w:bCs/>
        </w:rPr>
      </w:pPr>
      <w:r w:rsidRPr="001A61C5">
        <w:rPr>
          <w:noProof/>
        </w:rPr>
        <w:drawing>
          <wp:inline distT="0" distB="0" distL="0" distR="0" wp14:anchorId="2BE01C17" wp14:editId="6F4E5468">
            <wp:extent cx="2374469" cy="5089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9752" r="23915" b="24100"/>
                    <a:stretch/>
                  </pic:blipFill>
                  <pic:spPr bwMode="auto">
                    <a:xfrm>
                      <a:off x="0" y="0"/>
                      <a:ext cx="2505143" cy="536969"/>
                    </a:xfrm>
                    <a:prstGeom prst="rect">
                      <a:avLst/>
                    </a:prstGeom>
                    <a:noFill/>
                    <a:ln>
                      <a:noFill/>
                    </a:ln>
                    <a:extLst>
                      <a:ext uri="{53640926-AAD7-44D8-BBD7-CCE9431645EC}">
                        <a14:shadowObscured xmlns:a14="http://schemas.microsoft.com/office/drawing/2010/main"/>
                      </a:ext>
                    </a:extLst>
                  </pic:spPr>
                </pic:pic>
              </a:graphicData>
            </a:graphic>
          </wp:inline>
        </w:drawing>
      </w:r>
    </w:p>
    <w:p w14:paraId="7C24D45F" w14:textId="7011F81B" w:rsidR="001A61C5" w:rsidRPr="001A61C5" w:rsidRDefault="001A61C5" w:rsidP="001A61C5">
      <w:pPr>
        <w:pStyle w:val="BodyText"/>
        <w:spacing w:before="120"/>
        <w:ind w:left="330" w:right="117"/>
        <w:jc w:val="both"/>
      </w:pPr>
      <w:r>
        <w:rPr>
          <w:b/>
          <w:bCs/>
        </w:rPr>
        <w:t xml:space="preserve">       </w:t>
      </w:r>
      <w:r w:rsidR="004D1587" w:rsidRPr="001A61C5">
        <w:t>As explained in the data analysis techniques section, the Hosmer and Lemeshow test is used to assess the suitability of the model before regression is performed, with the following hypotheses:</w:t>
      </w:r>
    </w:p>
    <w:p w14:paraId="4310E008" w14:textId="77777777" w:rsidR="001A61C5" w:rsidRPr="001A61C5" w:rsidRDefault="004D1587" w:rsidP="001A61C5">
      <w:pPr>
        <w:pStyle w:val="BodyText"/>
        <w:spacing w:before="120"/>
        <w:ind w:left="880" w:right="117" w:hanging="550"/>
        <w:jc w:val="both"/>
      </w:pPr>
      <w:r w:rsidRPr="001A61C5">
        <w:t>Ho: The hypothesized model does not fit the data.</w:t>
      </w:r>
    </w:p>
    <w:p w14:paraId="29996754" w14:textId="541BA189" w:rsidR="004D1587" w:rsidRPr="001A61C5" w:rsidRDefault="004D1587" w:rsidP="001A61C5">
      <w:pPr>
        <w:pStyle w:val="BodyText"/>
        <w:spacing w:before="120"/>
        <w:ind w:left="770" w:right="117" w:hanging="440"/>
        <w:jc w:val="both"/>
      </w:pPr>
      <w:r w:rsidRPr="001A61C5">
        <w:t>Ha: The hypothesized model fits the data.</w:t>
      </w:r>
    </w:p>
    <w:p w14:paraId="3A50DB37" w14:textId="77777777" w:rsidR="001A61C5" w:rsidRDefault="004D1587" w:rsidP="001A61C5">
      <w:pPr>
        <w:pStyle w:val="BodyText"/>
        <w:numPr>
          <w:ilvl w:val="0"/>
          <w:numId w:val="9"/>
        </w:numPr>
        <w:spacing w:before="120"/>
        <w:ind w:left="330" w:right="117" w:hanging="330"/>
        <w:jc w:val="both"/>
        <w:rPr>
          <w:b/>
          <w:bCs/>
        </w:rPr>
      </w:pPr>
      <w:r>
        <w:rPr>
          <w:b/>
          <w:bCs/>
        </w:rPr>
        <w:t>Score Goodness of Fit Test</w:t>
      </w:r>
    </w:p>
    <w:p w14:paraId="0B9457A9" w14:textId="4284EBF5" w:rsidR="001A61C5" w:rsidRPr="001A61C5" w:rsidRDefault="001A61C5" w:rsidP="001A61C5">
      <w:pPr>
        <w:pStyle w:val="BodyText"/>
        <w:spacing w:before="120"/>
        <w:ind w:left="330" w:right="117"/>
        <w:jc w:val="both"/>
      </w:pPr>
      <w:r>
        <w:rPr>
          <w:b/>
          <w:bCs/>
        </w:rPr>
        <w:t xml:space="preserve">         </w:t>
      </w:r>
      <w:r w:rsidRPr="001A61C5">
        <w:t xml:space="preserve">The Goodness of Fit Test value is measured by the chi-square value at the bottom of the Hosmer and Lemeshow test. If the probability is ≥ 0.05, then Ha is accepted and Ho is rejected, which means that the hypothesized model fits the data or there is no significant difference between the model and the data. Based on the results of the Hosmer and Lemeshow test that has been conducted, it shows a significance value of 0.572, which is greater than the minimum value of 0.05. This indicates that Ha is accepted, so it can </w:t>
      </w:r>
      <w:r w:rsidRPr="001A61C5">
        <w:t>be concluded that the model fits the data used in this study.</w:t>
      </w:r>
    </w:p>
    <w:p w14:paraId="554C253E" w14:textId="3506447F" w:rsidR="001A61C5" w:rsidRDefault="004D1587" w:rsidP="001A61C5">
      <w:pPr>
        <w:pStyle w:val="BodyText"/>
        <w:numPr>
          <w:ilvl w:val="0"/>
          <w:numId w:val="9"/>
        </w:numPr>
        <w:spacing w:before="120"/>
        <w:ind w:left="330" w:right="117" w:hanging="330"/>
        <w:jc w:val="both"/>
        <w:rPr>
          <w:b/>
          <w:bCs/>
        </w:rPr>
      </w:pPr>
      <w:r>
        <w:rPr>
          <w:b/>
          <w:bCs/>
        </w:rPr>
        <w:t>Overall Model Test</w:t>
      </w:r>
    </w:p>
    <w:p w14:paraId="4C7E9381" w14:textId="3452881A" w:rsidR="001A61C5" w:rsidRPr="00C146F4" w:rsidRDefault="00C146F4" w:rsidP="00C146F4">
      <w:pPr>
        <w:pStyle w:val="Caption"/>
        <w:ind w:left="440"/>
        <w:rPr>
          <w:b/>
          <w:bCs/>
          <w:i w:val="0"/>
          <w:iCs w:val="0"/>
          <w:color w:val="000000" w:themeColor="text1"/>
        </w:rPr>
      </w:pPr>
      <w:r w:rsidRPr="00C146F4">
        <w:rPr>
          <w:b/>
          <w:bCs/>
          <w:i w:val="0"/>
          <w:iCs w:val="0"/>
          <w:color w:val="000000" w:themeColor="text1"/>
        </w:rPr>
        <w:t xml:space="preserve">Table </w:t>
      </w:r>
      <w:r w:rsidRPr="00C146F4">
        <w:rPr>
          <w:b/>
          <w:bCs/>
          <w:i w:val="0"/>
          <w:iCs w:val="0"/>
          <w:color w:val="000000" w:themeColor="text1"/>
        </w:rPr>
        <w:fldChar w:fldCharType="begin"/>
      </w:r>
      <w:r w:rsidRPr="00C146F4">
        <w:rPr>
          <w:b/>
          <w:bCs/>
          <w:i w:val="0"/>
          <w:iCs w:val="0"/>
          <w:color w:val="000000" w:themeColor="text1"/>
        </w:rPr>
        <w:instrText xml:space="preserve"> SEQ Table \* ARABIC </w:instrText>
      </w:r>
      <w:r w:rsidRPr="00C146F4">
        <w:rPr>
          <w:b/>
          <w:bCs/>
          <w:i w:val="0"/>
          <w:iCs w:val="0"/>
          <w:color w:val="000000" w:themeColor="text1"/>
        </w:rPr>
        <w:fldChar w:fldCharType="separate"/>
      </w:r>
      <w:r w:rsidRPr="00C146F4">
        <w:rPr>
          <w:b/>
          <w:bCs/>
          <w:i w:val="0"/>
          <w:iCs w:val="0"/>
          <w:noProof/>
          <w:color w:val="000000" w:themeColor="text1"/>
        </w:rPr>
        <w:t>2</w:t>
      </w:r>
      <w:r w:rsidRPr="00C146F4">
        <w:rPr>
          <w:b/>
          <w:bCs/>
          <w:i w:val="0"/>
          <w:iCs w:val="0"/>
          <w:color w:val="000000" w:themeColor="text1"/>
        </w:rPr>
        <w:fldChar w:fldCharType="end"/>
      </w:r>
      <w:r w:rsidRPr="00C146F4">
        <w:rPr>
          <w:b/>
          <w:bCs/>
          <w:i w:val="0"/>
          <w:iCs w:val="0"/>
          <w:color w:val="000000" w:themeColor="text1"/>
        </w:rPr>
        <w:t>. Overall Model Test</w:t>
      </w:r>
    </w:p>
    <w:p w14:paraId="4128FE1A" w14:textId="672DDC84" w:rsidR="001A61C5" w:rsidRDefault="001A61C5" w:rsidP="001A61C5">
      <w:pPr>
        <w:pStyle w:val="BodyText"/>
        <w:spacing w:before="120"/>
        <w:ind w:left="330" w:right="117"/>
        <w:jc w:val="both"/>
        <w:rPr>
          <w:b/>
          <w:bCs/>
        </w:rPr>
      </w:pPr>
      <w:r w:rsidRPr="001A61C5">
        <w:rPr>
          <w:noProof/>
        </w:rPr>
        <w:drawing>
          <wp:inline distT="0" distB="0" distL="0" distR="0" wp14:anchorId="2CFA57AE" wp14:editId="52E1A1BA">
            <wp:extent cx="2413718" cy="5500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2060" r="16522" b="12851"/>
                    <a:stretch/>
                  </pic:blipFill>
                  <pic:spPr bwMode="auto">
                    <a:xfrm>
                      <a:off x="0" y="0"/>
                      <a:ext cx="2464406" cy="561635"/>
                    </a:xfrm>
                    <a:prstGeom prst="rect">
                      <a:avLst/>
                    </a:prstGeom>
                    <a:noFill/>
                    <a:ln>
                      <a:noFill/>
                    </a:ln>
                    <a:extLst>
                      <a:ext uri="{53640926-AAD7-44D8-BBD7-CCE9431645EC}">
                        <a14:shadowObscured xmlns:a14="http://schemas.microsoft.com/office/drawing/2010/main"/>
                      </a:ext>
                    </a:extLst>
                  </pic:spPr>
                </pic:pic>
              </a:graphicData>
            </a:graphic>
          </wp:inline>
        </w:drawing>
      </w:r>
    </w:p>
    <w:p w14:paraId="67845DB1" w14:textId="572CABF5" w:rsidR="001A61C5" w:rsidRPr="001A61C5" w:rsidRDefault="001A61C5" w:rsidP="001A61C5">
      <w:pPr>
        <w:pStyle w:val="BodyText"/>
        <w:spacing w:before="120"/>
        <w:ind w:left="330" w:right="117"/>
        <w:jc w:val="both"/>
      </w:pPr>
      <w:r>
        <w:rPr>
          <w:b/>
          <w:bCs/>
        </w:rPr>
        <w:t xml:space="preserve">         </w:t>
      </w:r>
      <w:r w:rsidRPr="001A61C5">
        <w:t>Based on the results of the tests that have been conducted, the Nagelkerke R-squared value is 0.463, reflecting that the ability of the selected independent variables to explain the variation in the dependent variable is 46.3%, while the remaining 52.8% is explained by other variables outside the research model</w:t>
      </w:r>
    </w:p>
    <w:p w14:paraId="6483B971" w14:textId="246E3AED" w:rsidR="004D1587" w:rsidRDefault="001A61C5" w:rsidP="004D1587">
      <w:pPr>
        <w:pStyle w:val="BodyText"/>
        <w:spacing w:before="120"/>
        <w:ind w:right="117"/>
        <w:jc w:val="both"/>
        <w:rPr>
          <w:b/>
          <w:bCs/>
        </w:rPr>
      </w:pPr>
      <w:r>
        <w:rPr>
          <w:b/>
          <w:bCs/>
        </w:rPr>
        <w:t>Hypothesis Testing</w:t>
      </w:r>
    </w:p>
    <w:p w14:paraId="33D75E68" w14:textId="1A79710C" w:rsidR="001A61C5" w:rsidRDefault="001A61C5" w:rsidP="004D1587">
      <w:pPr>
        <w:pStyle w:val="BodyText"/>
        <w:spacing w:before="120"/>
        <w:ind w:right="117"/>
        <w:jc w:val="both"/>
      </w:pPr>
      <w:r>
        <w:rPr>
          <w:b/>
          <w:bCs/>
        </w:rPr>
        <w:t xml:space="preserve">      </w:t>
      </w:r>
      <w:r w:rsidR="00520658">
        <w:rPr>
          <w:b/>
          <w:bCs/>
        </w:rPr>
        <w:t xml:space="preserve">   </w:t>
      </w:r>
      <w:r w:rsidRPr="00C146F4">
        <w:t>Based on the results of the binary logistic regression test that has been conducted, we can see the effect of independent variables on dependent variables in this study, namely the variable of fraud committed by public companies on the Indonesia Stock Exchange.</w:t>
      </w:r>
    </w:p>
    <w:p w14:paraId="3FF2A9E8" w14:textId="1DD5AAD9" w:rsidR="00C146F4" w:rsidRPr="00C146F4" w:rsidRDefault="00C146F4" w:rsidP="00C146F4">
      <w:pPr>
        <w:pStyle w:val="Caption"/>
        <w:rPr>
          <w:b/>
          <w:bCs/>
          <w:i w:val="0"/>
          <w:iCs w:val="0"/>
          <w:color w:val="000000" w:themeColor="text1"/>
        </w:rPr>
      </w:pPr>
      <w:r w:rsidRPr="00C146F4">
        <w:rPr>
          <w:b/>
          <w:bCs/>
          <w:i w:val="0"/>
          <w:iCs w:val="0"/>
          <w:color w:val="000000" w:themeColor="text1"/>
        </w:rPr>
        <w:t xml:space="preserve">Table </w:t>
      </w:r>
      <w:r w:rsidRPr="00C146F4">
        <w:rPr>
          <w:b/>
          <w:bCs/>
          <w:i w:val="0"/>
          <w:iCs w:val="0"/>
          <w:color w:val="000000" w:themeColor="text1"/>
        </w:rPr>
        <w:fldChar w:fldCharType="begin"/>
      </w:r>
      <w:r w:rsidRPr="00C146F4">
        <w:rPr>
          <w:b/>
          <w:bCs/>
          <w:i w:val="0"/>
          <w:iCs w:val="0"/>
          <w:color w:val="000000" w:themeColor="text1"/>
        </w:rPr>
        <w:instrText xml:space="preserve"> SEQ Table \* ARABIC </w:instrText>
      </w:r>
      <w:r w:rsidRPr="00C146F4">
        <w:rPr>
          <w:b/>
          <w:bCs/>
          <w:i w:val="0"/>
          <w:iCs w:val="0"/>
          <w:color w:val="000000" w:themeColor="text1"/>
        </w:rPr>
        <w:fldChar w:fldCharType="separate"/>
      </w:r>
      <w:r w:rsidRPr="00C146F4">
        <w:rPr>
          <w:b/>
          <w:bCs/>
          <w:i w:val="0"/>
          <w:iCs w:val="0"/>
          <w:noProof/>
          <w:color w:val="000000" w:themeColor="text1"/>
        </w:rPr>
        <w:t>3</w:t>
      </w:r>
      <w:r w:rsidRPr="00C146F4">
        <w:rPr>
          <w:b/>
          <w:bCs/>
          <w:i w:val="0"/>
          <w:iCs w:val="0"/>
          <w:color w:val="000000" w:themeColor="text1"/>
        </w:rPr>
        <w:fldChar w:fldCharType="end"/>
      </w:r>
      <w:r w:rsidRPr="00C146F4">
        <w:rPr>
          <w:b/>
          <w:bCs/>
          <w:i w:val="0"/>
          <w:iCs w:val="0"/>
          <w:color w:val="000000" w:themeColor="text1"/>
        </w:rPr>
        <w:t>. Regression Test</w:t>
      </w:r>
    </w:p>
    <w:p w14:paraId="13BAC65B" w14:textId="02ABE3A1" w:rsidR="00C146F4" w:rsidRPr="00C146F4" w:rsidRDefault="00C146F4" w:rsidP="004D1587">
      <w:pPr>
        <w:pStyle w:val="BodyText"/>
        <w:spacing w:before="120"/>
        <w:ind w:right="117"/>
        <w:jc w:val="both"/>
      </w:pPr>
      <w:r w:rsidRPr="00C146F4">
        <w:rPr>
          <w:noProof/>
        </w:rPr>
        <w:drawing>
          <wp:inline distT="0" distB="0" distL="0" distR="0" wp14:anchorId="101967BF" wp14:editId="704176DA">
            <wp:extent cx="2830355" cy="837314"/>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3283" b="13539"/>
                    <a:stretch/>
                  </pic:blipFill>
                  <pic:spPr bwMode="auto">
                    <a:xfrm>
                      <a:off x="0" y="0"/>
                      <a:ext cx="2864440" cy="847398"/>
                    </a:xfrm>
                    <a:prstGeom prst="rect">
                      <a:avLst/>
                    </a:prstGeom>
                    <a:noFill/>
                    <a:ln>
                      <a:noFill/>
                    </a:ln>
                    <a:extLst>
                      <a:ext uri="{53640926-AAD7-44D8-BBD7-CCE9431645EC}">
                        <a14:shadowObscured xmlns:a14="http://schemas.microsoft.com/office/drawing/2010/main"/>
                      </a:ext>
                    </a:extLst>
                  </pic:spPr>
                </pic:pic>
              </a:graphicData>
            </a:graphic>
          </wp:inline>
        </w:drawing>
      </w:r>
    </w:p>
    <w:p w14:paraId="0A375EB8" w14:textId="18E01247" w:rsidR="00520658" w:rsidRDefault="00C146F4" w:rsidP="00C146F4">
      <w:pPr>
        <w:pStyle w:val="BodyText"/>
        <w:numPr>
          <w:ilvl w:val="0"/>
          <w:numId w:val="10"/>
        </w:numPr>
        <w:spacing w:before="120"/>
        <w:ind w:left="330" w:right="117" w:hanging="330"/>
        <w:jc w:val="both"/>
        <w:rPr>
          <w:b/>
          <w:bCs/>
        </w:rPr>
      </w:pPr>
      <w:r>
        <w:rPr>
          <w:b/>
          <w:bCs/>
        </w:rPr>
        <w:t>Pressure</w:t>
      </w:r>
    </w:p>
    <w:p w14:paraId="6729DD38" w14:textId="45C4A8F2" w:rsidR="00C146F4" w:rsidRPr="00C146F4" w:rsidRDefault="00C146F4" w:rsidP="00C146F4">
      <w:pPr>
        <w:pStyle w:val="BodyText"/>
        <w:spacing w:before="120"/>
        <w:ind w:left="330" w:right="117"/>
        <w:jc w:val="both"/>
      </w:pPr>
      <w:r>
        <w:t xml:space="preserve">         </w:t>
      </w:r>
      <w:r w:rsidRPr="00C146F4">
        <w:t>Both external and internal pressures significantly increase the likelihood of fraud. External pressure, measured by the Debt to Total Assets ratio (sig. 0.011), shows that higher debt levels push companies toward fraud. Similarly, internal pressure, measured by Earnings Per Share (EPS) targets (sig. 0.030), indicates that heavy financial burdens and high targets drive management to commit fraud</w:t>
      </w:r>
    </w:p>
    <w:p w14:paraId="2A164026" w14:textId="4014B902" w:rsidR="00C146F4" w:rsidRDefault="00C146F4" w:rsidP="00C146F4">
      <w:pPr>
        <w:pStyle w:val="BodyText"/>
        <w:numPr>
          <w:ilvl w:val="0"/>
          <w:numId w:val="10"/>
        </w:numPr>
        <w:spacing w:before="120"/>
        <w:ind w:left="330" w:right="117" w:hanging="330"/>
        <w:jc w:val="both"/>
        <w:rPr>
          <w:b/>
          <w:bCs/>
        </w:rPr>
      </w:pPr>
      <w:r>
        <w:rPr>
          <w:b/>
          <w:bCs/>
        </w:rPr>
        <w:t>Internal Control/Opportunity</w:t>
      </w:r>
    </w:p>
    <w:p w14:paraId="760A618F" w14:textId="0F7F5F07" w:rsidR="00C146F4" w:rsidRPr="00C146F4" w:rsidRDefault="00C146F4" w:rsidP="00C146F4">
      <w:pPr>
        <w:pStyle w:val="BodyText"/>
        <w:spacing w:before="120"/>
        <w:ind w:left="330" w:right="117" w:firstLine="110"/>
        <w:jc w:val="both"/>
      </w:pPr>
      <w:r>
        <w:t xml:space="preserve">         </w:t>
      </w:r>
      <w:r w:rsidRPr="00C146F4">
        <w:t xml:space="preserve">Measured by the number of independent commissioners (sig. 0.016), internal control has a significant </w:t>
      </w:r>
      <w:r w:rsidRPr="00C146F4">
        <w:lastRenderedPageBreak/>
        <w:t>negative impact on fraud. This means that a higher proportion of independent commissioners improves objective oversight, thereby reducing and minimizing the occurrence of financial statement fraud.</w:t>
      </w:r>
    </w:p>
    <w:p w14:paraId="1B79373D" w14:textId="14F7689A" w:rsidR="00C146F4" w:rsidRDefault="00C146F4" w:rsidP="00C146F4">
      <w:pPr>
        <w:pStyle w:val="BodyText"/>
        <w:numPr>
          <w:ilvl w:val="0"/>
          <w:numId w:val="10"/>
        </w:numPr>
        <w:spacing w:before="120"/>
        <w:ind w:left="330" w:right="117" w:hanging="330"/>
        <w:jc w:val="both"/>
        <w:rPr>
          <w:b/>
          <w:bCs/>
        </w:rPr>
      </w:pPr>
      <w:r>
        <w:rPr>
          <w:b/>
          <w:bCs/>
        </w:rPr>
        <w:t xml:space="preserve">Rationalization </w:t>
      </w:r>
    </w:p>
    <w:p w14:paraId="72749C02" w14:textId="5C10A981" w:rsidR="00C146F4" w:rsidRPr="00C146F4" w:rsidRDefault="00C146F4" w:rsidP="00C146F4">
      <w:pPr>
        <w:pStyle w:val="BodyText"/>
        <w:spacing w:before="120"/>
        <w:ind w:left="330" w:right="117" w:firstLine="110"/>
        <w:jc w:val="both"/>
      </w:pPr>
      <w:r>
        <w:t xml:space="preserve">        </w:t>
      </w:r>
      <w:r w:rsidRPr="00C146F4">
        <w:t>Proxied by auditor turnover (sig. 0.434) and director replacement (sig. 0.443), rationalization does not significantly affect the probability of fraud. This lack of significance is likely because rationalization is a psychological factor that is difficult to observe and quantify. Furthermore, some perpetrators commit fraud simply because the opportunity exists, without needing to rationalize their actions.</w:t>
      </w:r>
    </w:p>
    <w:p w14:paraId="7B2347A2" w14:textId="05584C83" w:rsidR="001E51E8" w:rsidRDefault="001E51E8" w:rsidP="001E51E8">
      <w:pPr>
        <w:pStyle w:val="BodyText"/>
        <w:spacing w:before="120"/>
        <w:ind w:right="117"/>
        <w:jc w:val="both"/>
        <w:rPr>
          <w:b/>
        </w:rPr>
      </w:pPr>
      <w:r w:rsidRPr="001E51E8">
        <w:rPr>
          <w:b/>
        </w:rPr>
        <w:t>CONCLUSION AND SUGGESTION</w:t>
      </w:r>
    </w:p>
    <w:p w14:paraId="24AB0B68" w14:textId="77777777" w:rsidR="00E01807" w:rsidRPr="00E01807" w:rsidRDefault="00E01807" w:rsidP="00C146F4">
      <w:pPr>
        <w:pStyle w:val="BodyText"/>
        <w:spacing w:before="120"/>
        <w:ind w:right="117"/>
        <w:jc w:val="both"/>
        <w:rPr>
          <w:b/>
        </w:rPr>
      </w:pPr>
      <w:r w:rsidRPr="00E01807">
        <w:rPr>
          <w:b/>
        </w:rPr>
        <w:t>This study has found the following empirical evidence:</w:t>
      </w:r>
    </w:p>
    <w:p w14:paraId="5ECE972B" w14:textId="77777777" w:rsidR="00C146F4" w:rsidRDefault="00E01807" w:rsidP="00C146F4">
      <w:pPr>
        <w:pStyle w:val="BodyText"/>
        <w:numPr>
          <w:ilvl w:val="0"/>
          <w:numId w:val="2"/>
        </w:numPr>
        <w:spacing w:before="120"/>
        <w:ind w:left="330" w:right="117" w:hanging="330"/>
        <w:jc w:val="both"/>
        <w:rPr>
          <w:bCs/>
        </w:rPr>
      </w:pPr>
      <w:r w:rsidRPr="00E01807">
        <w:rPr>
          <w:bCs/>
        </w:rPr>
        <w:t xml:space="preserve">There are still several public companies listed on the </w:t>
      </w:r>
      <w:r w:rsidR="00EF547F">
        <w:rPr>
          <w:bCs/>
        </w:rPr>
        <w:t>Indonesian</w:t>
      </w:r>
      <w:r w:rsidRPr="00E01807">
        <w:rPr>
          <w:bCs/>
        </w:rPr>
        <w:t xml:space="preserve"> Stock Exchange that commit fraud, which harms investors and the government.</w:t>
      </w:r>
    </w:p>
    <w:p w14:paraId="6F640936" w14:textId="4C511CE7" w:rsidR="00E01807" w:rsidRPr="00C146F4" w:rsidRDefault="00E01807" w:rsidP="00C146F4">
      <w:pPr>
        <w:pStyle w:val="BodyText"/>
        <w:numPr>
          <w:ilvl w:val="0"/>
          <w:numId w:val="2"/>
        </w:numPr>
        <w:spacing w:before="120"/>
        <w:ind w:left="330" w:right="117" w:hanging="330"/>
        <w:jc w:val="both"/>
        <w:rPr>
          <w:bCs/>
        </w:rPr>
      </w:pPr>
      <w:r w:rsidRPr="00C146F4">
        <w:rPr>
          <w:bCs/>
        </w:rPr>
        <w:t>Based on the research data, several factors motivate companies to commit fraud, namely External Pressure resulting from companies taking excessive debt financing policies, Internal Pressure in the form of company Financial Targets that must be achieved or are required to be achieved, and weak Internal Supervision due to the composition of the independent board of commissioners being smaller than the total number of commissioners appointed by the company.</w:t>
      </w:r>
    </w:p>
    <w:p w14:paraId="6BC25D6B" w14:textId="77777777" w:rsidR="00E01807" w:rsidRPr="00EF547F" w:rsidRDefault="00E01807" w:rsidP="00C146F4">
      <w:pPr>
        <w:pStyle w:val="BodyText"/>
        <w:spacing w:before="120"/>
        <w:ind w:right="117"/>
        <w:jc w:val="both"/>
        <w:rPr>
          <w:b/>
        </w:rPr>
      </w:pPr>
      <w:r w:rsidRPr="00EF547F">
        <w:rPr>
          <w:b/>
        </w:rPr>
        <w:t>Advice for Prospective Investors on the Indonesia Stock Exchange</w:t>
      </w:r>
    </w:p>
    <w:p w14:paraId="380B987D" w14:textId="77777777" w:rsidR="00C146F4" w:rsidRDefault="00E01807" w:rsidP="00C146F4">
      <w:pPr>
        <w:pStyle w:val="BodyText"/>
        <w:numPr>
          <w:ilvl w:val="0"/>
          <w:numId w:val="3"/>
        </w:numPr>
        <w:spacing w:before="120"/>
        <w:ind w:left="330" w:right="117" w:hanging="330"/>
        <w:jc w:val="both"/>
        <w:rPr>
          <w:bCs/>
        </w:rPr>
      </w:pPr>
      <w:r w:rsidRPr="00E01807">
        <w:rPr>
          <w:bCs/>
        </w:rPr>
        <w:t>Diversify investments, paying close attention to company fundamentals and macroeconomic aspects.</w:t>
      </w:r>
    </w:p>
    <w:p w14:paraId="3CDAA6D4" w14:textId="097A689A" w:rsidR="00E01807" w:rsidRPr="00C146F4" w:rsidRDefault="00E01807" w:rsidP="00C146F4">
      <w:pPr>
        <w:pStyle w:val="BodyText"/>
        <w:numPr>
          <w:ilvl w:val="0"/>
          <w:numId w:val="3"/>
        </w:numPr>
        <w:spacing w:before="120"/>
        <w:ind w:left="330" w:right="117" w:hanging="330"/>
        <w:jc w:val="both"/>
        <w:rPr>
          <w:bCs/>
        </w:rPr>
      </w:pPr>
      <w:r w:rsidRPr="00C146F4">
        <w:rPr>
          <w:bCs/>
        </w:rPr>
        <w:t xml:space="preserve">Increase knowledge and avoid herd behavior when making investment </w:t>
      </w:r>
      <w:r w:rsidRPr="00C146F4">
        <w:rPr>
          <w:bCs/>
        </w:rPr>
        <w:t>decisions</w:t>
      </w:r>
    </w:p>
    <w:p w14:paraId="2B3EE716" w14:textId="77777777" w:rsidR="00E01807" w:rsidRPr="00EF547F" w:rsidRDefault="00E01807" w:rsidP="00C146F4">
      <w:pPr>
        <w:pStyle w:val="BodyText"/>
        <w:spacing w:before="120"/>
        <w:ind w:right="117"/>
        <w:jc w:val="both"/>
        <w:rPr>
          <w:b/>
        </w:rPr>
      </w:pPr>
      <w:r w:rsidRPr="00EF547F">
        <w:rPr>
          <w:b/>
        </w:rPr>
        <w:t>Research Limitations</w:t>
      </w:r>
    </w:p>
    <w:p w14:paraId="063C0602" w14:textId="77777777" w:rsidR="00C146F4" w:rsidRDefault="00E01807" w:rsidP="00C146F4">
      <w:pPr>
        <w:pStyle w:val="BodyText"/>
        <w:numPr>
          <w:ilvl w:val="0"/>
          <w:numId w:val="4"/>
        </w:numPr>
        <w:spacing w:before="120"/>
        <w:ind w:left="330" w:right="117" w:hanging="330"/>
        <w:jc w:val="both"/>
        <w:rPr>
          <w:bCs/>
        </w:rPr>
      </w:pPr>
      <w:r w:rsidRPr="00E01807">
        <w:rPr>
          <w:bCs/>
        </w:rPr>
        <w:t>This study was unable to obtain financial statement data other than annual reports.</w:t>
      </w:r>
    </w:p>
    <w:p w14:paraId="277BEFB8" w14:textId="59BEC297" w:rsidR="00E01807" w:rsidRPr="00C146F4" w:rsidRDefault="00E01807" w:rsidP="00C146F4">
      <w:pPr>
        <w:pStyle w:val="BodyText"/>
        <w:numPr>
          <w:ilvl w:val="0"/>
          <w:numId w:val="4"/>
        </w:numPr>
        <w:spacing w:before="120"/>
        <w:ind w:left="330" w:right="117" w:hanging="330"/>
        <w:jc w:val="both"/>
        <w:rPr>
          <w:bCs/>
        </w:rPr>
      </w:pPr>
      <w:r w:rsidRPr="00C146F4">
        <w:rPr>
          <w:bCs/>
        </w:rPr>
        <w:t>The model used is still the Fraud Triangle Model, due to limited data access.</w:t>
      </w:r>
    </w:p>
    <w:p w14:paraId="2FA3DE7A" w14:textId="77777777" w:rsidR="001E51E8" w:rsidRDefault="00E46AF9" w:rsidP="001E51E8">
      <w:pPr>
        <w:pStyle w:val="BodyText"/>
        <w:spacing w:before="120"/>
        <w:ind w:right="117"/>
        <w:jc w:val="both"/>
        <w:rPr>
          <w:b/>
        </w:rPr>
      </w:pPr>
      <w:r w:rsidRPr="00E46AF9">
        <w:rPr>
          <w:b/>
        </w:rPr>
        <w:t>REFERENCES</w:t>
      </w:r>
    </w:p>
    <w:p w14:paraId="28A906E6" w14:textId="77777777" w:rsidR="00E01807" w:rsidRPr="00E01807" w:rsidRDefault="00E01807" w:rsidP="00E01807">
      <w:pPr>
        <w:adjustRightInd w:val="0"/>
        <w:ind w:left="480" w:hanging="480"/>
        <w:jc w:val="both"/>
        <w:rPr>
          <w:noProof/>
          <w:sz w:val="24"/>
          <w:szCs w:val="24"/>
          <w:lang w:val="id" w:bidi="ar-SA"/>
        </w:rPr>
      </w:pPr>
      <w:r w:rsidRPr="00046673">
        <w:rPr>
          <w:b/>
          <w:w w:val="105"/>
          <w:sz w:val="24"/>
          <w:szCs w:val="24"/>
          <w:lang w:bidi="ar-SA"/>
        </w:rPr>
        <w:fldChar w:fldCharType="begin" w:fldLock="1"/>
      </w:r>
      <w:r w:rsidRPr="00E01807">
        <w:rPr>
          <w:b/>
          <w:w w:val="105"/>
          <w:sz w:val="24"/>
          <w:szCs w:val="24"/>
          <w:lang w:bidi="ar-SA"/>
        </w:rPr>
        <w:instrText xml:space="preserve">ADDIN Mendeley Bibliography CSL_BIBLIOGRAPHY </w:instrText>
      </w:r>
      <w:r w:rsidRPr="00046673">
        <w:rPr>
          <w:b/>
          <w:w w:val="105"/>
          <w:sz w:val="24"/>
          <w:szCs w:val="24"/>
          <w:lang w:bidi="ar-SA"/>
        </w:rPr>
        <w:fldChar w:fldCharType="separate"/>
      </w:r>
      <w:r w:rsidRPr="00E01807">
        <w:rPr>
          <w:noProof/>
          <w:sz w:val="24"/>
          <w:szCs w:val="24"/>
          <w:lang w:val="id" w:bidi="ar-SA"/>
        </w:rPr>
        <w:t xml:space="preserve">Abayomi, O. (2020). Personal Ethics and Fraudster Motivation : The Missing Link in Fraud Triangle and Fraud Diamond Theories. </w:t>
      </w:r>
      <w:r w:rsidRPr="00E01807">
        <w:rPr>
          <w:i/>
          <w:iCs/>
          <w:noProof/>
          <w:sz w:val="24"/>
          <w:szCs w:val="24"/>
          <w:lang w:val="id" w:bidi="ar-SA"/>
        </w:rPr>
        <w:t>International Journal of Academic Research in Business and Social Sciences</w:t>
      </w:r>
      <w:r w:rsidRPr="00E01807">
        <w:rPr>
          <w:noProof/>
          <w:sz w:val="24"/>
          <w:szCs w:val="24"/>
          <w:lang w:val="id" w:bidi="ar-SA"/>
        </w:rPr>
        <w:t xml:space="preserve">, </w:t>
      </w:r>
      <w:r w:rsidRPr="00E01807">
        <w:rPr>
          <w:i/>
          <w:iCs/>
          <w:noProof/>
          <w:sz w:val="24"/>
          <w:szCs w:val="24"/>
          <w:lang w:val="id" w:bidi="ar-SA"/>
        </w:rPr>
        <w:t>6</w:t>
      </w:r>
      <w:r w:rsidRPr="00E01807">
        <w:rPr>
          <w:noProof/>
          <w:sz w:val="24"/>
          <w:szCs w:val="24"/>
          <w:lang w:val="id" w:bidi="ar-SA"/>
        </w:rPr>
        <w:t>(2), 159–165. https://doi.org/10.6007/IJARBSS/v6-i2/2020</w:t>
      </w:r>
    </w:p>
    <w:p w14:paraId="777A6B29" w14:textId="77777777" w:rsidR="00E01807" w:rsidRPr="00E01807" w:rsidRDefault="00E01807" w:rsidP="00C146F4">
      <w:pPr>
        <w:adjustRightInd w:val="0"/>
        <w:jc w:val="both"/>
        <w:rPr>
          <w:noProof/>
          <w:sz w:val="24"/>
          <w:szCs w:val="24"/>
          <w:lang w:val="id" w:bidi="ar-SA"/>
        </w:rPr>
      </w:pPr>
    </w:p>
    <w:p w14:paraId="2E6DFA48" w14:textId="77777777" w:rsidR="00E01807" w:rsidRPr="00E01807" w:rsidRDefault="00E01807" w:rsidP="00E01807">
      <w:pPr>
        <w:ind w:left="426" w:right="61" w:hanging="426"/>
        <w:jc w:val="both"/>
        <w:rPr>
          <w:sz w:val="24"/>
          <w:szCs w:val="24"/>
          <w:lang w:val="id" w:bidi="ar-SA"/>
        </w:rPr>
      </w:pPr>
      <w:r w:rsidRPr="00E01807">
        <w:rPr>
          <w:sz w:val="24"/>
          <w:szCs w:val="24"/>
          <w:lang w:val="id" w:bidi="ar-SA"/>
        </w:rPr>
        <w:t xml:space="preserve">Albrecht, W. S., Albrecht, C. &amp; Albrecht, C. C. (2008). </w:t>
      </w:r>
      <w:r w:rsidRPr="00E01807">
        <w:rPr>
          <w:i/>
          <w:sz w:val="24"/>
          <w:szCs w:val="24"/>
          <w:lang w:val="id" w:bidi="ar-SA"/>
        </w:rPr>
        <w:t>Current Trends in Fraud and its Detection: A Global Perspective</w:t>
      </w:r>
      <w:r w:rsidRPr="00E01807">
        <w:rPr>
          <w:sz w:val="24"/>
          <w:szCs w:val="24"/>
          <w:lang w:val="id" w:bidi="ar-SA"/>
        </w:rPr>
        <w:t>. Information Security Journal Vol.17.</w:t>
      </w:r>
    </w:p>
    <w:p w14:paraId="4C2775B2" w14:textId="77777777" w:rsidR="00E01807" w:rsidRPr="00E01807" w:rsidRDefault="00E01807" w:rsidP="00E01807">
      <w:pPr>
        <w:adjustRightInd w:val="0"/>
        <w:jc w:val="both"/>
        <w:rPr>
          <w:noProof/>
          <w:sz w:val="24"/>
          <w:szCs w:val="24"/>
          <w:lang w:val="id" w:bidi="ar-SA"/>
        </w:rPr>
      </w:pPr>
    </w:p>
    <w:p w14:paraId="20DB09D4" w14:textId="77777777" w:rsidR="00E01807" w:rsidRPr="00E01807" w:rsidRDefault="00E01807" w:rsidP="00E01807">
      <w:pPr>
        <w:adjustRightInd w:val="0"/>
        <w:ind w:left="480" w:hanging="480"/>
        <w:jc w:val="both"/>
        <w:rPr>
          <w:noProof/>
          <w:sz w:val="24"/>
          <w:szCs w:val="24"/>
          <w:lang w:val="id" w:bidi="ar-SA"/>
        </w:rPr>
      </w:pPr>
      <w:r w:rsidRPr="00E01807">
        <w:rPr>
          <w:noProof/>
          <w:sz w:val="24"/>
          <w:szCs w:val="24"/>
          <w:lang w:val="id" w:bidi="ar-SA"/>
        </w:rPr>
        <w:t xml:space="preserve">Anisykurlillah, I. (2016). The Detection of Fraudulent Financial Statement with Fraud Diamond Analysis. </w:t>
      </w:r>
      <w:r w:rsidRPr="00E01807">
        <w:rPr>
          <w:i/>
          <w:iCs/>
          <w:noProof/>
          <w:sz w:val="24"/>
          <w:szCs w:val="24"/>
          <w:lang w:val="id" w:bidi="ar-SA"/>
        </w:rPr>
        <w:t>Accounting Analysis Journal</w:t>
      </w:r>
      <w:r w:rsidRPr="00E01807">
        <w:rPr>
          <w:noProof/>
          <w:sz w:val="24"/>
          <w:szCs w:val="24"/>
          <w:lang w:val="id" w:bidi="ar-SA"/>
        </w:rPr>
        <w:t xml:space="preserve">, </w:t>
      </w:r>
      <w:r w:rsidRPr="00E01807">
        <w:rPr>
          <w:i/>
          <w:iCs/>
          <w:noProof/>
          <w:sz w:val="24"/>
          <w:szCs w:val="24"/>
          <w:lang w:val="id" w:bidi="ar-SA"/>
        </w:rPr>
        <w:t>5</w:t>
      </w:r>
      <w:r w:rsidRPr="00E01807">
        <w:rPr>
          <w:noProof/>
          <w:sz w:val="24"/>
          <w:szCs w:val="24"/>
          <w:lang w:val="id" w:bidi="ar-SA"/>
        </w:rPr>
        <w:t>(3), 173–181.</w:t>
      </w:r>
    </w:p>
    <w:p w14:paraId="0E14CD88" w14:textId="77777777" w:rsidR="00E01807" w:rsidRPr="00E01807" w:rsidRDefault="00E01807" w:rsidP="00E01807">
      <w:pPr>
        <w:adjustRightInd w:val="0"/>
        <w:ind w:left="480" w:hanging="480"/>
        <w:jc w:val="both"/>
        <w:rPr>
          <w:noProof/>
          <w:sz w:val="24"/>
          <w:szCs w:val="24"/>
          <w:lang w:val="id" w:bidi="ar-SA"/>
        </w:rPr>
      </w:pPr>
    </w:p>
    <w:p w14:paraId="4F1D80C5" w14:textId="77777777" w:rsidR="00E01807" w:rsidRPr="00E01807" w:rsidRDefault="00E01807" w:rsidP="00E01807">
      <w:pPr>
        <w:adjustRightInd w:val="0"/>
        <w:ind w:left="480" w:hanging="480"/>
        <w:jc w:val="both"/>
        <w:rPr>
          <w:noProof/>
          <w:sz w:val="24"/>
          <w:szCs w:val="24"/>
          <w:lang w:val="id" w:bidi="ar-SA"/>
        </w:rPr>
      </w:pPr>
      <w:r w:rsidRPr="00E01807">
        <w:rPr>
          <w:noProof/>
          <w:sz w:val="24"/>
          <w:szCs w:val="24"/>
          <w:lang w:val="id" w:bidi="ar-SA"/>
        </w:rPr>
        <w:t xml:space="preserve">Boyle, D. M., Dezoort, F. T., &amp; Hermanson, D. R. (2015). J . Account . Public Policy The effect of alternative fraud model use on auditors ’ fraud risk judgments. </w:t>
      </w:r>
      <w:r w:rsidRPr="00E01807">
        <w:rPr>
          <w:i/>
          <w:iCs/>
          <w:noProof/>
          <w:sz w:val="24"/>
          <w:szCs w:val="24"/>
          <w:lang w:val="id" w:bidi="ar-SA"/>
        </w:rPr>
        <w:t>Journal of Accounting and Public Policy</w:t>
      </w:r>
      <w:r w:rsidRPr="00E01807">
        <w:rPr>
          <w:noProof/>
          <w:sz w:val="24"/>
          <w:szCs w:val="24"/>
          <w:lang w:val="id" w:bidi="ar-SA"/>
        </w:rPr>
        <w:t xml:space="preserve">, </w:t>
      </w:r>
      <w:r w:rsidRPr="00E01807">
        <w:rPr>
          <w:i/>
          <w:iCs/>
          <w:noProof/>
          <w:sz w:val="24"/>
          <w:szCs w:val="24"/>
          <w:lang w:val="id" w:bidi="ar-SA"/>
        </w:rPr>
        <w:t>34</w:t>
      </w:r>
      <w:r w:rsidRPr="00E01807">
        <w:rPr>
          <w:noProof/>
          <w:sz w:val="24"/>
          <w:szCs w:val="24"/>
          <w:lang w:val="id" w:bidi="ar-SA"/>
        </w:rPr>
        <w:t>(6), 578–596. https://doi.org/10.1016/j.jaccpubpol.2015.05.006</w:t>
      </w:r>
    </w:p>
    <w:p w14:paraId="39E1DF68" w14:textId="77777777" w:rsidR="00E01807" w:rsidRPr="00E01807" w:rsidRDefault="00E01807" w:rsidP="00E01807">
      <w:pPr>
        <w:adjustRightInd w:val="0"/>
        <w:ind w:left="480" w:hanging="480"/>
        <w:jc w:val="both"/>
        <w:rPr>
          <w:noProof/>
          <w:sz w:val="24"/>
          <w:szCs w:val="24"/>
          <w:lang w:val="id" w:bidi="ar-SA"/>
        </w:rPr>
      </w:pPr>
    </w:p>
    <w:p w14:paraId="29446A74" w14:textId="77777777" w:rsidR="00E01807" w:rsidRPr="00E01807" w:rsidRDefault="00E01807" w:rsidP="00E01807">
      <w:pPr>
        <w:adjustRightInd w:val="0"/>
        <w:ind w:left="480" w:hanging="480"/>
        <w:jc w:val="both"/>
        <w:rPr>
          <w:noProof/>
          <w:sz w:val="24"/>
          <w:szCs w:val="24"/>
          <w:lang w:val="id" w:bidi="ar-SA"/>
        </w:rPr>
      </w:pPr>
      <w:r w:rsidRPr="00E01807">
        <w:rPr>
          <w:noProof/>
          <w:sz w:val="24"/>
          <w:szCs w:val="24"/>
          <w:lang w:val="id" w:bidi="ar-SA"/>
        </w:rPr>
        <w:t xml:space="preserve">Dorminey, J., Fleming, A. S., Kranacher, M., &amp; Riley, R. A. (2012). The Evolution of Fraud Theory. </w:t>
      </w:r>
      <w:r w:rsidRPr="00E01807">
        <w:rPr>
          <w:i/>
          <w:iCs/>
          <w:noProof/>
          <w:sz w:val="24"/>
          <w:szCs w:val="24"/>
          <w:lang w:val="id" w:bidi="ar-SA"/>
        </w:rPr>
        <w:t>American Accounting Association</w:t>
      </w:r>
      <w:r w:rsidRPr="00E01807">
        <w:rPr>
          <w:noProof/>
          <w:sz w:val="24"/>
          <w:szCs w:val="24"/>
          <w:lang w:val="id" w:bidi="ar-SA"/>
        </w:rPr>
        <w:t xml:space="preserve">, </w:t>
      </w:r>
      <w:r w:rsidRPr="00E01807">
        <w:rPr>
          <w:i/>
          <w:iCs/>
          <w:noProof/>
          <w:sz w:val="24"/>
          <w:szCs w:val="24"/>
          <w:lang w:val="id" w:bidi="ar-SA"/>
        </w:rPr>
        <w:t>27</w:t>
      </w:r>
      <w:r w:rsidRPr="00E01807">
        <w:rPr>
          <w:noProof/>
          <w:sz w:val="24"/>
          <w:szCs w:val="24"/>
          <w:lang w:val="id" w:bidi="ar-SA"/>
        </w:rPr>
        <w:t>(2), 555–579. https://doi.org/10.2308/iace-50131</w:t>
      </w:r>
    </w:p>
    <w:p w14:paraId="40B4BD88" w14:textId="77777777" w:rsidR="00E01807" w:rsidRPr="00E01807" w:rsidRDefault="00E01807" w:rsidP="00E01807">
      <w:pPr>
        <w:adjustRightInd w:val="0"/>
        <w:ind w:left="480" w:hanging="480"/>
        <w:jc w:val="both"/>
        <w:rPr>
          <w:noProof/>
          <w:sz w:val="24"/>
          <w:szCs w:val="24"/>
          <w:lang w:val="id" w:bidi="ar-SA"/>
        </w:rPr>
      </w:pPr>
    </w:p>
    <w:p w14:paraId="70D7D8A1" w14:textId="77777777" w:rsidR="00E01807" w:rsidRPr="00E01807" w:rsidRDefault="00E01807" w:rsidP="00E01807">
      <w:pPr>
        <w:ind w:left="426" w:right="61" w:hanging="426"/>
        <w:jc w:val="both"/>
        <w:rPr>
          <w:sz w:val="24"/>
          <w:szCs w:val="24"/>
          <w:lang w:val="id" w:bidi="ar-SA"/>
        </w:rPr>
      </w:pPr>
      <w:r w:rsidRPr="00E01807">
        <w:rPr>
          <w:sz w:val="24"/>
          <w:szCs w:val="24"/>
          <w:lang w:val="id" w:bidi="ar-SA"/>
        </w:rPr>
        <w:t xml:space="preserve">Foster, G., 1986, </w:t>
      </w:r>
      <w:r w:rsidRPr="00E01807">
        <w:rPr>
          <w:i/>
          <w:sz w:val="24"/>
          <w:szCs w:val="24"/>
          <w:lang w:val="id" w:bidi="ar-SA"/>
        </w:rPr>
        <w:t xml:space="preserve">Financial Statement Analysis, </w:t>
      </w:r>
      <w:r w:rsidRPr="00E01807">
        <w:rPr>
          <w:sz w:val="24"/>
          <w:szCs w:val="24"/>
          <w:lang w:val="id" w:bidi="ar-SA"/>
        </w:rPr>
        <w:t>Second Edition, Englewood Cliffts, N.J.</w:t>
      </w:r>
      <w:r w:rsidRPr="00E01807">
        <w:rPr>
          <w:spacing w:val="40"/>
          <w:sz w:val="24"/>
          <w:szCs w:val="24"/>
          <w:lang w:val="id" w:bidi="ar-SA"/>
        </w:rPr>
        <w:t xml:space="preserve"> </w:t>
      </w:r>
      <w:r w:rsidRPr="00E01807">
        <w:rPr>
          <w:sz w:val="24"/>
          <w:szCs w:val="24"/>
          <w:lang w:val="id" w:bidi="ar-SA"/>
        </w:rPr>
        <w:t>Prentice Hall</w:t>
      </w:r>
    </w:p>
    <w:p w14:paraId="239E8A9B" w14:textId="77777777" w:rsidR="00E01807" w:rsidRPr="00E01807" w:rsidRDefault="00E01807" w:rsidP="00E01807">
      <w:pPr>
        <w:adjustRightInd w:val="0"/>
        <w:jc w:val="both"/>
        <w:rPr>
          <w:noProof/>
          <w:sz w:val="24"/>
          <w:szCs w:val="24"/>
          <w:lang w:val="id" w:bidi="ar-SA"/>
        </w:rPr>
      </w:pPr>
    </w:p>
    <w:p w14:paraId="1438285D" w14:textId="77777777" w:rsidR="00E01807" w:rsidRPr="00E01807" w:rsidRDefault="00E01807" w:rsidP="00E01807">
      <w:pPr>
        <w:ind w:left="426" w:right="62" w:hanging="426"/>
        <w:jc w:val="both"/>
        <w:rPr>
          <w:sz w:val="24"/>
          <w:szCs w:val="24"/>
          <w:lang w:val="id" w:bidi="ar-SA"/>
        </w:rPr>
      </w:pPr>
      <w:r w:rsidRPr="00E01807">
        <w:rPr>
          <w:sz w:val="24"/>
          <w:szCs w:val="24"/>
          <w:lang w:val="id" w:bidi="ar-SA"/>
        </w:rPr>
        <w:lastRenderedPageBreak/>
        <w:t xml:space="preserve">Gujarati, Damodar N., 1988. </w:t>
      </w:r>
      <w:r w:rsidRPr="00E01807">
        <w:rPr>
          <w:i/>
          <w:sz w:val="24"/>
          <w:szCs w:val="24"/>
          <w:lang w:val="id" w:bidi="ar-SA"/>
        </w:rPr>
        <w:t>Basic Econometrics</w:t>
      </w:r>
      <w:r w:rsidRPr="00E01807">
        <w:rPr>
          <w:sz w:val="24"/>
          <w:szCs w:val="24"/>
          <w:lang w:val="id" w:bidi="ar-SA"/>
        </w:rPr>
        <w:t>, Second edition, Mc Graw-Hill Book</w:t>
      </w:r>
      <w:r w:rsidRPr="00E01807">
        <w:rPr>
          <w:spacing w:val="80"/>
          <w:sz w:val="24"/>
          <w:szCs w:val="24"/>
          <w:lang w:val="id" w:bidi="ar-SA"/>
        </w:rPr>
        <w:t xml:space="preserve"> </w:t>
      </w:r>
      <w:r w:rsidRPr="00E01807">
        <w:rPr>
          <w:sz w:val="24"/>
          <w:szCs w:val="24"/>
          <w:lang w:val="id" w:bidi="ar-SA"/>
        </w:rPr>
        <w:t>Compan, New York</w:t>
      </w:r>
    </w:p>
    <w:p w14:paraId="49713946" w14:textId="77777777" w:rsidR="00E01807" w:rsidRPr="00E01807" w:rsidRDefault="00E01807" w:rsidP="00E01807">
      <w:pPr>
        <w:adjustRightInd w:val="0"/>
        <w:jc w:val="both"/>
        <w:rPr>
          <w:noProof/>
          <w:sz w:val="24"/>
          <w:szCs w:val="24"/>
          <w:lang w:val="id" w:bidi="ar-SA"/>
        </w:rPr>
      </w:pPr>
    </w:p>
    <w:p w14:paraId="17AF02D5" w14:textId="77777777" w:rsidR="00E01807" w:rsidRPr="00E01807" w:rsidRDefault="00E01807" w:rsidP="00E01807">
      <w:pPr>
        <w:adjustRightInd w:val="0"/>
        <w:ind w:left="480" w:hanging="480"/>
        <w:jc w:val="both"/>
        <w:rPr>
          <w:noProof/>
          <w:sz w:val="24"/>
          <w:szCs w:val="24"/>
          <w:lang w:val="id" w:bidi="ar-SA"/>
        </w:rPr>
      </w:pPr>
      <w:r w:rsidRPr="00E01807">
        <w:rPr>
          <w:noProof/>
          <w:sz w:val="24"/>
          <w:szCs w:val="24"/>
          <w:lang w:val="id" w:bidi="ar-SA"/>
        </w:rPr>
        <w:t xml:space="preserve">Gill, J. (2017). The Fraud Triangle on trial. </w:t>
      </w:r>
      <w:r w:rsidRPr="00E01807">
        <w:rPr>
          <w:i/>
          <w:iCs/>
          <w:noProof/>
          <w:sz w:val="24"/>
          <w:szCs w:val="24"/>
          <w:lang w:val="id" w:bidi="ar-SA"/>
        </w:rPr>
        <w:t>Fraud Magazine</w:t>
      </w:r>
      <w:r w:rsidRPr="00E01807">
        <w:rPr>
          <w:noProof/>
          <w:sz w:val="24"/>
          <w:szCs w:val="24"/>
          <w:lang w:val="id" w:bidi="ar-SA"/>
        </w:rPr>
        <w:t xml:space="preserve">, </w:t>
      </w:r>
      <w:r w:rsidRPr="00E01807">
        <w:rPr>
          <w:i/>
          <w:iCs/>
          <w:noProof/>
          <w:sz w:val="24"/>
          <w:szCs w:val="24"/>
          <w:lang w:val="id" w:bidi="ar-SA"/>
        </w:rPr>
        <w:t>2</w:t>
      </w:r>
      <w:r w:rsidRPr="00E01807">
        <w:rPr>
          <w:noProof/>
          <w:sz w:val="24"/>
          <w:szCs w:val="24"/>
          <w:lang w:val="id" w:bidi="ar-SA"/>
        </w:rPr>
        <w:t>(August 2014), 1–8.</w:t>
      </w:r>
    </w:p>
    <w:p w14:paraId="300C5509" w14:textId="77777777" w:rsidR="00E01807" w:rsidRPr="00E01807" w:rsidRDefault="00E01807" w:rsidP="00E01807">
      <w:pPr>
        <w:adjustRightInd w:val="0"/>
        <w:ind w:left="480" w:hanging="480"/>
        <w:jc w:val="both"/>
        <w:rPr>
          <w:noProof/>
          <w:sz w:val="24"/>
          <w:szCs w:val="24"/>
          <w:lang w:val="id" w:bidi="ar-SA"/>
        </w:rPr>
      </w:pPr>
    </w:p>
    <w:p w14:paraId="642701D3" w14:textId="77777777" w:rsidR="00E01807" w:rsidRPr="00E01807" w:rsidRDefault="00E01807" w:rsidP="00E01807">
      <w:pPr>
        <w:adjustRightInd w:val="0"/>
        <w:ind w:left="480" w:hanging="480"/>
        <w:jc w:val="both"/>
        <w:rPr>
          <w:noProof/>
          <w:sz w:val="24"/>
          <w:szCs w:val="24"/>
          <w:lang w:val="id" w:bidi="ar-SA"/>
        </w:rPr>
      </w:pPr>
      <w:r w:rsidRPr="00E01807">
        <w:rPr>
          <w:noProof/>
          <w:sz w:val="24"/>
          <w:szCs w:val="24"/>
          <w:lang w:val="id" w:bidi="ar-SA"/>
        </w:rPr>
        <w:t xml:space="preserve">Husmawati, P., Septriani, Y., Rosita, I., &amp; Handayani, D. (2017). Fraud Pentagon Analysis in Assessing the Likelihood of Fraudulent Financial Statement ( Study on Manufacturing Firms Listed in Bursa Efek Indonesia Period 2013-2016 ). </w:t>
      </w:r>
      <w:r w:rsidRPr="00E01807">
        <w:rPr>
          <w:i/>
          <w:iCs/>
          <w:noProof/>
          <w:sz w:val="24"/>
          <w:szCs w:val="24"/>
          <w:lang w:val="id" w:bidi="ar-SA"/>
        </w:rPr>
        <w:t>International Conference of Applied Science on Engineering, Business, Linguistics and Information Technology</w:t>
      </w:r>
      <w:r w:rsidRPr="00E01807">
        <w:rPr>
          <w:noProof/>
          <w:sz w:val="24"/>
          <w:szCs w:val="24"/>
          <w:lang w:val="id" w:bidi="ar-SA"/>
        </w:rPr>
        <w:t xml:space="preserve">, </w:t>
      </w:r>
      <w:r w:rsidRPr="00E01807">
        <w:rPr>
          <w:i/>
          <w:iCs/>
          <w:noProof/>
          <w:sz w:val="24"/>
          <w:szCs w:val="24"/>
          <w:lang w:val="id" w:bidi="ar-SA"/>
        </w:rPr>
        <w:t>October</w:t>
      </w:r>
      <w:r w:rsidRPr="00E01807">
        <w:rPr>
          <w:noProof/>
          <w:sz w:val="24"/>
          <w:szCs w:val="24"/>
          <w:lang w:val="id" w:bidi="ar-SA"/>
        </w:rPr>
        <w:t>, 13–15.</w:t>
      </w:r>
    </w:p>
    <w:p w14:paraId="477DE766" w14:textId="77777777" w:rsidR="00E01807" w:rsidRPr="00E01807" w:rsidRDefault="00E01807" w:rsidP="00E01807">
      <w:pPr>
        <w:adjustRightInd w:val="0"/>
        <w:ind w:left="480" w:hanging="480"/>
        <w:jc w:val="both"/>
        <w:rPr>
          <w:noProof/>
          <w:sz w:val="24"/>
          <w:szCs w:val="24"/>
          <w:lang w:val="id" w:bidi="ar-SA"/>
        </w:rPr>
      </w:pPr>
    </w:p>
    <w:p w14:paraId="44231589" w14:textId="77777777" w:rsidR="00E01807" w:rsidRPr="00E01807" w:rsidRDefault="00E01807" w:rsidP="00E01807">
      <w:pPr>
        <w:adjustRightInd w:val="0"/>
        <w:ind w:left="480" w:hanging="480"/>
        <w:jc w:val="both"/>
        <w:rPr>
          <w:noProof/>
          <w:sz w:val="24"/>
          <w:szCs w:val="24"/>
          <w:lang w:val="id" w:bidi="ar-SA"/>
        </w:rPr>
      </w:pPr>
      <w:r w:rsidRPr="00E01807">
        <w:rPr>
          <w:noProof/>
          <w:sz w:val="24"/>
          <w:szCs w:val="24"/>
          <w:lang w:val="id" w:bidi="ar-SA"/>
        </w:rPr>
        <w:t xml:space="preserve">Jack, W., Scott, A., Richard, A., The, J., &amp; Journal, C. P. A. (2012). Financial Fraud. </w:t>
      </w:r>
      <w:r w:rsidRPr="00E01807">
        <w:rPr>
          <w:i/>
          <w:iCs/>
          <w:noProof/>
          <w:sz w:val="24"/>
          <w:szCs w:val="24"/>
          <w:lang w:val="id" w:bidi="ar-SA"/>
        </w:rPr>
        <w:t>The CPA Journal; New York</w:t>
      </w:r>
      <w:r w:rsidRPr="00E01807">
        <w:rPr>
          <w:noProof/>
          <w:sz w:val="24"/>
          <w:szCs w:val="24"/>
          <w:lang w:val="id" w:bidi="ar-SA"/>
        </w:rPr>
        <w:t xml:space="preserve">, </w:t>
      </w:r>
      <w:r w:rsidRPr="00E01807">
        <w:rPr>
          <w:i/>
          <w:iCs/>
          <w:noProof/>
          <w:sz w:val="24"/>
          <w:szCs w:val="24"/>
          <w:lang w:val="id" w:bidi="ar-SA"/>
        </w:rPr>
        <w:t>82</w:t>
      </w:r>
      <w:r w:rsidRPr="00E01807">
        <w:rPr>
          <w:noProof/>
          <w:sz w:val="24"/>
          <w:szCs w:val="24"/>
          <w:lang w:val="id" w:bidi="ar-SA"/>
        </w:rPr>
        <w:t>(Jun), 61–65.</w:t>
      </w:r>
    </w:p>
    <w:p w14:paraId="10FE0EAD" w14:textId="77777777" w:rsidR="00E01807" w:rsidRPr="00E01807" w:rsidRDefault="00E01807" w:rsidP="00E01807">
      <w:pPr>
        <w:adjustRightInd w:val="0"/>
        <w:ind w:left="480" w:hanging="480"/>
        <w:jc w:val="both"/>
        <w:rPr>
          <w:noProof/>
          <w:sz w:val="24"/>
          <w:szCs w:val="24"/>
          <w:lang w:val="id" w:bidi="ar-SA"/>
        </w:rPr>
      </w:pPr>
    </w:p>
    <w:p w14:paraId="7D85B785" w14:textId="77777777" w:rsidR="00E01807" w:rsidRPr="00E01807" w:rsidRDefault="00E01807" w:rsidP="00E01807">
      <w:pPr>
        <w:adjustRightInd w:val="0"/>
        <w:ind w:left="480" w:hanging="480"/>
        <w:jc w:val="both"/>
        <w:rPr>
          <w:noProof/>
          <w:sz w:val="24"/>
          <w:szCs w:val="24"/>
          <w:lang w:val="id" w:bidi="ar-SA"/>
        </w:rPr>
      </w:pPr>
      <w:r w:rsidRPr="00E01807">
        <w:rPr>
          <w:noProof/>
          <w:sz w:val="24"/>
          <w:szCs w:val="24"/>
          <w:lang w:val="id" w:bidi="ar-SA"/>
        </w:rPr>
        <w:t xml:space="preserve">Mackevičius, J., &amp; Giriūnas, L. (2013). Transformational Research of the Fraud Triangle. </w:t>
      </w:r>
      <w:r w:rsidRPr="00E01807">
        <w:rPr>
          <w:i/>
          <w:iCs/>
          <w:noProof/>
          <w:sz w:val="24"/>
          <w:szCs w:val="24"/>
          <w:lang w:val="id" w:bidi="ar-SA"/>
        </w:rPr>
        <w:t>Ekonomika</w:t>
      </w:r>
      <w:r w:rsidRPr="00E01807">
        <w:rPr>
          <w:noProof/>
          <w:sz w:val="24"/>
          <w:szCs w:val="24"/>
          <w:lang w:val="id" w:bidi="ar-SA"/>
        </w:rPr>
        <w:t xml:space="preserve">, </w:t>
      </w:r>
      <w:r w:rsidRPr="00E01807">
        <w:rPr>
          <w:i/>
          <w:iCs/>
          <w:noProof/>
          <w:sz w:val="24"/>
          <w:szCs w:val="24"/>
          <w:lang w:val="id" w:bidi="ar-SA"/>
        </w:rPr>
        <w:t>92</w:t>
      </w:r>
      <w:r w:rsidRPr="00E01807">
        <w:rPr>
          <w:noProof/>
          <w:sz w:val="24"/>
          <w:szCs w:val="24"/>
          <w:lang w:val="id" w:bidi="ar-SA"/>
        </w:rPr>
        <w:t>(4), 150–163.</w:t>
      </w:r>
    </w:p>
    <w:p w14:paraId="0DDE5DC2" w14:textId="77777777" w:rsidR="00E01807" w:rsidRPr="00E01807" w:rsidRDefault="00E01807" w:rsidP="00E01807">
      <w:pPr>
        <w:adjustRightInd w:val="0"/>
        <w:ind w:left="480" w:hanging="480"/>
        <w:jc w:val="both"/>
        <w:rPr>
          <w:noProof/>
          <w:sz w:val="24"/>
          <w:szCs w:val="24"/>
          <w:lang w:val="id" w:bidi="ar-SA"/>
        </w:rPr>
      </w:pPr>
    </w:p>
    <w:p w14:paraId="26BF9972" w14:textId="77777777" w:rsidR="00E01807" w:rsidRPr="00E01807" w:rsidRDefault="00E01807" w:rsidP="00E01807">
      <w:pPr>
        <w:ind w:left="426" w:right="62" w:hanging="426"/>
        <w:jc w:val="both"/>
        <w:rPr>
          <w:sz w:val="24"/>
          <w:szCs w:val="24"/>
          <w:lang w:val="id" w:bidi="ar-SA"/>
        </w:rPr>
      </w:pPr>
      <w:r w:rsidRPr="00E01807">
        <w:rPr>
          <w:sz w:val="24"/>
          <w:szCs w:val="24"/>
          <w:lang w:val="id" w:bidi="ar-SA"/>
        </w:rPr>
        <w:t xml:space="preserve">Mitton, Todd, 2001, A Cross-firm Analysis of the Impact of Corporate Governance the East Asian Financial Crisis, </w:t>
      </w:r>
      <w:r w:rsidRPr="00E01807">
        <w:rPr>
          <w:i/>
          <w:sz w:val="24"/>
          <w:szCs w:val="24"/>
          <w:lang w:val="id" w:bidi="ar-SA"/>
        </w:rPr>
        <w:t>Journal of Financial Economics</w:t>
      </w:r>
      <w:r w:rsidRPr="00E01807">
        <w:rPr>
          <w:sz w:val="24"/>
          <w:szCs w:val="24"/>
          <w:lang w:val="id" w:bidi="ar-SA"/>
        </w:rPr>
        <w:t>, p.1-30</w:t>
      </w:r>
    </w:p>
    <w:p w14:paraId="1F6E6636" w14:textId="77777777" w:rsidR="00E01807" w:rsidRPr="00E01807" w:rsidRDefault="00E01807" w:rsidP="00E01807">
      <w:pPr>
        <w:adjustRightInd w:val="0"/>
        <w:ind w:left="480" w:hanging="480"/>
        <w:jc w:val="both"/>
        <w:rPr>
          <w:noProof/>
          <w:sz w:val="24"/>
          <w:szCs w:val="24"/>
          <w:lang w:val="id" w:bidi="ar-SA"/>
        </w:rPr>
      </w:pPr>
    </w:p>
    <w:p w14:paraId="6953D725" w14:textId="77777777" w:rsidR="00E01807" w:rsidRPr="00E01807" w:rsidRDefault="00E01807" w:rsidP="00E01807">
      <w:pPr>
        <w:adjustRightInd w:val="0"/>
        <w:ind w:left="480" w:hanging="480"/>
        <w:jc w:val="both"/>
        <w:rPr>
          <w:noProof/>
          <w:sz w:val="24"/>
          <w:szCs w:val="24"/>
          <w:lang w:val="id" w:bidi="ar-SA"/>
        </w:rPr>
      </w:pPr>
      <w:r w:rsidRPr="00E01807">
        <w:rPr>
          <w:noProof/>
          <w:sz w:val="24"/>
          <w:szCs w:val="24"/>
          <w:lang w:val="id" w:bidi="ar-SA"/>
        </w:rPr>
        <w:t xml:space="preserve">Mohamed, N., &amp; Handley-schachelor, M. (2014). Financial statement fraud risk mechanisms and strategies : the case studies of Malaysian commercial companies. </w:t>
      </w:r>
      <w:r w:rsidRPr="00E01807">
        <w:rPr>
          <w:i/>
          <w:iCs/>
          <w:noProof/>
          <w:sz w:val="24"/>
          <w:szCs w:val="24"/>
          <w:lang w:val="id" w:bidi="ar-SA"/>
        </w:rPr>
        <w:t>Procedia - Social and Behavioral Sciences</w:t>
      </w:r>
      <w:r w:rsidRPr="00E01807">
        <w:rPr>
          <w:noProof/>
          <w:sz w:val="24"/>
          <w:szCs w:val="24"/>
          <w:lang w:val="id" w:bidi="ar-SA"/>
        </w:rPr>
        <w:t xml:space="preserve">, </w:t>
      </w:r>
      <w:r w:rsidRPr="00E01807">
        <w:rPr>
          <w:i/>
          <w:iCs/>
          <w:noProof/>
          <w:sz w:val="24"/>
          <w:szCs w:val="24"/>
          <w:lang w:val="id" w:bidi="ar-SA"/>
        </w:rPr>
        <w:t>145</w:t>
      </w:r>
      <w:r w:rsidRPr="00E01807">
        <w:rPr>
          <w:noProof/>
          <w:sz w:val="24"/>
          <w:szCs w:val="24"/>
          <w:lang w:val="id" w:bidi="ar-SA"/>
        </w:rPr>
        <w:t>, 321–329. https://doi.org/10.1016/j.sbspro.2014.06.041</w:t>
      </w:r>
    </w:p>
    <w:p w14:paraId="507182C1" w14:textId="77777777" w:rsidR="00E01807" w:rsidRPr="00E01807" w:rsidRDefault="00E01807" w:rsidP="00E01807">
      <w:pPr>
        <w:adjustRightInd w:val="0"/>
        <w:ind w:left="480" w:hanging="480"/>
        <w:jc w:val="both"/>
        <w:rPr>
          <w:noProof/>
          <w:sz w:val="24"/>
          <w:szCs w:val="24"/>
          <w:lang w:val="id" w:bidi="ar-SA"/>
        </w:rPr>
      </w:pPr>
    </w:p>
    <w:p w14:paraId="2DB1F790" w14:textId="77777777" w:rsidR="00E01807" w:rsidRPr="00E01807" w:rsidRDefault="00E01807" w:rsidP="00E01807">
      <w:pPr>
        <w:adjustRightInd w:val="0"/>
        <w:ind w:left="480" w:hanging="480"/>
        <w:jc w:val="both"/>
        <w:rPr>
          <w:noProof/>
          <w:sz w:val="24"/>
          <w:szCs w:val="24"/>
          <w:lang w:val="id" w:bidi="ar-SA"/>
        </w:rPr>
      </w:pPr>
      <w:r w:rsidRPr="00E01807">
        <w:rPr>
          <w:noProof/>
          <w:sz w:val="24"/>
          <w:szCs w:val="24"/>
          <w:lang w:val="id" w:bidi="ar-SA"/>
        </w:rPr>
        <w:t xml:space="preserve">Mui, Grace and Mailley, J. (2015). A tale of two triangles: comparing the Fraud Triangle with criminology’s crime triangle. </w:t>
      </w:r>
      <w:r w:rsidRPr="00E01807">
        <w:rPr>
          <w:i/>
          <w:iCs/>
          <w:noProof/>
          <w:sz w:val="24"/>
          <w:szCs w:val="24"/>
          <w:lang w:val="id" w:bidi="ar-SA"/>
        </w:rPr>
        <w:t>Accounting Research Journal</w:t>
      </w:r>
      <w:r w:rsidRPr="00E01807">
        <w:rPr>
          <w:noProof/>
          <w:sz w:val="24"/>
          <w:szCs w:val="24"/>
          <w:lang w:val="id" w:bidi="ar-SA"/>
        </w:rPr>
        <w:t xml:space="preserve">, </w:t>
      </w:r>
      <w:r w:rsidRPr="00E01807">
        <w:rPr>
          <w:i/>
          <w:iCs/>
          <w:noProof/>
          <w:sz w:val="24"/>
          <w:szCs w:val="24"/>
          <w:lang w:val="id" w:bidi="ar-SA"/>
        </w:rPr>
        <w:t>28</w:t>
      </w:r>
      <w:r w:rsidRPr="00E01807">
        <w:rPr>
          <w:noProof/>
          <w:sz w:val="24"/>
          <w:szCs w:val="24"/>
          <w:lang w:val="id" w:bidi="ar-SA"/>
        </w:rPr>
        <w:t>(1), 45–58.</w:t>
      </w:r>
    </w:p>
    <w:p w14:paraId="1F7313CD" w14:textId="77777777" w:rsidR="00E01807" w:rsidRPr="00E01807" w:rsidRDefault="00E01807" w:rsidP="00E01807">
      <w:pPr>
        <w:adjustRightInd w:val="0"/>
        <w:ind w:left="480" w:hanging="480"/>
        <w:jc w:val="both"/>
        <w:rPr>
          <w:noProof/>
          <w:sz w:val="24"/>
          <w:szCs w:val="24"/>
          <w:lang w:val="id" w:bidi="ar-SA"/>
        </w:rPr>
      </w:pPr>
    </w:p>
    <w:p w14:paraId="1CCB53B3" w14:textId="77777777" w:rsidR="00E01807" w:rsidRPr="00E01807" w:rsidRDefault="00E01807" w:rsidP="00E01807">
      <w:pPr>
        <w:ind w:left="426" w:right="62" w:hanging="426"/>
        <w:jc w:val="both"/>
        <w:rPr>
          <w:sz w:val="24"/>
          <w:szCs w:val="24"/>
          <w:lang w:val="id" w:bidi="ar-SA"/>
        </w:rPr>
      </w:pPr>
      <w:r w:rsidRPr="00E01807">
        <w:rPr>
          <w:sz w:val="24"/>
          <w:szCs w:val="24"/>
          <w:lang w:val="id" w:bidi="ar-SA"/>
        </w:rPr>
        <w:t xml:space="preserve">Murphy,P.,&amp; Dacin,T. (2011). </w:t>
      </w:r>
      <w:r w:rsidRPr="00E01807">
        <w:rPr>
          <w:i/>
          <w:sz w:val="24"/>
          <w:szCs w:val="24"/>
          <w:lang w:val="id" w:bidi="ar-SA"/>
        </w:rPr>
        <w:t>Psychological pathways to fraud: Understanding and</w:t>
      </w:r>
      <w:r w:rsidRPr="00E01807">
        <w:rPr>
          <w:i/>
          <w:spacing w:val="80"/>
          <w:w w:val="150"/>
          <w:sz w:val="24"/>
          <w:szCs w:val="24"/>
          <w:lang w:val="id" w:bidi="ar-SA"/>
        </w:rPr>
        <w:t xml:space="preserve"> </w:t>
      </w:r>
      <w:r w:rsidRPr="00E01807">
        <w:rPr>
          <w:i/>
          <w:sz w:val="24"/>
          <w:szCs w:val="24"/>
          <w:lang w:val="id" w:bidi="ar-SA"/>
        </w:rPr>
        <w:t>preventing fraud in organizations</w:t>
      </w:r>
      <w:r w:rsidRPr="00E01807">
        <w:rPr>
          <w:sz w:val="24"/>
          <w:szCs w:val="24"/>
          <w:lang w:val="id" w:bidi="ar-SA"/>
        </w:rPr>
        <w:t>. Journal of Business Ethics, 101(4), 601–618.</w:t>
      </w:r>
    </w:p>
    <w:p w14:paraId="3F56C4A8" w14:textId="77777777" w:rsidR="00E01807" w:rsidRPr="00E01807" w:rsidRDefault="00E01807" w:rsidP="00E01807">
      <w:pPr>
        <w:ind w:left="426" w:right="62" w:hanging="426"/>
        <w:jc w:val="both"/>
        <w:rPr>
          <w:sz w:val="24"/>
          <w:szCs w:val="24"/>
          <w:lang w:val="id" w:bidi="ar-SA"/>
        </w:rPr>
      </w:pPr>
    </w:p>
    <w:p w14:paraId="7EC33792" w14:textId="77777777" w:rsidR="00E01807" w:rsidRPr="00E01807" w:rsidRDefault="00E01807" w:rsidP="00E01807">
      <w:pPr>
        <w:ind w:left="426" w:hanging="426"/>
        <w:jc w:val="both"/>
        <w:rPr>
          <w:sz w:val="24"/>
          <w:szCs w:val="24"/>
          <w:lang w:val="id" w:bidi="ar-SA"/>
        </w:rPr>
      </w:pPr>
      <w:r w:rsidRPr="00E01807">
        <w:rPr>
          <w:sz w:val="24"/>
          <w:szCs w:val="24"/>
          <w:lang w:val="id" w:bidi="ar-SA"/>
        </w:rPr>
        <w:t>Murphy,P.</w:t>
      </w:r>
      <w:r w:rsidRPr="00E01807">
        <w:rPr>
          <w:spacing w:val="72"/>
          <w:w w:val="150"/>
          <w:sz w:val="24"/>
          <w:szCs w:val="24"/>
          <w:lang w:val="id" w:bidi="ar-SA"/>
        </w:rPr>
        <w:t xml:space="preserve"> </w:t>
      </w:r>
      <w:r w:rsidRPr="00E01807">
        <w:rPr>
          <w:sz w:val="24"/>
          <w:szCs w:val="24"/>
          <w:lang w:val="id" w:bidi="ar-SA"/>
        </w:rPr>
        <w:t>(2012).</w:t>
      </w:r>
      <w:r w:rsidRPr="00E01807">
        <w:rPr>
          <w:spacing w:val="73"/>
          <w:w w:val="150"/>
          <w:sz w:val="24"/>
          <w:szCs w:val="24"/>
          <w:lang w:val="id" w:bidi="ar-SA"/>
        </w:rPr>
        <w:t xml:space="preserve"> </w:t>
      </w:r>
      <w:r w:rsidRPr="00E01807">
        <w:rPr>
          <w:i/>
          <w:sz w:val="24"/>
          <w:szCs w:val="24"/>
          <w:lang w:val="id" w:bidi="ar-SA"/>
        </w:rPr>
        <w:t>Attitude,</w:t>
      </w:r>
      <w:r w:rsidRPr="00E01807">
        <w:rPr>
          <w:i/>
          <w:spacing w:val="73"/>
          <w:w w:val="150"/>
          <w:sz w:val="24"/>
          <w:szCs w:val="24"/>
          <w:lang w:val="id" w:bidi="ar-SA"/>
        </w:rPr>
        <w:t xml:space="preserve"> </w:t>
      </w:r>
      <w:r w:rsidRPr="00E01807">
        <w:rPr>
          <w:i/>
          <w:sz w:val="24"/>
          <w:szCs w:val="24"/>
          <w:lang w:val="id" w:bidi="ar-SA"/>
        </w:rPr>
        <w:t>Machiavellianism</w:t>
      </w:r>
      <w:r w:rsidRPr="00E01807">
        <w:rPr>
          <w:i/>
          <w:spacing w:val="71"/>
          <w:w w:val="150"/>
          <w:sz w:val="24"/>
          <w:szCs w:val="24"/>
          <w:lang w:val="id" w:bidi="ar-SA"/>
        </w:rPr>
        <w:t xml:space="preserve"> </w:t>
      </w:r>
      <w:r w:rsidRPr="00E01807">
        <w:rPr>
          <w:i/>
          <w:sz w:val="24"/>
          <w:szCs w:val="24"/>
          <w:lang w:val="id" w:bidi="ar-SA"/>
        </w:rPr>
        <w:t>and</w:t>
      </w:r>
      <w:r w:rsidRPr="00E01807">
        <w:rPr>
          <w:i/>
          <w:spacing w:val="72"/>
          <w:w w:val="150"/>
          <w:sz w:val="24"/>
          <w:szCs w:val="24"/>
          <w:lang w:val="id" w:bidi="ar-SA"/>
        </w:rPr>
        <w:t xml:space="preserve"> </w:t>
      </w:r>
      <w:r w:rsidRPr="00E01807">
        <w:rPr>
          <w:i/>
          <w:sz w:val="24"/>
          <w:szCs w:val="24"/>
          <w:lang w:val="id" w:bidi="ar-SA"/>
        </w:rPr>
        <w:t>the</w:t>
      </w:r>
      <w:r w:rsidRPr="00E01807">
        <w:rPr>
          <w:i/>
          <w:spacing w:val="75"/>
          <w:w w:val="150"/>
          <w:sz w:val="24"/>
          <w:szCs w:val="24"/>
          <w:lang w:val="id" w:bidi="ar-SA"/>
        </w:rPr>
        <w:t xml:space="preserve"> </w:t>
      </w:r>
      <w:r w:rsidRPr="00E01807">
        <w:rPr>
          <w:i/>
          <w:sz w:val="24"/>
          <w:szCs w:val="24"/>
          <w:lang w:val="id" w:bidi="ar-SA"/>
        </w:rPr>
        <w:t>rationalization</w:t>
      </w:r>
      <w:r w:rsidRPr="00E01807">
        <w:rPr>
          <w:i/>
          <w:spacing w:val="68"/>
          <w:w w:val="150"/>
          <w:sz w:val="24"/>
          <w:szCs w:val="24"/>
          <w:lang w:val="id" w:bidi="ar-SA"/>
        </w:rPr>
        <w:t xml:space="preserve"> </w:t>
      </w:r>
      <w:r w:rsidRPr="00E01807">
        <w:rPr>
          <w:i/>
          <w:sz w:val="24"/>
          <w:szCs w:val="24"/>
          <w:lang w:val="id" w:bidi="ar-SA"/>
        </w:rPr>
        <w:t>of</w:t>
      </w:r>
      <w:r w:rsidRPr="00E01807">
        <w:rPr>
          <w:i/>
          <w:spacing w:val="74"/>
          <w:w w:val="150"/>
          <w:sz w:val="24"/>
          <w:szCs w:val="24"/>
          <w:lang w:val="id" w:bidi="ar-SA"/>
        </w:rPr>
        <w:t xml:space="preserve"> </w:t>
      </w:r>
      <w:r w:rsidRPr="00E01807">
        <w:rPr>
          <w:i/>
          <w:spacing w:val="-2"/>
          <w:sz w:val="24"/>
          <w:szCs w:val="24"/>
          <w:lang w:val="id" w:bidi="ar-SA"/>
        </w:rPr>
        <w:t>misreporting</w:t>
      </w:r>
      <w:r w:rsidRPr="00E01807">
        <w:rPr>
          <w:spacing w:val="-2"/>
          <w:sz w:val="24"/>
          <w:szCs w:val="24"/>
          <w:lang w:val="id" w:bidi="ar-SA"/>
        </w:rPr>
        <w:t>.</w:t>
      </w:r>
      <w:r w:rsidRPr="00E01807">
        <w:rPr>
          <w:sz w:val="24"/>
          <w:szCs w:val="24"/>
          <w:lang w:val="id" w:bidi="ar-SA"/>
        </w:rPr>
        <w:t>Accounting,</w:t>
      </w:r>
      <w:r w:rsidRPr="00E01807">
        <w:rPr>
          <w:spacing w:val="15"/>
          <w:sz w:val="24"/>
          <w:szCs w:val="24"/>
          <w:lang w:val="id" w:bidi="ar-SA"/>
        </w:rPr>
        <w:t xml:space="preserve"> </w:t>
      </w:r>
      <w:r w:rsidRPr="00E01807">
        <w:rPr>
          <w:sz w:val="24"/>
          <w:szCs w:val="24"/>
          <w:lang w:val="id" w:bidi="ar-SA"/>
        </w:rPr>
        <w:t>Organizations</w:t>
      </w:r>
      <w:r w:rsidRPr="00E01807">
        <w:rPr>
          <w:spacing w:val="16"/>
          <w:sz w:val="24"/>
          <w:szCs w:val="24"/>
          <w:lang w:val="id" w:bidi="ar-SA"/>
        </w:rPr>
        <w:t xml:space="preserve"> </w:t>
      </w:r>
      <w:r w:rsidRPr="00E01807">
        <w:rPr>
          <w:sz w:val="24"/>
          <w:szCs w:val="24"/>
          <w:lang w:val="id" w:bidi="ar-SA"/>
        </w:rPr>
        <w:t>and</w:t>
      </w:r>
      <w:r w:rsidRPr="00E01807">
        <w:rPr>
          <w:spacing w:val="15"/>
          <w:sz w:val="24"/>
          <w:szCs w:val="24"/>
          <w:lang w:val="id" w:bidi="ar-SA"/>
        </w:rPr>
        <w:t xml:space="preserve"> </w:t>
      </w:r>
      <w:r w:rsidRPr="00E01807">
        <w:rPr>
          <w:sz w:val="24"/>
          <w:szCs w:val="24"/>
          <w:lang w:val="id" w:bidi="ar-SA"/>
        </w:rPr>
        <w:t>Society,</w:t>
      </w:r>
      <w:r w:rsidRPr="00E01807">
        <w:rPr>
          <w:spacing w:val="15"/>
          <w:sz w:val="24"/>
          <w:szCs w:val="24"/>
          <w:lang w:val="id" w:bidi="ar-SA"/>
        </w:rPr>
        <w:t xml:space="preserve"> </w:t>
      </w:r>
      <w:r w:rsidRPr="00E01807">
        <w:rPr>
          <w:sz w:val="24"/>
          <w:szCs w:val="24"/>
          <w:lang w:val="id" w:bidi="ar-SA"/>
        </w:rPr>
        <w:t>37(5),</w:t>
      </w:r>
      <w:r w:rsidRPr="00E01807">
        <w:rPr>
          <w:spacing w:val="16"/>
          <w:sz w:val="24"/>
          <w:szCs w:val="24"/>
          <w:lang w:val="id" w:bidi="ar-SA"/>
        </w:rPr>
        <w:t xml:space="preserve"> </w:t>
      </w:r>
      <w:r w:rsidRPr="00E01807">
        <w:rPr>
          <w:spacing w:val="-2"/>
          <w:sz w:val="24"/>
          <w:szCs w:val="24"/>
          <w:lang w:val="id" w:bidi="ar-SA"/>
        </w:rPr>
        <w:t>242–259.</w:t>
      </w:r>
    </w:p>
    <w:p w14:paraId="2237D460" w14:textId="77777777" w:rsidR="00E01807" w:rsidRPr="00E01807" w:rsidRDefault="00E01807" w:rsidP="00E01807">
      <w:pPr>
        <w:spacing w:before="8"/>
        <w:ind w:left="751"/>
        <w:rPr>
          <w:sz w:val="24"/>
          <w:szCs w:val="24"/>
          <w:lang w:val="id" w:bidi="ar-SA"/>
        </w:rPr>
      </w:pPr>
    </w:p>
    <w:p w14:paraId="52DB35EC" w14:textId="77777777" w:rsidR="00E01807" w:rsidRPr="00E01807" w:rsidRDefault="00E01807" w:rsidP="00E01807">
      <w:pPr>
        <w:spacing w:before="52"/>
        <w:ind w:left="426" w:right="62" w:hanging="426"/>
        <w:jc w:val="both"/>
        <w:rPr>
          <w:spacing w:val="-2"/>
          <w:sz w:val="24"/>
          <w:szCs w:val="24"/>
          <w:lang w:val="id" w:bidi="ar-SA"/>
        </w:rPr>
      </w:pPr>
      <w:r w:rsidRPr="00E01807">
        <w:rPr>
          <w:sz w:val="24"/>
          <w:szCs w:val="24"/>
          <w:lang w:val="id" w:bidi="ar-SA"/>
        </w:rPr>
        <w:t xml:space="preserve">Naim, Ainun, 2000, Timeliness of Annual Financial Statement Submission: A Preliminary Empirical Evidence From Indonesia, </w:t>
      </w:r>
      <w:r w:rsidRPr="00E01807">
        <w:rPr>
          <w:i/>
          <w:sz w:val="24"/>
          <w:szCs w:val="24"/>
          <w:lang w:val="id" w:bidi="ar-SA"/>
        </w:rPr>
        <w:t>Asian Academy of Management Journal</w:t>
      </w:r>
      <w:r w:rsidRPr="00E01807">
        <w:rPr>
          <w:sz w:val="24"/>
          <w:szCs w:val="24"/>
          <w:lang w:val="id" w:bidi="ar-SA"/>
        </w:rPr>
        <w:t>, July,</w:t>
      </w:r>
      <w:r w:rsidRPr="00E01807">
        <w:rPr>
          <w:spacing w:val="80"/>
          <w:sz w:val="24"/>
          <w:szCs w:val="24"/>
          <w:lang w:val="id" w:bidi="ar-SA"/>
        </w:rPr>
        <w:t xml:space="preserve"> </w:t>
      </w:r>
      <w:r w:rsidRPr="00E01807">
        <w:rPr>
          <w:spacing w:val="-2"/>
          <w:sz w:val="24"/>
          <w:szCs w:val="24"/>
          <w:lang w:val="id" w:bidi="ar-SA"/>
        </w:rPr>
        <w:t>pp.45-64</w:t>
      </w:r>
    </w:p>
    <w:p w14:paraId="3EB090C7" w14:textId="77777777" w:rsidR="00E01807" w:rsidRPr="00E01807" w:rsidRDefault="00E01807" w:rsidP="00E01807">
      <w:pPr>
        <w:spacing w:before="52"/>
        <w:ind w:left="426" w:right="62" w:hanging="426"/>
        <w:jc w:val="both"/>
        <w:rPr>
          <w:spacing w:val="-2"/>
          <w:sz w:val="24"/>
          <w:szCs w:val="24"/>
          <w:lang w:val="id" w:bidi="ar-SA"/>
        </w:rPr>
      </w:pPr>
    </w:p>
    <w:p w14:paraId="16AEE74E" w14:textId="77777777" w:rsidR="00E01807" w:rsidRPr="00E01807" w:rsidRDefault="00E01807" w:rsidP="00E01807">
      <w:pPr>
        <w:ind w:left="426" w:hanging="426"/>
        <w:jc w:val="both"/>
        <w:rPr>
          <w:sz w:val="24"/>
          <w:szCs w:val="24"/>
          <w:lang w:val="id" w:bidi="ar-SA"/>
        </w:rPr>
      </w:pPr>
      <w:r w:rsidRPr="00E01807">
        <w:rPr>
          <w:sz w:val="24"/>
          <w:szCs w:val="24"/>
          <w:lang w:val="id" w:bidi="ar-SA"/>
        </w:rPr>
        <w:t>Porta,</w:t>
      </w:r>
      <w:r w:rsidRPr="00E01807">
        <w:rPr>
          <w:spacing w:val="28"/>
          <w:sz w:val="24"/>
          <w:szCs w:val="24"/>
          <w:lang w:val="id" w:bidi="ar-SA"/>
        </w:rPr>
        <w:t xml:space="preserve"> </w:t>
      </w:r>
      <w:r w:rsidRPr="00E01807">
        <w:rPr>
          <w:sz w:val="24"/>
          <w:szCs w:val="24"/>
          <w:lang w:val="id" w:bidi="ar-SA"/>
        </w:rPr>
        <w:t>La.</w:t>
      </w:r>
      <w:r w:rsidRPr="00E01807">
        <w:rPr>
          <w:spacing w:val="29"/>
          <w:sz w:val="24"/>
          <w:szCs w:val="24"/>
          <w:lang w:val="id" w:bidi="ar-SA"/>
        </w:rPr>
        <w:t xml:space="preserve"> </w:t>
      </w:r>
      <w:r w:rsidRPr="00E01807">
        <w:rPr>
          <w:sz w:val="24"/>
          <w:szCs w:val="24"/>
          <w:lang w:val="id" w:bidi="ar-SA"/>
        </w:rPr>
        <w:t>Rafael</w:t>
      </w:r>
      <w:r w:rsidRPr="00E01807">
        <w:rPr>
          <w:spacing w:val="30"/>
          <w:sz w:val="24"/>
          <w:szCs w:val="24"/>
          <w:lang w:val="id" w:bidi="ar-SA"/>
        </w:rPr>
        <w:t xml:space="preserve"> </w:t>
      </w:r>
      <w:r w:rsidRPr="00E01807">
        <w:rPr>
          <w:sz w:val="24"/>
          <w:szCs w:val="24"/>
          <w:lang w:val="id" w:bidi="ar-SA"/>
        </w:rPr>
        <w:t>and</w:t>
      </w:r>
      <w:r w:rsidRPr="00E01807">
        <w:rPr>
          <w:spacing w:val="28"/>
          <w:sz w:val="24"/>
          <w:szCs w:val="24"/>
          <w:lang w:val="id" w:bidi="ar-SA"/>
        </w:rPr>
        <w:t xml:space="preserve"> </w:t>
      </w:r>
      <w:r w:rsidRPr="00E01807">
        <w:rPr>
          <w:sz w:val="24"/>
          <w:szCs w:val="24"/>
          <w:lang w:val="id" w:bidi="ar-SA"/>
        </w:rPr>
        <w:t>Andrei</w:t>
      </w:r>
      <w:r w:rsidRPr="00E01807">
        <w:rPr>
          <w:spacing w:val="26"/>
          <w:sz w:val="24"/>
          <w:szCs w:val="24"/>
          <w:lang w:val="id" w:bidi="ar-SA"/>
        </w:rPr>
        <w:t xml:space="preserve"> </w:t>
      </w:r>
      <w:r w:rsidRPr="00E01807">
        <w:rPr>
          <w:sz w:val="24"/>
          <w:szCs w:val="24"/>
          <w:lang w:val="id" w:bidi="ar-SA"/>
        </w:rPr>
        <w:t>Shleifer,</w:t>
      </w:r>
      <w:r w:rsidRPr="00E01807">
        <w:rPr>
          <w:spacing w:val="29"/>
          <w:sz w:val="24"/>
          <w:szCs w:val="24"/>
          <w:lang w:val="id" w:bidi="ar-SA"/>
        </w:rPr>
        <w:t xml:space="preserve"> </w:t>
      </w:r>
      <w:r w:rsidRPr="00E01807">
        <w:rPr>
          <w:sz w:val="24"/>
          <w:szCs w:val="24"/>
          <w:lang w:val="id" w:bidi="ar-SA"/>
        </w:rPr>
        <w:t>2000,</w:t>
      </w:r>
      <w:r w:rsidRPr="00E01807">
        <w:rPr>
          <w:spacing w:val="29"/>
          <w:sz w:val="24"/>
          <w:szCs w:val="24"/>
          <w:lang w:val="id" w:bidi="ar-SA"/>
        </w:rPr>
        <w:t xml:space="preserve"> </w:t>
      </w:r>
      <w:r w:rsidRPr="00E01807">
        <w:rPr>
          <w:sz w:val="24"/>
          <w:szCs w:val="24"/>
          <w:lang w:val="id" w:bidi="ar-SA"/>
        </w:rPr>
        <w:t>Investor</w:t>
      </w:r>
      <w:r w:rsidRPr="00E01807">
        <w:rPr>
          <w:spacing w:val="29"/>
          <w:sz w:val="24"/>
          <w:szCs w:val="24"/>
          <w:lang w:val="id" w:bidi="ar-SA"/>
        </w:rPr>
        <w:t xml:space="preserve"> </w:t>
      </w:r>
      <w:r w:rsidRPr="00E01807">
        <w:rPr>
          <w:sz w:val="24"/>
          <w:szCs w:val="24"/>
          <w:lang w:val="id" w:bidi="ar-SA"/>
        </w:rPr>
        <w:t>Protection</w:t>
      </w:r>
      <w:r w:rsidRPr="00E01807">
        <w:rPr>
          <w:spacing w:val="30"/>
          <w:sz w:val="24"/>
          <w:szCs w:val="24"/>
          <w:lang w:val="id" w:bidi="ar-SA"/>
        </w:rPr>
        <w:t xml:space="preserve"> </w:t>
      </w:r>
      <w:r w:rsidRPr="00E01807">
        <w:rPr>
          <w:sz w:val="24"/>
          <w:szCs w:val="24"/>
          <w:lang w:val="id" w:bidi="ar-SA"/>
        </w:rPr>
        <w:t>and</w:t>
      </w:r>
      <w:r w:rsidRPr="00E01807">
        <w:rPr>
          <w:spacing w:val="27"/>
          <w:sz w:val="24"/>
          <w:szCs w:val="24"/>
          <w:lang w:val="id" w:bidi="ar-SA"/>
        </w:rPr>
        <w:t xml:space="preserve"> </w:t>
      </w:r>
      <w:r w:rsidRPr="00E01807">
        <w:rPr>
          <w:sz w:val="24"/>
          <w:szCs w:val="24"/>
          <w:lang w:val="id" w:bidi="ar-SA"/>
        </w:rPr>
        <w:t>Corporate</w:t>
      </w:r>
      <w:r w:rsidRPr="00E01807">
        <w:rPr>
          <w:spacing w:val="28"/>
          <w:sz w:val="24"/>
          <w:szCs w:val="24"/>
          <w:lang w:val="id" w:bidi="ar-SA"/>
        </w:rPr>
        <w:t xml:space="preserve"> </w:t>
      </w:r>
      <w:r w:rsidRPr="00E01807">
        <w:rPr>
          <w:spacing w:val="-2"/>
          <w:sz w:val="24"/>
          <w:szCs w:val="24"/>
          <w:lang w:val="id" w:bidi="ar-SA"/>
        </w:rPr>
        <w:t>Governance,</w:t>
      </w:r>
      <w:r w:rsidRPr="00E01807">
        <w:rPr>
          <w:spacing w:val="-2"/>
          <w:sz w:val="24"/>
          <w:szCs w:val="24"/>
          <w:lang w:bidi="ar-SA"/>
        </w:rPr>
        <w:t xml:space="preserve"> </w:t>
      </w:r>
      <w:r w:rsidRPr="00E01807">
        <w:rPr>
          <w:i/>
          <w:sz w:val="24"/>
          <w:szCs w:val="24"/>
          <w:lang w:val="id" w:bidi="ar-SA"/>
        </w:rPr>
        <w:t>Journal</w:t>
      </w:r>
      <w:r w:rsidRPr="00E01807">
        <w:rPr>
          <w:i/>
          <w:spacing w:val="15"/>
          <w:sz w:val="24"/>
          <w:szCs w:val="24"/>
          <w:lang w:val="id" w:bidi="ar-SA"/>
        </w:rPr>
        <w:t xml:space="preserve"> </w:t>
      </w:r>
      <w:r w:rsidRPr="00E01807">
        <w:rPr>
          <w:i/>
          <w:sz w:val="24"/>
          <w:szCs w:val="24"/>
          <w:lang w:val="id" w:bidi="ar-SA"/>
        </w:rPr>
        <w:t>of</w:t>
      </w:r>
      <w:r w:rsidRPr="00E01807">
        <w:rPr>
          <w:i/>
          <w:spacing w:val="15"/>
          <w:sz w:val="24"/>
          <w:szCs w:val="24"/>
          <w:lang w:val="id" w:bidi="ar-SA"/>
        </w:rPr>
        <w:t xml:space="preserve"> </w:t>
      </w:r>
      <w:r w:rsidRPr="00E01807">
        <w:rPr>
          <w:i/>
          <w:sz w:val="24"/>
          <w:szCs w:val="24"/>
          <w:lang w:val="id" w:bidi="ar-SA"/>
        </w:rPr>
        <w:t>Financial</w:t>
      </w:r>
      <w:r w:rsidRPr="00E01807">
        <w:rPr>
          <w:i/>
          <w:spacing w:val="12"/>
          <w:sz w:val="24"/>
          <w:szCs w:val="24"/>
          <w:lang w:val="id" w:bidi="ar-SA"/>
        </w:rPr>
        <w:t xml:space="preserve"> </w:t>
      </w:r>
      <w:r w:rsidRPr="00E01807">
        <w:rPr>
          <w:i/>
          <w:sz w:val="24"/>
          <w:szCs w:val="24"/>
          <w:lang w:val="id" w:bidi="ar-SA"/>
        </w:rPr>
        <w:t>Economics,</w:t>
      </w:r>
      <w:r w:rsidRPr="00E01807">
        <w:rPr>
          <w:i/>
          <w:spacing w:val="14"/>
          <w:sz w:val="24"/>
          <w:szCs w:val="24"/>
          <w:lang w:val="id" w:bidi="ar-SA"/>
        </w:rPr>
        <w:t xml:space="preserve"> </w:t>
      </w:r>
      <w:r w:rsidRPr="00E01807">
        <w:rPr>
          <w:sz w:val="24"/>
          <w:szCs w:val="24"/>
          <w:lang w:val="id" w:bidi="ar-SA"/>
        </w:rPr>
        <w:t>58,</w:t>
      </w:r>
      <w:r w:rsidRPr="00E01807">
        <w:rPr>
          <w:spacing w:val="14"/>
          <w:sz w:val="24"/>
          <w:szCs w:val="24"/>
          <w:lang w:val="id" w:bidi="ar-SA"/>
        </w:rPr>
        <w:t xml:space="preserve"> </w:t>
      </w:r>
      <w:r w:rsidRPr="00E01807">
        <w:rPr>
          <w:sz w:val="24"/>
          <w:szCs w:val="24"/>
          <w:lang w:val="id" w:bidi="ar-SA"/>
        </w:rPr>
        <w:t>p.3-</w:t>
      </w:r>
      <w:r w:rsidRPr="00E01807">
        <w:rPr>
          <w:spacing w:val="-5"/>
          <w:sz w:val="24"/>
          <w:szCs w:val="24"/>
          <w:lang w:val="id" w:bidi="ar-SA"/>
        </w:rPr>
        <w:t>27</w:t>
      </w:r>
    </w:p>
    <w:p w14:paraId="4EEC59FA" w14:textId="77777777" w:rsidR="00E01807" w:rsidRPr="00E01807" w:rsidRDefault="00E01807" w:rsidP="00E01807">
      <w:pPr>
        <w:adjustRightInd w:val="0"/>
        <w:ind w:left="480" w:hanging="480"/>
        <w:jc w:val="both"/>
        <w:rPr>
          <w:noProof/>
          <w:sz w:val="24"/>
          <w:szCs w:val="24"/>
          <w:lang w:val="id" w:bidi="ar-SA"/>
        </w:rPr>
      </w:pPr>
    </w:p>
    <w:p w14:paraId="5C449FF7" w14:textId="77777777" w:rsidR="00E01807" w:rsidRPr="00E01807" w:rsidRDefault="00E01807" w:rsidP="00E01807">
      <w:pPr>
        <w:adjustRightInd w:val="0"/>
        <w:ind w:left="480" w:hanging="480"/>
        <w:jc w:val="both"/>
        <w:rPr>
          <w:noProof/>
          <w:sz w:val="24"/>
          <w:szCs w:val="24"/>
          <w:lang w:val="id" w:bidi="ar-SA"/>
        </w:rPr>
      </w:pPr>
      <w:r w:rsidRPr="00E01807">
        <w:rPr>
          <w:noProof/>
          <w:sz w:val="24"/>
          <w:szCs w:val="24"/>
          <w:lang w:val="id" w:bidi="ar-SA"/>
        </w:rPr>
        <w:t xml:space="preserve">Raval, V. (2012). A Disposition-based Fraud Model: Theoritical Integration and Research Agenda. </w:t>
      </w:r>
      <w:r w:rsidRPr="00E01807">
        <w:rPr>
          <w:i/>
          <w:iCs/>
          <w:noProof/>
          <w:sz w:val="24"/>
          <w:szCs w:val="24"/>
          <w:lang w:val="id" w:bidi="ar-SA"/>
        </w:rPr>
        <w:t>DFM</w:t>
      </w:r>
      <w:r w:rsidRPr="00E01807">
        <w:rPr>
          <w:noProof/>
          <w:sz w:val="24"/>
          <w:szCs w:val="24"/>
          <w:lang w:val="id" w:bidi="ar-SA"/>
        </w:rPr>
        <w:t>, 1–34.</w:t>
      </w:r>
    </w:p>
    <w:p w14:paraId="4FB99FE5" w14:textId="77777777" w:rsidR="00E01807" w:rsidRPr="00E01807" w:rsidRDefault="00E01807" w:rsidP="00E01807">
      <w:pPr>
        <w:ind w:left="426" w:hanging="426"/>
        <w:jc w:val="both"/>
        <w:rPr>
          <w:sz w:val="24"/>
          <w:szCs w:val="24"/>
          <w:lang w:val="id" w:bidi="ar-SA"/>
        </w:rPr>
      </w:pPr>
      <w:r w:rsidRPr="00E01807">
        <w:rPr>
          <w:sz w:val="24"/>
          <w:szCs w:val="24"/>
          <w:lang w:val="id" w:bidi="ar-SA"/>
        </w:rPr>
        <w:t>Rasha,</w:t>
      </w:r>
      <w:r w:rsidRPr="00E01807">
        <w:rPr>
          <w:spacing w:val="40"/>
          <w:sz w:val="24"/>
          <w:szCs w:val="24"/>
          <w:lang w:val="id" w:bidi="ar-SA"/>
        </w:rPr>
        <w:t xml:space="preserve"> </w:t>
      </w:r>
      <w:r w:rsidRPr="00E01807">
        <w:rPr>
          <w:sz w:val="24"/>
          <w:szCs w:val="24"/>
          <w:lang w:val="id" w:bidi="ar-SA"/>
        </w:rPr>
        <w:t>K.,</w:t>
      </w:r>
      <w:r w:rsidRPr="00E01807">
        <w:rPr>
          <w:spacing w:val="40"/>
          <w:sz w:val="24"/>
          <w:szCs w:val="24"/>
          <w:lang w:val="id" w:bidi="ar-SA"/>
        </w:rPr>
        <w:t xml:space="preserve"> </w:t>
      </w:r>
      <w:r w:rsidRPr="00E01807">
        <w:rPr>
          <w:sz w:val="24"/>
          <w:szCs w:val="24"/>
          <w:lang w:val="id" w:bidi="ar-SA"/>
        </w:rPr>
        <w:t>&amp;</w:t>
      </w:r>
      <w:r w:rsidRPr="00E01807">
        <w:rPr>
          <w:spacing w:val="40"/>
          <w:sz w:val="24"/>
          <w:szCs w:val="24"/>
          <w:lang w:val="id" w:bidi="ar-SA"/>
        </w:rPr>
        <w:t xml:space="preserve"> </w:t>
      </w:r>
      <w:r w:rsidRPr="00E01807">
        <w:rPr>
          <w:sz w:val="24"/>
          <w:szCs w:val="24"/>
          <w:lang w:val="id" w:bidi="ar-SA"/>
        </w:rPr>
        <w:t>Andrew,</w:t>
      </w:r>
      <w:r w:rsidRPr="00E01807">
        <w:rPr>
          <w:spacing w:val="40"/>
          <w:sz w:val="24"/>
          <w:szCs w:val="24"/>
          <w:lang w:val="id" w:bidi="ar-SA"/>
        </w:rPr>
        <w:t xml:space="preserve"> </w:t>
      </w:r>
      <w:r w:rsidRPr="00E01807">
        <w:rPr>
          <w:sz w:val="24"/>
          <w:szCs w:val="24"/>
          <w:lang w:val="id" w:bidi="ar-SA"/>
        </w:rPr>
        <w:t>H.</w:t>
      </w:r>
      <w:r w:rsidRPr="00E01807">
        <w:rPr>
          <w:spacing w:val="40"/>
          <w:sz w:val="24"/>
          <w:szCs w:val="24"/>
          <w:lang w:val="id" w:bidi="ar-SA"/>
        </w:rPr>
        <w:t xml:space="preserve"> </w:t>
      </w:r>
      <w:r w:rsidRPr="00E01807">
        <w:rPr>
          <w:sz w:val="24"/>
          <w:szCs w:val="24"/>
          <w:lang w:val="id" w:bidi="ar-SA"/>
        </w:rPr>
        <w:t>(2012).</w:t>
      </w:r>
      <w:r w:rsidRPr="00E01807">
        <w:rPr>
          <w:spacing w:val="40"/>
          <w:sz w:val="24"/>
          <w:szCs w:val="24"/>
          <w:lang w:val="id" w:bidi="ar-SA"/>
        </w:rPr>
        <w:t xml:space="preserve"> </w:t>
      </w:r>
      <w:r w:rsidRPr="00E01807">
        <w:rPr>
          <w:i/>
          <w:sz w:val="24"/>
          <w:szCs w:val="24"/>
          <w:lang w:val="id" w:bidi="ar-SA"/>
        </w:rPr>
        <w:t>The</w:t>
      </w:r>
      <w:r w:rsidRPr="00E01807">
        <w:rPr>
          <w:i/>
          <w:spacing w:val="40"/>
          <w:sz w:val="24"/>
          <w:szCs w:val="24"/>
          <w:lang w:val="id" w:bidi="ar-SA"/>
        </w:rPr>
        <w:t xml:space="preserve"> </w:t>
      </w:r>
      <w:r w:rsidRPr="00E01807">
        <w:rPr>
          <w:i/>
          <w:sz w:val="24"/>
          <w:szCs w:val="24"/>
          <w:lang w:val="id" w:bidi="ar-SA"/>
        </w:rPr>
        <w:t>New</w:t>
      </w:r>
      <w:r w:rsidRPr="00E01807">
        <w:rPr>
          <w:i/>
          <w:spacing w:val="40"/>
          <w:sz w:val="24"/>
          <w:szCs w:val="24"/>
          <w:lang w:val="id" w:bidi="ar-SA"/>
        </w:rPr>
        <w:t xml:space="preserve"> </w:t>
      </w:r>
      <w:r w:rsidRPr="00E01807">
        <w:rPr>
          <w:i/>
          <w:sz w:val="24"/>
          <w:szCs w:val="24"/>
          <w:lang w:val="id" w:bidi="ar-SA"/>
        </w:rPr>
        <w:t>Fraud</w:t>
      </w:r>
      <w:r w:rsidRPr="00E01807">
        <w:rPr>
          <w:i/>
          <w:spacing w:val="40"/>
          <w:sz w:val="24"/>
          <w:szCs w:val="24"/>
          <w:lang w:val="id" w:bidi="ar-SA"/>
        </w:rPr>
        <w:t xml:space="preserve"> </w:t>
      </w:r>
      <w:r w:rsidRPr="00E01807">
        <w:rPr>
          <w:i/>
          <w:sz w:val="24"/>
          <w:szCs w:val="24"/>
          <w:lang w:val="id" w:bidi="ar-SA"/>
        </w:rPr>
        <w:t>Triangle.</w:t>
      </w:r>
      <w:r w:rsidRPr="00E01807">
        <w:rPr>
          <w:i/>
          <w:spacing w:val="40"/>
          <w:sz w:val="24"/>
          <w:szCs w:val="24"/>
          <w:lang w:val="id" w:bidi="ar-SA"/>
        </w:rPr>
        <w:t xml:space="preserve"> </w:t>
      </w:r>
      <w:r w:rsidRPr="00E01807">
        <w:rPr>
          <w:i/>
          <w:sz w:val="24"/>
          <w:szCs w:val="24"/>
          <w:lang w:val="id" w:bidi="ar-SA"/>
        </w:rPr>
        <w:t>Journal</w:t>
      </w:r>
      <w:r w:rsidRPr="00E01807">
        <w:rPr>
          <w:spacing w:val="40"/>
          <w:sz w:val="24"/>
          <w:szCs w:val="24"/>
          <w:lang w:val="id" w:bidi="ar-SA"/>
        </w:rPr>
        <w:t xml:space="preserve"> </w:t>
      </w:r>
      <w:r w:rsidRPr="00E01807">
        <w:rPr>
          <w:i/>
          <w:sz w:val="24"/>
          <w:szCs w:val="24"/>
          <w:lang w:val="id" w:bidi="ar-SA"/>
        </w:rPr>
        <w:t>of</w:t>
      </w:r>
      <w:r w:rsidRPr="00E01807">
        <w:rPr>
          <w:spacing w:val="40"/>
          <w:sz w:val="24"/>
          <w:szCs w:val="24"/>
          <w:lang w:val="id" w:bidi="ar-SA"/>
        </w:rPr>
        <w:t xml:space="preserve"> </w:t>
      </w:r>
      <w:r w:rsidRPr="00E01807">
        <w:rPr>
          <w:i/>
          <w:sz w:val="24"/>
          <w:szCs w:val="24"/>
          <w:lang w:val="id" w:bidi="ar-SA"/>
        </w:rPr>
        <w:t>Emerging</w:t>
      </w:r>
      <w:r w:rsidRPr="00E01807">
        <w:rPr>
          <w:spacing w:val="40"/>
          <w:sz w:val="24"/>
          <w:szCs w:val="24"/>
          <w:lang w:val="id" w:bidi="ar-SA"/>
        </w:rPr>
        <w:t xml:space="preserve"> </w:t>
      </w:r>
      <w:r w:rsidRPr="00E01807">
        <w:rPr>
          <w:i/>
          <w:sz w:val="24"/>
          <w:szCs w:val="24"/>
          <w:lang w:val="id" w:bidi="ar-SA"/>
        </w:rPr>
        <w:t>Trends</w:t>
      </w:r>
      <w:r w:rsidRPr="00E01807">
        <w:rPr>
          <w:spacing w:val="40"/>
          <w:sz w:val="24"/>
          <w:szCs w:val="24"/>
          <w:lang w:val="id" w:bidi="ar-SA"/>
        </w:rPr>
        <w:t xml:space="preserve"> </w:t>
      </w:r>
      <w:r w:rsidRPr="00E01807">
        <w:rPr>
          <w:i/>
          <w:sz w:val="24"/>
          <w:szCs w:val="24"/>
          <w:lang w:val="id" w:bidi="ar-SA"/>
        </w:rPr>
        <w:t>in</w:t>
      </w:r>
      <w:r w:rsidRPr="00E01807">
        <w:rPr>
          <w:sz w:val="24"/>
          <w:szCs w:val="24"/>
          <w:lang w:val="id" w:bidi="ar-SA"/>
        </w:rPr>
        <w:t xml:space="preserve"> </w:t>
      </w:r>
      <w:r w:rsidRPr="00E01807">
        <w:rPr>
          <w:i/>
          <w:sz w:val="24"/>
          <w:szCs w:val="24"/>
          <w:lang w:val="id" w:bidi="ar-SA"/>
        </w:rPr>
        <w:t>Economics</w:t>
      </w:r>
      <w:r w:rsidRPr="00E01807">
        <w:rPr>
          <w:sz w:val="24"/>
          <w:szCs w:val="24"/>
          <w:lang w:val="id" w:bidi="ar-SA"/>
        </w:rPr>
        <w:t xml:space="preserve"> </w:t>
      </w:r>
      <w:r w:rsidRPr="00E01807">
        <w:rPr>
          <w:i/>
          <w:sz w:val="24"/>
          <w:szCs w:val="24"/>
          <w:lang w:val="id" w:bidi="ar-SA"/>
        </w:rPr>
        <w:t>and</w:t>
      </w:r>
      <w:r w:rsidRPr="00E01807">
        <w:rPr>
          <w:sz w:val="24"/>
          <w:szCs w:val="24"/>
          <w:lang w:val="id" w:bidi="ar-SA"/>
        </w:rPr>
        <w:t xml:space="preserve"> </w:t>
      </w:r>
      <w:r w:rsidRPr="00E01807">
        <w:rPr>
          <w:i/>
          <w:sz w:val="24"/>
          <w:szCs w:val="24"/>
          <w:lang w:val="id" w:bidi="ar-SA"/>
        </w:rPr>
        <w:t>Management</w:t>
      </w:r>
      <w:r w:rsidRPr="00E01807">
        <w:rPr>
          <w:sz w:val="24"/>
          <w:szCs w:val="24"/>
          <w:lang w:val="id" w:bidi="ar-SA"/>
        </w:rPr>
        <w:t xml:space="preserve"> </w:t>
      </w:r>
      <w:r w:rsidRPr="00E01807">
        <w:rPr>
          <w:i/>
          <w:sz w:val="24"/>
          <w:szCs w:val="24"/>
          <w:lang w:val="id" w:bidi="ar-SA"/>
        </w:rPr>
        <w:t>Sciences,</w:t>
      </w:r>
      <w:r w:rsidRPr="00E01807">
        <w:rPr>
          <w:sz w:val="24"/>
          <w:szCs w:val="24"/>
          <w:lang w:val="id" w:bidi="ar-SA"/>
        </w:rPr>
        <w:t xml:space="preserve"> Vol. 3(3).</w:t>
      </w:r>
    </w:p>
    <w:p w14:paraId="1F37F3E1" w14:textId="77777777" w:rsidR="00E01807" w:rsidRPr="00E01807" w:rsidRDefault="00E01807" w:rsidP="00E01807">
      <w:pPr>
        <w:adjustRightInd w:val="0"/>
        <w:ind w:left="480" w:hanging="480"/>
        <w:jc w:val="both"/>
        <w:rPr>
          <w:noProof/>
          <w:sz w:val="24"/>
          <w:szCs w:val="24"/>
          <w:lang w:val="id" w:bidi="ar-SA"/>
        </w:rPr>
      </w:pPr>
    </w:p>
    <w:p w14:paraId="4093B07E" w14:textId="77777777" w:rsidR="00E01807" w:rsidRPr="00E01807" w:rsidRDefault="00E01807" w:rsidP="00E01807">
      <w:pPr>
        <w:adjustRightInd w:val="0"/>
        <w:ind w:left="480" w:hanging="480"/>
        <w:jc w:val="both"/>
        <w:rPr>
          <w:noProof/>
          <w:sz w:val="24"/>
          <w:szCs w:val="24"/>
          <w:lang w:val="id" w:bidi="ar-SA"/>
        </w:rPr>
      </w:pPr>
      <w:r w:rsidRPr="00E01807">
        <w:rPr>
          <w:noProof/>
          <w:sz w:val="24"/>
          <w:szCs w:val="24"/>
          <w:lang w:val="id" w:bidi="ar-SA"/>
        </w:rPr>
        <w:t xml:space="preserve">Ruankaew, T. (2016). Beyond the Fraud Diamond. </w:t>
      </w:r>
      <w:r w:rsidRPr="00E01807">
        <w:rPr>
          <w:i/>
          <w:iCs/>
          <w:noProof/>
          <w:sz w:val="24"/>
          <w:szCs w:val="24"/>
          <w:lang w:val="id" w:bidi="ar-SA"/>
        </w:rPr>
        <w:t>International Journal of Business Management and Economic Research</w:t>
      </w:r>
      <w:r w:rsidRPr="00E01807">
        <w:rPr>
          <w:noProof/>
          <w:sz w:val="24"/>
          <w:szCs w:val="24"/>
          <w:lang w:val="id" w:bidi="ar-SA"/>
        </w:rPr>
        <w:t xml:space="preserve">, </w:t>
      </w:r>
      <w:r w:rsidRPr="00E01807">
        <w:rPr>
          <w:i/>
          <w:iCs/>
          <w:noProof/>
          <w:sz w:val="24"/>
          <w:szCs w:val="24"/>
          <w:lang w:val="id" w:bidi="ar-SA"/>
        </w:rPr>
        <w:t>7</w:t>
      </w:r>
      <w:r w:rsidRPr="00E01807">
        <w:rPr>
          <w:noProof/>
          <w:sz w:val="24"/>
          <w:szCs w:val="24"/>
          <w:lang w:val="id" w:bidi="ar-SA"/>
        </w:rPr>
        <w:t>(1), 474–476.</w:t>
      </w:r>
    </w:p>
    <w:p w14:paraId="7CE69CA0" w14:textId="77777777" w:rsidR="00E01807" w:rsidRPr="00E01807" w:rsidRDefault="00E01807" w:rsidP="00E01807">
      <w:pPr>
        <w:adjustRightInd w:val="0"/>
        <w:ind w:left="480" w:hanging="480"/>
        <w:jc w:val="both"/>
        <w:rPr>
          <w:noProof/>
          <w:sz w:val="24"/>
          <w:szCs w:val="24"/>
          <w:lang w:val="id" w:bidi="ar-SA"/>
        </w:rPr>
      </w:pPr>
    </w:p>
    <w:p w14:paraId="36139193" w14:textId="77777777" w:rsidR="00E01807" w:rsidRPr="00E01807" w:rsidRDefault="00E01807" w:rsidP="00E01807">
      <w:pPr>
        <w:adjustRightInd w:val="0"/>
        <w:ind w:left="480" w:hanging="480"/>
        <w:jc w:val="both"/>
        <w:rPr>
          <w:noProof/>
          <w:sz w:val="24"/>
          <w:szCs w:val="24"/>
          <w:lang w:val="id" w:bidi="ar-SA"/>
        </w:rPr>
      </w:pPr>
      <w:r w:rsidRPr="00E01807">
        <w:rPr>
          <w:noProof/>
          <w:sz w:val="24"/>
          <w:szCs w:val="24"/>
          <w:lang w:val="id" w:bidi="ar-SA"/>
        </w:rPr>
        <w:t xml:space="preserve">Sciences, M. (2015). Fraud Triangle Theory and Fraud Diamond Theory . Understanding the Convergent and Divergent For Future Research. </w:t>
      </w:r>
      <w:r w:rsidRPr="00E01807">
        <w:rPr>
          <w:i/>
          <w:iCs/>
          <w:noProof/>
          <w:sz w:val="24"/>
          <w:szCs w:val="24"/>
          <w:lang w:val="id" w:bidi="ar-SA"/>
        </w:rPr>
        <w:t>International Journal of Academic Research in Accounting, Finance and Management Sciences</w:t>
      </w:r>
      <w:r w:rsidRPr="00E01807">
        <w:rPr>
          <w:noProof/>
          <w:sz w:val="24"/>
          <w:szCs w:val="24"/>
          <w:lang w:val="id" w:bidi="ar-SA"/>
        </w:rPr>
        <w:t xml:space="preserve">, </w:t>
      </w:r>
      <w:r w:rsidRPr="00E01807">
        <w:rPr>
          <w:i/>
          <w:iCs/>
          <w:noProof/>
          <w:sz w:val="24"/>
          <w:szCs w:val="24"/>
          <w:lang w:val="id" w:bidi="ar-SA"/>
        </w:rPr>
        <w:t>5</w:t>
      </w:r>
      <w:r w:rsidRPr="00E01807">
        <w:rPr>
          <w:noProof/>
          <w:sz w:val="24"/>
          <w:szCs w:val="24"/>
          <w:lang w:val="id" w:bidi="ar-SA"/>
        </w:rPr>
        <w:t>(4), 38–45. https://doi.org/10.6007/IJARAFMS/v5-3/1823</w:t>
      </w:r>
    </w:p>
    <w:p w14:paraId="27C47A2A" w14:textId="77777777" w:rsidR="00E01807" w:rsidRPr="00E01807" w:rsidRDefault="00E01807" w:rsidP="00E01807">
      <w:pPr>
        <w:adjustRightInd w:val="0"/>
        <w:ind w:left="480" w:hanging="480"/>
        <w:jc w:val="both"/>
        <w:rPr>
          <w:noProof/>
          <w:sz w:val="24"/>
          <w:szCs w:val="24"/>
          <w:lang w:val="id" w:bidi="ar-SA"/>
        </w:rPr>
      </w:pPr>
    </w:p>
    <w:p w14:paraId="378F54DB" w14:textId="77777777" w:rsidR="00E01807" w:rsidRPr="00E01807" w:rsidRDefault="00E01807" w:rsidP="00E01807">
      <w:pPr>
        <w:spacing w:before="1"/>
        <w:ind w:left="426" w:right="63" w:hanging="426"/>
        <w:jc w:val="both"/>
        <w:rPr>
          <w:sz w:val="24"/>
          <w:szCs w:val="24"/>
          <w:lang w:val="id" w:bidi="ar-SA"/>
        </w:rPr>
      </w:pPr>
      <w:r w:rsidRPr="00E01807">
        <w:rPr>
          <w:sz w:val="24"/>
          <w:szCs w:val="24"/>
          <w:lang w:val="id" w:bidi="ar-SA"/>
        </w:rPr>
        <w:t xml:space="preserve">Schwartz, k. and B. Soo, 1996, Evidence of Regulatory non compliance with SEC disclosure rules on Auditor Changes, </w:t>
      </w:r>
      <w:r w:rsidRPr="00E01807">
        <w:rPr>
          <w:i/>
          <w:sz w:val="24"/>
          <w:szCs w:val="24"/>
          <w:lang w:val="id" w:bidi="ar-SA"/>
        </w:rPr>
        <w:lastRenderedPageBreak/>
        <w:t xml:space="preserve">The Accounting Review </w:t>
      </w:r>
      <w:r w:rsidRPr="00E01807">
        <w:rPr>
          <w:sz w:val="24"/>
          <w:szCs w:val="24"/>
          <w:lang w:val="id" w:bidi="ar-SA"/>
        </w:rPr>
        <w:t>4 (October), p.555-572</w:t>
      </w:r>
    </w:p>
    <w:p w14:paraId="10B726DC" w14:textId="77777777" w:rsidR="00E01807" w:rsidRPr="00E01807" w:rsidRDefault="00E01807" w:rsidP="00E01807">
      <w:pPr>
        <w:adjustRightInd w:val="0"/>
        <w:jc w:val="both"/>
        <w:rPr>
          <w:noProof/>
          <w:sz w:val="24"/>
          <w:szCs w:val="24"/>
          <w:lang w:val="id" w:bidi="ar-SA"/>
        </w:rPr>
      </w:pPr>
    </w:p>
    <w:p w14:paraId="5D5A7C78" w14:textId="77777777" w:rsidR="00E01807" w:rsidRPr="00E01807" w:rsidRDefault="00E01807" w:rsidP="00E01807">
      <w:pPr>
        <w:spacing w:before="1"/>
        <w:ind w:left="426" w:right="62" w:hanging="426"/>
        <w:jc w:val="both"/>
        <w:rPr>
          <w:sz w:val="24"/>
          <w:szCs w:val="24"/>
          <w:lang w:val="id" w:bidi="ar-SA"/>
        </w:rPr>
      </w:pPr>
      <w:r w:rsidRPr="00E01807">
        <w:rPr>
          <w:sz w:val="24"/>
          <w:szCs w:val="24"/>
          <w:lang w:val="id" w:bidi="ar-SA"/>
        </w:rPr>
        <w:t>Skousen, C.J., K.R. Smith, dan C.J. Wright, 2009, Detecting and Predicting Financial</w:t>
      </w:r>
      <w:r w:rsidRPr="00E01807">
        <w:rPr>
          <w:spacing w:val="80"/>
          <w:w w:val="150"/>
          <w:sz w:val="24"/>
          <w:szCs w:val="24"/>
          <w:lang w:val="id" w:bidi="ar-SA"/>
        </w:rPr>
        <w:t xml:space="preserve"> </w:t>
      </w:r>
      <w:r w:rsidRPr="00E01807">
        <w:rPr>
          <w:sz w:val="24"/>
          <w:szCs w:val="24"/>
          <w:lang w:val="id" w:bidi="ar-SA"/>
        </w:rPr>
        <w:t xml:space="preserve">Statement Fraud: The Effectiveness of the Fraud Triangle and SAS No.99, </w:t>
      </w:r>
      <w:r w:rsidRPr="00E01807">
        <w:rPr>
          <w:i/>
          <w:sz w:val="24"/>
          <w:szCs w:val="24"/>
          <w:lang w:val="id" w:bidi="ar-SA"/>
        </w:rPr>
        <w:t>Corporate Governance</w:t>
      </w:r>
      <w:r w:rsidRPr="00E01807">
        <w:rPr>
          <w:i/>
          <w:spacing w:val="40"/>
          <w:sz w:val="24"/>
          <w:szCs w:val="24"/>
          <w:lang w:val="id" w:bidi="ar-SA"/>
        </w:rPr>
        <w:t xml:space="preserve"> </w:t>
      </w:r>
      <w:r w:rsidRPr="00E01807">
        <w:rPr>
          <w:i/>
          <w:sz w:val="24"/>
          <w:szCs w:val="24"/>
          <w:lang w:val="id" w:bidi="ar-SA"/>
        </w:rPr>
        <w:t>and</w:t>
      </w:r>
      <w:r w:rsidRPr="00E01807">
        <w:rPr>
          <w:i/>
          <w:spacing w:val="38"/>
          <w:sz w:val="24"/>
          <w:szCs w:val="24"/>
          <w:lang w:val="id" w:bidi="ar-SA"/>
        </w:rPr>
        <w:t xml:space="preserve"> </w:t>
      </w:r>
      <w:r w:rsidRPr="00E01807">
        <w:rPr>
          <w:i/>
          <w:sz w:val="24"/>
          <w:szCs w:val="24"/>
          <w:lang w:val="id" w:bidi="ar-SA"/>
        </w:rPr>
        <w:t>Firm</w:t>
      </w:r>
      <w:r w:rsidRPr="00E01807">
        <w:rPr>
          <w:i/>
          <w:spacing w:val="35"/>
          <w:sz w:val="24"/>
          <w:szCs w:val="24"/>
          <w:lang w:val="id" w:bidi="ar-SA"/>
        </w:rPr>
        <w:t xml:space="preserve"> </w:t>
      </w:r>
      <w:r w:rsidRPr="00E01807">
        <w:rPr>
          <w:i/>
          <w:sz w:val="24"/>
          <w:szCs w:val="24"/>
          <w:lang w:val="id" w:bidi="ar-SA"/>
        </w:rPr>
        <w:t>Performance</w:t>
      </w:r>
      <w:r w:rsidRPr="00E01807">
        <w:rPr>
          <w:i/>
          <w:spacing w:val="40"/>
          <w:sz w:val="24"/>
          <w:szCs w:val="24"/>
          <w:lang w:val="id" w:bidi="ar-SA"/>
        </w:rPr>
        <w:t xml:space="preserve"> </w:t>
      </w:r>
      <w:r w:rsidRPr="00E01807">
        <w:rPr>
          <w:i/>
          <w:sz w:val="24"/>
          <w:szCs w:val="24"/>
          <w:lang w:val="id" w:bidi="ar-SA"/>
        </w:rPr>
        <w:t>Advances</w:t>
      </w:r>
      <w:r w:rsidRPr="00E01807">
        <w:rPr>
          <w:i/>
          <w:spacing w:val="36"/>
          <w:sz w:val="24"/>
          <w:szCs w:val="24"/>
          <w:lang w:val="id" w:bidi="ar-SA"/>
        </w:rPr>
        <w:t xml:space="preserve"> </w:t>
      </w:r>
      <w:r w:rsidRPr="00E01807">
        <w:rPr>
          <w:i/>
          <w:sz w:val="24"/>
          <w:szCs w:val="24"/>
          <w:lang w:val="id" w:bidi="ar-SA"/>
        </w:rPr>
        <w:t>in</w:t>
      </w:r>
      <w:r w:rsidRPr="00E01807">
        <w:rPr>
          <w:i/>
          <w:spacing w:val="35"/>
          <w:sz w:val="24"/>
          <w:szCs w:val="24"/>
          <w:lang w:val="id" w:bidi="ar-SA"/>
        </w:rPr>
        <w:t xml:space="preserve"> </w:t>
      </w:r>
      <w:r w:rsidRPr="00E01807">
        <w:rPr>
          <w:i/>
          <w:sz w:val="24"/>
          <w:szCs w:val="24"/>
          <w:lang w:val="id" w:bidi="ar-SA"/>
        </w:rPr>
        <w:t>Financial</w:t>
      </w:r>
      <w:r w:rsidRPr="00E01807">
        <w:rPr>
          <w:i/>
          <w:spacing w:val="38"/>
          <w:sz w:val="24"/>
          <w:szCs w:val="24"/>
          <w:lang w:val="id" w:bidi="ar-SA"/>
        </w:rPr>
        <w:t xml:space="preserve"> </w:t>
      </w:r>
      <w:r w:rsidRPr="00E01807">
        <w:rPr>
          <w:i/>
          <w:sz w:val="24"/>
          <w:szCs w:val="24"/>
          <w:lang w:val="id" w:bidi="ar-SA"/>
        </w:rPr>
        <w:t>Economics,</w:t>
      </w:r>
      <w:r w:rsidRPr="00E01807">
        <w:rPr>
          <w:i/>
          <w:spacing w:val="36"/>
          <w:sz w:val="24"/>
          <w:szCs w:val="24"/>
          <w:lang w:val="id" w:bidi="ar-SA"/>
        </w:rPr>
        <w:t xml:space="preserve"> </w:t>
      </w:r>
      <w:r w:rsidRPr="00E01807">
        <w:rPr>
          <w:sz w:val="24"/>
          <w:szCs w:val="24"/>
          <w:lang w:val="id" w:bidi="ar-SA"/>
        </w:rPr>
        <w:t>Vol.13,</w:t>
      </w:r>
      <w:r w:rsidRPr="00E01807">
        <w:rPr>
          <w:spacing w:val="40"/>
          <w:sz w:val="24"/>
          <w:szCs w:val="24"/>
          <w:lang w:val="id" w:bidi="ar-SA"/>
        </w:rPr>
        <w:t xml:space="preserve"> </w:t>
      </w:r>
      <w:r w:rsidRPr="00E01807">
        <w:rPr>
          <w:sz w:val="24"/>
          <w:szCs w:val="24"/>
          <w:lang w:val="id" w:bidi="ar-SA"/>
        </w:rPr>
        <w:t>h.</w:t>
      </w:r>
      <w:r w:rsidRPr="00E01807">
        <w:rPr>
          <w:spacing w:val="36"/>
          <w:sz w:val="24"/>
          <w:szCs w:val="24"/>
          <w:lang w:val="id" w:bidi="ar-SA"/>
        </w:rPr>
        <w:t xml:space="preserve"> </w:t>
      </w:r>
      <w:r w:rsidRPr="00E01807">
        <w:rPr>
          <w:sz w:val="24"/>
          <w:szCs w:val="24"/>
          <w:lang w:val="id" w:bidi="ar-SA"/>
        </w:rPr>
        <w:t xml:space="preserve">53- </w:t>
      </w:r>
      <w:r w:rsidRPr="00E01807">
        <w:rPr>
          <w:spacing w:val="-4"/>
          <w:sz w:val="24"/>
          <w:szCs w:val="24"/>
          <w:lang w:val="id" w:bidi="ar-SA"/>
        </w:rPr>
        <w:t>81.</w:t>
      </w:r>
    </w:p>
    <w:p w14:paraId="7365EA6C" w14:textId="77777777" w:rsidR="00E01807" w:rsidRPr="00E01807" w:rsidRDefault="00E01807" w:rsidP="00E01807">
      <w:pPr>
        <w:adjustRightInd w:val="0"/>
        <w:ind w:left="480" w:hanging="480"/>
        <w:jc w:val="both"/>
        <w:rPr>
          <w:noProof/>
          <w:sz w:val="24"/>
          <w:szCs w:val="24"/>
          <w:lang w:val="id" w:bidi="ar-SA"/>
        </w:rPr>
      </w:pPr>
    </w:p>
    <w:p w14:paraId="27DF217B" w14:textId="77777777" w:rsidR="00E01807" w:rsidRPr="00E01807" w:rsidRDefault="00E01807" w:rsidP="00E01807">
      <w:pPr>
        <w:adjustRightInd w:val="0"/>
        <w:ind w:left="480" w:hanging="480"/>
        <w:jc w:val="both"/>
        <w:rPr>
          <w:noProof/>
          <w:sz w:val="24"/>
          <w:szCs w:val="24"/>
          <w:lang w:val="id" w:bidi="ar-SA"/>
        </w:rPr>
      </w:pPr>
      <w:r w:rsidRPr="00E01807">
        <w:rPr>
          <w:noProof/>
          <w:sz w:val="24"/>
          <w:szCs w:val="24"/>
          <w:lang w:val="id" w:bidi="ar-SA"/>
        </w:rPr>
        <w:t xml:space="preserve">Vassiljev, M. (2016). Concept and Periodisation of Fraud Models : Theoritical Review. </w:t>
      </w:r>
      <w:r w:rsidRPr="00E01807">
        <w:rPr>
          <w:i/>
          <w:iCs/>
          <w:noProof/>
          <w:sz w:val="24"/>
          <w:szCs w:val="24"/>
          <w:lang w:val="id" w:bidi="ar-SA"/>
        </w:rPr>
        <w:t>5th International Conference on Accounting, Auditing, and Taxation</w:t>
      </w:r>
      <w:r w:rsidRPr="00E01807">
        <w:rPr>
          <w:noProof/>
          <w:sz w:val="24"/>
          <w:szCs w:val="24"/>
          <w:lang w:val="id" w:bidi="ar-SA"/>
        </w:rPr>
        <w:t xml:space="preserve">, </w:t>
      </w:r>
      <w:r w:rsidRPr="00E01807">
        <w:rPr>
          <w:i/>
          <w:iCs/>
          <w:noProof/>
          <w:sz w:val="24"/>
          <w:szCs w:val="24"/>
          <w:lang w:val="id" w:bidi="ar-SA"/>
        </w:rPr>
        <w:t>Icaat</w:t>
      </w:r>
      <w:r w:rsidRPr="00E01807">
        <w:rPr>
          <w:noProof/>
          <w:sz w:val="24"/>
          <w:szCs w:val="24"/>
          <w:lang w:val="id" w:bidi="ar-SA"/>
        </w:rPr>
        <w:t>, 473–480.</w:t>
      </w:r>
    </w:p>
    <w:p w14:paraId="3614230E" w14:textId="77777777" w:rsidR="00E01807" w:rsidRPr="00E01807" w:rsidRDefault="00E01807" w:rsidP="00E01807">
      <w:pPr>
        <w:adjustRightInd w:val="0"/>
        <w:ind w:left="480" w:hanging="480"/>
        <w:jc w:val="both"/>
        <w:rPr>
          <w:noProof/>
          <w:sz w:val="24"/>
          <w:szCs w:val="24"/>
          <w:lang w:val="id" w:bidi="ar-SA"/>
        </w:rPr>
      </w:pPr>
    </w:p>
    <w:p w14:paraId="3D91B2D8" w14:textId="77777777" w:rsidR="00E01807" w:rsidRPr="00E01807" w:rsidRDefault="00E01807" w:rsidP="009D07E5">
      <w:pPr>
        <w:ind w:left="426" w:hanging="426"/>
        <w:jc w:val="both"/>
        <w:rPr>
          <w:i/>
          <w:sz w:val="24"/>
          <w:szCs w:val="24"/>
          <w:lang w:val="id" w:bidi="ar-SA"/>
        </w:rPr>
      </w:pPr>
      <w:r w:rsidRPr="00E01807">
        <w:rPr>
          <w:sz w:val="24"/>
          <w:szCs w:val="24"/>
          <w:lang w:val="id" w:bidi="ar-SA"/>
        </w:rPr>
        <w:t>Vona,</w:t>
      </w:r>
      <w:r w:rsidRPr="00E01807">
        <w:rPr>
          <w:spacing w:val="32"/>
          <w:sz w:val="24"/>
          <w:szCs w:val="24"/>
          <w:lang w:val="id" w:bidi="ar-SA"/>
        </w:rPr>
        <w:t xml:space="preserve"> </w:t>
      </w:r>
      <w:r w:rsidRPr="00E01807">
        <w:rPr>
          <w:sz w:val="24"/>
          <w:szCs w:val="24"/>
          <w:lang w:val="id" w:bidi="ar-SA"/>
        </w:rPr>
        <w:t>I.</w:t>
      </w:r>
      <w:r w:rsidRPr="00E01807">
        <w:rPr>
          <w:spacing w:val="33"/>
          <w:sz w:val="24"/>
          <w:szCs w:val="24"/>
          <w:lang w:val="id" w:bidi="ar-SA"/>
        </w:rPr>
        <w:t xml:space="preserve"> </w:t>
      </w:r>
      <w:r w:rsidRPr="00E01807">
        <w:rPr>
          <w:sz w:val="24"/>
          <w:szCs w:val="24"/>
          <w:lang w:val="id" w:bidi="ar-SA"/>
        </w:rPr>
        <w:t>W.</w:t>
      </w:r>
      <w:r w:rsidRPr="00E01807">
        <w:rPr>
          <w:spacing w:val="29"/>
          <w:sz w:val="24"/>
          <w:szCs w:val="24"/>
          <w:lang w:val="id" w:bidi="ar-SA"/>
        </w:rPr>
        <w:t xml:space="preserve"> </w:t>
      </w:r>
      <w:r w:rsidRPr="00E01807">
        <w:rPr>
          <w:sz w:val="24"/>
          <w:szCs w:val="24"/>
          <w:lang w:val="id" w:bidi="ar-SA"/>
        </w:rPr>
        <w:t>(2008).</w:t>
      </w:r>
      <w:r w:rsidRPr="00E01807">
        <w:rPr>
          <w:spacing w:val="33"/>
          <w:sz w:val="24"/>
          <w:szCs w:val="24"/>
          <w:lang w:val="id" w:bidi="ar-SA"/>
        </w:rPr>
        <w:t xml:space="preserve"> </w:t>
      </w:r>
      <w:r w:rsidRPr="00E01807">
        <w:rPr>
          <w:iCs/>
          <w:sz w:val="24"/>
          <w:szCs w:val="24"/>
          <w:lang w:val="id" w:bidi="ar-SA"/>
        </w:rPr>
        <w:t>Fraud</w:t>
      </w:r>
      <w:r w:rsidRPr="00E01807">
        <w:rPr>
          <w:iCs/>
          <w:spacing w:val="30"/>
          <w:sz w:val="24"/>
          <w:szCs w:val="24"/>
          <w:lang w:val="id" w:bidi="ar-SA"/>
        </w:rPr>
        <w:t xml:space="preserve"> </w:t>
      </w:r>
      <w:r w:rsidRPr="00E01807">
        <w:rPr>
          <w:iCs/>
          <w:sz w:val="24"/>
          <w:szCs w:val="24"/>
          <w:lang w:val="id" w:bidi="ar-SA"/>
        </w:rPr>
        <w:t>Risk</w:t>
      </w:r>
      <w:r w:rsidRPr="00E01807">
        <w:rPr>
          <w:iCs/>
          <w:spacing w:val="31"/>
          <w:sz w:val="24"/>
          <w:szCs w:val="24"/>
          <w:lang w:val="id" w:bidi="ar-SA"/>
        </w:rPr>
        <w:t xml:space="preserve"> </w:t>
      </w:r>
      <w:r w:rsidRPr="00E01807">
        <w:rPr>
          <w:iCs/>
          <w:sz w:val="24"/>
          <w:szCs w:val="24"/>
          <w:lang w:val="id" w:bidi="ar-SA"/>
        </w:rPr>
        <w:t>Assessment:</w:t>
      </w:r>
      <w:r w:rsidRPr="00E01807">
        <w:rPr>
          <w:iCs/>
          <w:spacing w:val="33"/>
          <w:sz w:val="24"/>
          <w:szCs w:val="24"/>
          <w:lang w:val="id" w:bidi="ar-SA"/>
        </w:rPr>
        <w:t xml:space="preserve"> </w:t>
      </w:r>
      <w:r w:rsidRPr="00E01807">
        <w:rPr>
          <w:iCs/>
          <w:sz w:val="24"/>
          <w:szCs w:val="24"/>
          <w:lang w:val="id" w:bidi="ar-SA"/>
        </w:rPr>
        <w:t>Building</w:t>
      </w:r>
      <w:r w:rsidRPr="00E01807">
        <w:rPr>
          <w:iCs/>
          <w:spacing w:val="34"/>
          <w:sz w:val="24"/>
          <w:szCs w:val="24"/>
          <w:lang w:val="id" w:bidi="ar-SA"/>
        </w:rPr>
        <w:t xml:space="preserve"> </w:t>
      </w:r>
      <w:r w:rsidRPr="00E01807">
        <w:rPr>
          <w:iCs/>
          <w:sz w:val="24"/>
          <w:szCs w:val="24"/>
          <w:lang w:val="id" w:bidi="ar-SA"/>
        </w:rPr>
        <w:t>a</w:t>
      </w:r>
      <w:r w:rsidRPr="00E01807">
        <w:rPr>
          <w:iCs/>
          <w:spacing w:val="30"/>
          <w:sz w:val="24"/>
          <w:szCs w:val="24"/>
          <w:lang w:val="id" w:bidi="ar-SA"/>
        </w:rPr>
        <w:t xml:space="preserve"> </w:t>
      </w:r>
      <w:r w:rsidRPr="00E01807">
        <w:rPr>
          <w:iCs/>
          <w:sz w:val="24"/>
          <w:szCs w:val="24"/>
          <w:lang w:val="id" w:bidi="ar-SA"/>
        </w:rPr>
        <w:t>Fraud</w:t>
      </w:r>
      <w:r w:rsidRPr="00E01807">
        <w:rPr>
          <w:iCs/>
          <w:spacing w:val="31"/>
          <w:sz w:val="24"/>
          <w:szCs w:val="24"/>
          <w:lang w:val="id" w:bidi="ar-SA"/>
        </w:rPr>
        <w:t xml:space="preserve"> </w:t>
      </w:r>
      <w:r w:rsidRPr="00E01807">
        <w:rPr>
          <w:iCs/>
          <w:sz w:val="24"/>
          <w:szCs w:val="24"/>
          <w:lang w:val="id" w:bidi="ar-SA"/>
        </w:rPr>
        <w:t>Audit</w:t>
      </w:r>
      <w:r w:rsidRPr="00E01807">
        <w:rPr>
          <w:iCs/>
          <w:spacing w:val="30"/>
          <w:sz w:val="24"/>
          <w:szCs w:val="24"/>
          <w:lang w:val="id" w:bidi="ar-SA"/>
        </w:rPr>
        <w:t xml:space="preserve"> </w:t>
      </w:r>
      <w:r w:rsidRPr="00E01807">
        <w:rPr>
          <w:iCs/>
          <w:sz w:val="24"/>
          <w:szCs w:val="24"/>
          <w:lang w:val="id" w:bidi="ar-SA"/>
        </w:rPr>
        <w:t>Programed</w:t>
      </w:r>
      <w:r w:rsidRPr="00E01807">
        <w:rPr>
          <w:i/>
          <w:sz w:val="24"/>
          <w:szCs w:val="24"/>
          <w:lang w:val="id" w:bidi="ar-SA"/>
        </w:rPr>
        <w:t>:</w:t>
      </w:r>
      <w:r w:rsidRPr="00E01807">
        <w:rPr>
          <w:i/>
          <w:spacing w:val="30"/>
          <w:sz w:val="24"/>
          <w:szCs w:val="24"/>
          <w:lang w:val="id" w:bidi="ar-SA"/>
        </w:rPr>
        <w:t xml:space="preserve"> </w:t>
      </w:r>
      <w:r w:rsidRPr="00E01807">
        <w:rPr>
          <w:i/>
          <w:spacing w:val="-2"/>
          <w:sz w:val="24"/>
          <w:szCs w:val="24"/>
          <w:lang w:val="id" w:bidi="ar-SA"/>
        </w:rPr>
        <w:t>Hoboken.</w:t>
      </w:r>
    </w:p>
    <w:p w14:paraId="1986CB62" w14:textId="77777777" w:rsidR="00E01807" w:rsidRPr="00E01807" w:rsidRDefault="00E01807" w:rsidP="00E01807">
      <w:pPr>
        <w:spacing w:before="6"/>
        <w:ind w:left="426"/>
        <w:jc w:val="both"/>
        <w:rPr>
          <w:sz w:val="24"/>
          <w:szCs w:val="24"/>
          <w:lang w:val="id" w:bidi="ar-SA"/>
        </w:rPr>
      </w:pPr>
      <w:r w:rsidRPr="00E01807">
        <w:rPr>
          <w:sz w:val="24"/>
          <w:szCs w:val="24"/>
          <w:lang w:val="id" w:bidi="ar-SA"/>
        </w:rPr>
        <w:t>New</w:t>
      </w:r>
      <w:r w:rsidRPr="00E01807">
        <w:rPr>
          <w:spacing w:val="9"/>
          <w:sz w:val="24"/>
          <w:szCs w:val="24"/>
          <w:lang w:val="id" w:bidi="ar-SA"/>
        </w:rPr>
        <w:t xml:space="preserve"> </w:t>
      </w:r>
      <w:r w:rsidRPr="00E01807">
        <w:rPr>
          <w:sz w:val="24"/>
          <w:szCs w:val="24"/>
          <w:lang w:val="id" w:bidi="ar-SA"/>
        </w:rPr>
        <w:t>Jersey:</w:t>
      </w:r>
      <w:r w:rsidRPr="00E01807">
        <w:rPr>
          <w:spacing w:val="12"/>
          <w:sz w:val="24"/>
          <w:szCs w:val="24"/>
          <w:lang w:val="id" w:bidi="ar-SA"/>
        </w:rPr>
        <w:t xml:space="preserve"> </w:t>
      </w:r>
      <w:r w:rsidRPr="00E01807">
        <w:rPr>
          <w:sz w:val="24"/>
          <w:szCs w:val="24"/>
          <w:lang w:val="id" w:bidi="ar-SA"/>
        </w:rPr>
        <w:t>John</w:t>
      </w:r>
      <w:r w:rsidRPr="00E01807">
        <w:rPr>
          <w:spacing w:val="12"/>
          <w:sz w:val="24"/>
          <w:szCs w:val="24"/>
          <w:lang w:val="id" w:bidi="ar-SA"/>
        </w:rPr>
        <w:t xml:space="preserve"> </w:t>
      </w:r>
      <w:r w:rsidRPr="00E01807">
        <w:rPr>
          <w:sz w:val="24"/>
          <w:szCs w:val="24"/>
          <w:lang w:val="id" w:bidi="ar-SA"/>
        </w:rPr>
        <w:t>Wiley</w:t>
      </w:r>
      <w:r w:rsidRPr="00E01807">
        <w:rPr>
          <w:spacing w:val="7"/>
          <w:sz w:val="24"/>
          <w:szCs w:val="24"/>
          <w:lang w:val="id" w:bidi="ar-SA"/>
        </w:rPr>
        <w:t xml:space="preserve"> </w:t>
      </w:r>
      <w:r w:rsidRPr="00E01807">
        <w:rPr>
          <w:sz w:val="24"/>
          <w:szCs w:val="24"/>
          <w:lang w:val="id" w:bidi="ar-SA"/>
        </w:rPr>
        <w:t>and</w:t>
      </w:r>
      <w:r w:rsidRPr="00E01807">
        <w:rPr>
          <w:spacing w:val="9"/>
          <w:sz w:val="24"/>
          <w:szCs w:val="24"/>
          <w:lang w:val="id" w:bidi="ar-SA"/>
        </w:rPr>
        <w:t xml:space="preserve"> </w:t>
      </w:r>
      <w:r w:rsidRPr="00E01807">
        <w:rPr>
          <w:spacing w:val="-4"/>
          <w:sz w:val="24"/>
          <w:szCs w:val="24"/>
          <w:lang w:val="id" w:bidi="ar-SA"/>
        </w:rPr>
        <w:t>Sons.</w:t>
      </w:r>
    </w:p>
    <w:p w14:paraId="633529F1" w14:textId="77777777" w:rsidR="00E01807" w:rsidRPr="00E01807" w:rsidRDefault="00E01807" w:rsidP="00E01807">
      <w:pPr>
        <w:adjustRightInd w:val="0"/>
        <w:ind w:left="480" w:hanging="480"/>
        <w:jc w:val="both"/>
        <w:rPr>
          <w:noProof/>
          <w:sz w:val="24"/>
          <w:szCs w:val="24"/>
          <w:lang w:val="id" w:bidi="ar-SA"/>
        </w:rPr>
      </w:pPr>
    </w:p>
    <w:p w14:paraId="0996FD5D" w14:textId="77777777" w:rsidR="00E01807" w:rsidRPr="00E01807" w:rsidRDefault="00E01807" w:rsidP="00E01807">
      <w:pPr>
        <w:adjustRightInd w:val="0"/>
        <w:ind w:left="480" w:hanging="480"/>
        <w:jc w:val="both"/>
        <w:rPr>
          <w:noProof/>
          <w:sz w:val="24"/>
          <w:szCs w:val="24"/>
          <w:lang w:val="id" w:bidi="ar-SA"/>
        </w:rPr>
      </w:pPr>
      <w:r w:rsidRPr="00E01807">
        <w:rPr>
          <w:noProof/>
          <w:sz w:val="24"/>
          <w:szCs w:val="24"/>
          <w:lang w:val="id" w:bidi="ar-SA"/>
        </w:rPr>
        <w:t xml:space="preserve">Wolfe, D. T., &amp; Hermanson, D. R. (2004). The Fraud Diamond : Considering the Four Elements of Fraud. </w:t>
      </w:r>
      <w:r w:rsidRPr="00E01807">
        <w:rPr>
          <w:i/>
          <w:iCs/>
          <w:noProof/>
          <w:sz w:val="24"/>
          <w:szCs w:val="24"/>
          <w:lang w:val="id" w:bidi="ar-SA"/>
        </w:rPr>
        <w:t>DigitalCommons@Kennesaw State University</w:t>
      </w:r>
      <w:r w:rsidRPr="00E01807">
        <w:rPr>
          <w:noProof/>
          <w:sz w:val="24"/>
          <w:szCs w:val="24"/>
          <w:lang w:val="id" w:bidi="ar-SA"/>
        </w:rPr>
        <w:t xml:space="preserve">, </w:t>
      </w:r>
      <w:r w:rsidRPr="00E01807">
        <w:rPr>
          <w:i/>
          <w:iCs/>
          <w:noProof/>
          <w:sz w:val="24"/>
          <w:szCs w:val="24"/>
          <w:lang w:val="id" w:bidi="ar-SA"/>
        </w:rPr>
        <w:t>12</w:t>
      </w:r>
      <w:r w:rsidRPr="00E01807">
        <w:rPr>
          <w:noProof/>
          <w:sz w:val="24"/>
          <w:szCs w:val="24"/>
          <w:lang w:val="id" w:bidi="ar-SA"/>
        </w:rPr>
        <w:t>, 38–42.</w:t>
      </w:r>
    </w:p>
    <w:p w14:paraId="0082811A" w14:textId="77777777" w:rsidR="00E01807" w:rsidRPr="00E01807" w:rsidRDefault="00E01807" w:rsidP="00E01807">
      <w:pPr>
        <w:adjustRightInd w:val="0"/>
        <w:ind w:left="480" w:hanging="480"/>
        <w:jc w:val="both"/>
        <w:rPr>
          <w:noProof/>
          <w:sz w:val="24"/>
          <w:szCs w:val="24"/>
          <w:lang w:val="id" w:bidi="ar-SA"/>
        </w:rPr>
      </w:pPr>
    </w:p>
    <w:p w14:paraId="299F6B48" w14:textId="77777777" w:rsidR="00E01807" w:rsidRPr="00E01807" w:rsidRDefault="00E01807" w:rsidP="00E01807">
      <w:pPr>
        <w:spacing w:before="1"/>
        <w:ind w:left="426" w:hanging="426"/>
        <w:jc w:val="both"/>
        <w:rPr>
          <w:sz w:val="24"/>
          <w:szCs w:val="24"/>
          <w:lang w:val="id" w:bidi="ar-SA"/>
        </w:rPr>
      </w:pPr>
      <w:r w:rsidRPr="00E01807">
        <w:rPr>
          <w:sz w:val="24"/>
          <w:szCs w:val="24"/>
          <w:lang w:val="id" w:bidi="ar-SA"/>
        </w:rPr>
        <w:t>Whittred,</w:t>
      </w:r>
      <w:r w:rsidRPr="00E01807">
        <w:rPr>
          <w:spacing w:val="31"/>
          <w:sz w:val="24"/>
          <w:szCs w:val="24"/>
          <w:lang w:val="id" w:bidi="ar-SA"/>
        </w:rPr>
        <w:t xml:space="preserve"> </w:t>
      </w:r>
      <w:r w:rsidRPr="00E01807">
        <w:rPr>
          <w:sz w:val="24"/>
          <w:szCs w:val="24"/>
          <w:lang w:val="id" w:bidi="ar-SA"/>
        </w:rPr>
        <w:t>G.P,</w:t>
      </w:r>
      <w:r w:rsidRPr="00E01807">
        <w:rPr>
          <w:spacing w:val="31"/>
          <w:sz w:val="24"/>
          <w:szCs w:val="24"/>
          <w:lang w:val="id" w:bidi="ar-SA"/>
        </w:rPr>
        <w:t xml:space="preserve"> </w:t>
      </w:r>
      <w:r w:rsidRPr="00E01807">
        <w:rPr>
          <w:sz w:val="24"/>
          <w:szCs w:val="24"/>
          <w:lang w:val="id" w:bidi="ar-SA"/>
        </w:rPr>
        <w:t>1980a.</w:t>
      </w:r>
      <w:r w:rsidRPr="00E01807">
        <w:rPr>
          <w:spacing w:val="32"/>
          <w:sz w:val="24"/>
          <w:szCs w:val="24"/>
          <w:lang w:val="id" w:bidi="ar-SA"/>
        </w:rPr>
        <w:t xml:space="preserve"> </w:t>
      </w:r>
      <w:r w:rsidRPr="00E01807">
        <w:rPr>
          <w:sz w:val="24"/>
          <w:szCs w:val="24"/>
          <w:lang w:val="id" w:bidi="ar-SA"/>
        </w:rPr>
        <w:t>Audit</w:t>
      </w:r>
      <w:r w:rsidRPr="00E01807">
        <w:rPr>
          <w:spacing w:val="32"/>
          <w:sz w:val="24"/>
          <w:szCs w:val="24"/>
          <w:lang w:val="id" w:bidi="ar-SA"/>
        </w:rPr>
        <w:t xml:space="preserve"> </w:t>
      </w:r>
      <w:r w:rsidRPr="00E01807">
        <w:rPr>
          <w:sz w:val="24"/>
          <w:szCs w:val="24"/>
          <w:lang w:val="id" w:bidi="ar-SA"/>
        </w:rPr>
        <w:t>Qualification</w:t>
      </w:r>
      <w:r w:rsidRPr="00E01807">
        <w:rPr>
          <w:spacing w:val="32"/>
          <w:sz w:val="24"/>
          <w:szCs w:val="24"/>
          <w:lang w:val="id" w:bidi="ar-SA"/>
        </w:rPr>
        <w:t xml:space="preserve"> </w:t>
      </w:r>
      <w:r w:rsidRPr="00E01807">
        <w:rPr>
          <w:sz w:val="24"/>
          <w:szCs w:val="24"/>
          <w:lang w:val="id" w:bidi="ar-SA"/>
        </w:rPr>
        <w:t>and</w:t>
      </w:r>
      <w:r w:rsidRPr="00E01807">
        <w:rPr>
          <w:spacing w:val="31"/>
          <w:sz w:val="24"/>
          <w:szCs w:val="24"/>
          <w:lang w:val="id" w:bidi="ar-SA"/>
        </w:rPr>
        <w:t xml:space="preserve"> </w:t>
      </w:r>
      <w:r w:rsidRPr="00E01807">
        <w:rPr>
          <w:sz w:val="24"/>
          <w:szCs w:val="24"/>
          <w:lang w:val="id" w:bidi="ar-SA"/>
        </w:rPr>
        <w:t>the</w:t>
      </w:r>
      <w:r w:rsidRPr="00E01807">
        <w:rPr>
          <w:spacing w:val="36"/>
          <w:sz w:val="24"/>
          <w:szCs w:val="24"/>
          <w:lang w:val="id" w:bidi="ar-SA"/>
        </w:rPr>
        <w:t xml:space="preserve"> </w:t>
      </w:r>
      <w:r w:rsidRPr="00E01807">
        <w:rPr>
          <w:sz w:val="24"/>
          <w:szCs w:val="24"/>
          <w:lang w:val="id" w:bidi="ar-SA"/>
        </w:rPr>
        <w:t>Timeliness</w:t>
      </w:r>
      <w:r w:rsidRPr="00E01807">
        <w:rPr>
          <w:spacing w:val="33"/>
          <w:sz w:val="24"/>
          <w:szCs w:val="24"/>
          <w:lang w:val="id" w:bidi="ar-SA"/>
        </w:rPr>
        <w:t xml:space="preserve"> </w:t>
      </w:r>
      <w:r w:rsidRPr="00E01807">
        <w:rPr>
          <w:sz w:val="24"/>
          <w:szCs w:val="24"/>
          <w:lang w:val="id" w:bidi="ar-SA"/>
        </w:rPr>
        <w:t>of</w:t>
      </w:r>
      <w:r w:rsidRPr="00E01807">
        <w:rPr>
          <w:spacing w:val="35"/>
          <w:sz w:val="24"/>
          <w:szCs w:val="24"/>
          <w:lang w:val="id" w:bidi="ar-SA"/>
        </w:rPr>
        <w:t xml:space="preserve"> </w:t>
      </w:r>
      <w:r w:rsidRPr="00E01807">
        <w:rPr>
          <w:sz w:val="24"/>
          <w:szCs w:val="24"/>
          <w:lang w:val="id" w:bidi="ar-SA"/>
        </w:rPr>
        <w:t>Corporate</w:t>
      </w:r>
      <w:r w:rsidRPr="00E01807">
        <w:rPr>
          <w:spacing w:val="34"/>
          <w:sz w:val="24"/>
          <w:szCs w:val="24"/>
          <w:lang w:val="id" w:bidi="ar-SA"/>
        </w:rPr>
        <w:t xml:space="preserve"> </w:t>
      </w:r>
      <w:r w:rsidRPr="00E01807">
        <w:rPr>
          <w:sz w:val="24"/>
          <w:szCs w:val="24"/>
          <w:lang w:val="id" w:bidi="ar-SA"/>
        </w:rPr>
        <w:t>Annual</w:t>
      </w:r>
      <w:r w:rsidRPr="00E01807">
        <w:rPr>
          <w:spacing w:val="34"/>
          <w:sz w:val="24"/>
          <w:szCs w:val="24"/>
          <w:lang w:val="id" w:bidi="ar-SA"/>
        </w:rPr>
        <w:t xml:space="preserve"> </w:t>
      </w:r>
      <w:r w:rsidRPr="00E01807">
        <w:rPr>
          <w:spacing w:val="-2"/>
          <w:sz w:val="24"/>
          <w:szCs w:val="24"/>
          <w:lang w:val="id" w:bidi="ar-SA"/>
        </w:rPr>
        <w:t>Report,</w:t>
      </w:r>
      <w:r w:rsidRPr="00E01807">
        <w:rPr>
          <w:spacing w:val="-2"/>
          <w:sz w:val="24"/>
          <w:szCs w:val="24"/>
          <w:lang w:bidi="ar-SA"/>
        </w:rPr>
        <w:t xml:space="preserve"> </w:t>
      </w:r>
      <w:r w:rsidRPr="00E01807">
        <w:rPr>
          <w:i/>
          <w:sz w:val="24"/>
          <w:szCs w:val="24"/>
          <w:lang w:val="id" w:bidi="ar-SA"/>
        </w:rPr>
        <w:t>The</w:t>
      </w:r>
      <w:r w:rsidRPr="00E01807">
        <w:rPr>
          <w:i/>
          <w:spacing w:val="19"/>
          <w:sz w:val="24"/>
          <w:szCs w:val="24"/>
          <w:lang w:val="id" w:bidi="ar-SA"/>
        </w:rPr>
        <w:t xml:space="preserve"> </w:t>
      </w:r>
      <w:r w:rsidRPr="00E01807">
        <w:rPr>
          <w:i/>
          <w:sz w:val="24"/>
          <w:szCs w:val="24"/>
          <w:lang w:val="id" w:bidi="ar-SA"/>
        </w:rPr>
        <w:t>Accounting</w:t>
      </w:r>
      <w:r w:rsidRPr="00E01807">
        <w:rPr>
          <w:i/>
          <w:spacing w:val="18"/>
          <w:sz w:val="24"/>
          <w:szCs w:val="24"/>
          <w:lang w:val="id" w:bidi="ar-SA"/>
        </w:rPr>
        <w:t xml:space="preserve"> </w:t>
      </w:r>
      <w:r w:rsidRPr="00E01807">
        <w:rPr>
          <w:i/>
          <w:sz w:val="24"/>
          <w:szCs w:val="24"/>
          <w:lang w:val="id" w:bidi="ar-SA"/>
        </w:rPr>
        <w:t>Review,</w:t>
      </w:r>
      <w:r w:rsidRPr="00E01807">
        <w:rPr>
          <w:i/>
          <w:spacing w:val="14"/>
          <w:sz w:val="24"/>
          <w:szCs w:val="24"/>
          <w:lang w:val="id" w:bidi="ar-SA"/>
        </w:rPr>
        <w:t xml:space="preserve"> </w:t>
      </w:r>
      <w:r w:rsidRPr="00E01807">
        <w:rPr>
          <w:sz w:val="24"/>
          <w:szCs w:val="24"/>
          <w:lang w:val="id" w:bidi="ar-SA"/>
        </w:rPr>
        <w:t>p563-</w:t>
      </w:r>
      <w:r w:rsidRPr="00E01807">
        <w:rPr>
          <w:spacing w:val="-5"/>
          <w:sz w:val="24"/>
          <w:szCs w:val="24"/>
          <w:lang w:val="id" w:bidi="ar-SA"/>
        </w:rPr>
        <w:t>577</w:t>
      </w:r>
    </w:p>
    <w:p w14:paraId="63E382C5" w14:textId="77777777" w:rsidR="00E01807" w:rsidRPr="00E01807" w:rsidRDefault="00E01807" w:rsidP="00E01807">
      <w:pPr>
        <w:adjustRightInd w:val="0"/>
        <w:ind w:left="480" w:hanging="480"/>
        <w:jc w:val="both"/>
        <w:rPr>
          <w:noProof/>
          <w:sz w:val="24"/>
          <w:szCs w:val="24"/>
          <w:lang w:val="id" w:bidi="ar-SA"/>
        </w:rPr>
      </w:pPr>
    </w:p>
    <w:p w14:paraId="3C9ABEF2" w14:textId="2A1CAE33" w:rsidR="00E46AF9" w:rsidRPr="00E46AF9" w:rsidRDefault="00E01807" w:rsidP="00E01807">
      <w:pPr>
        <w:pStyle w:val="BodyText"/>
        <w:spacing w:before="120"/>
        <w:ind w:right="117"/>
        <w:jc w:val="both"/>
      </w:pPr>
      <w:r w:rsidRPr="00046673">
        <w:rPr>
          <w:b/>
          <w:w w:val="105"/>
          <w:lang w:bidi="ar-SA"/>
        </w:rPr>
        <w:fldChar w:fldCharType="end"/>
      </w:r>
    </w:p>
    <w:sectPr w:rsidR="00E46AF9" w:rsidRPr="00E46AF9" w:rsidSect="007F58F4">
      <w:pgSz w:w="11910" w:h="16840"/>
      <w:pgMar w:top="1440" w:right="1440" w:bottom="1440" w:left="1440" w:header="730" w:footer="0" w:gutter="0"/>
      <w:cols w:num="2" w:space="720" w:equalWidth="0">
        <w:col w:w="4196" w:space="577"/>
        <w:col w:w="4257"/>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94E3F" w14:textId="77777777" w:rsidR="00C858C5" w:rsidRDefault="00C858C5">
      <w:r>
        <w:separator/>
      </w:r>
    </w:p>
  </w:endnote>
  <w:endnote w:type="continuationSeparator" w:id="0">
    <w:p w14:paraId="6A745941" w14:textId="77777777" w:rsidR="00C858C5" w:rsidRDefault="00C8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7961115"/>
      <w:docPartObj>
        <w:docPartGallery w:val="Page Numbers (Bottom of Page)"/>
        <w:docPartUnique/>
      </w:docPartObj>
    </w:sdtPr>
    <w:sdtEndPr>
      <w:rPr>
        <w:noProof/>
      </w:rPr>
    </w:sdtEndPr>
    <w:sdtContent>
      <w:p w14:paraId="651639E4" w14:textId="44D335DA" w:rsidR="00D560EE" w:rsidRDefault="00D560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F6C3A0" w14:textId="77777777" w:rsidR="00D560EE" w:rsidRDefault="00D56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E86B3" w14:textId="77777777" w:rsidR="00C858C5" w:rsidRDefault="00C858C5">
      <w:r>
        <w:separator/>
      </w:r>
    </w:p>
  </w:footnote>
  <w:footnote w:type="continuationSeparator" w:id="0">
    <w:p w14:paraId="014ADF16" w14:textId="77777777" w:rsidR="00C858C5" w:rsidRDefault="00C85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752E" w14:textId="0EDA6613" w:rsidR="00B04F7B" w:rsidRDefault="00B04F7B">
    <w:pPr>
      <w:spacing w:before="10"/>
      <w:ind w:left="1" w:right="1"/>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A6D93"/>
    <w:multiLevelType w:val="hybridMultilevel"/>
    <w:tmpl w:val="83DE49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134AFC"/>
    <w:multiLevelType w:val="hybridMultilevel"/>
    <w:tmpl w:val="DC04445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0E74AD7"/>
    <w:multiLevelType w:val="hybridMultilevel"/>
    <w:tmpl w:val="E0ACD6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3685A9B"/>
    <w:multiLevelType w:val="hybridMultilevel"/>
    <w:tmpl w:val="56A6A5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F637D7B"/>
    <w:multiLevelType w:val="hybridMultilevel"/>
    <w:tmpl w:val="C2860A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7742C3"/>
    <w:multiLevelType w:val="hybridMultilevel"/>
    <w:tmpl w:val="08BA02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0EB6B73"/>
    <w:multiLevelType w:val="hybridMultilevel"/>
    <w:tmpl w:val="C2860A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6A465F8"/>
    <w:multiLevelType w:val="hybridMultilevel"/>
    <w:tmpl w:val="BD5E579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B434A52"/>
    <w:multiLevelType w:val="hybridMultilevel"/>
    <w:tmpl w:val="E6947F6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6E822E30"/>
    <w:multiLevelType w:val="hybridMultilevel"/>
    <w:tmpl w:val="663C6C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2"/>
  </w:num>
  <w:num w:numId="5">
    <w:abstractNumId w:val="1"/>
  </w:num>
  <w:num w:numId="6">
    <w:abstractNumId w:val="8"/>
  </w:num>
  <w:num w:numId="7">
    <w:abstractNumId w:val="9"/>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7B"/>
    <w:rsid w:val="00020103"/>
    <w:rsid w:val="000256D4"/>
    <w:rsid w:val="00051005"/>
    <w:rsid w:val="001A61C5"/>
    <w:rsid w:val="001E51E8"/>
    <w:rsid w:val="002C159D"/>
    <w:rsid w:val="002E77E0"/>
    <w:rsid w:val="002F370F"/>
    <w:rsid w:val="003C23DE"/>
    <w:rsid w:val="00414BAE"/>
    <w:rsid w:val="004B3CBB"/>
    <w:rsid w:val="004D1587"/>
    <w:rsid w:val="004E4AA1"/>
    <w:rsid w:val="004F5892"/>
    <w:rsid w:val="00520658"/>
    <w:rsid w:val="005C7A25"/>
    <w:rsid w:val="0063385F"/>
    <w:rsid w:val="006769C7"/>
    <w:rsid w:val="00703F71"/>
    <w:rsid w:val="007F58F4"/>
    <w:rsid w:val="00906B16"/>
    <w:rsid w:val="009D07E5"/>
    <w:rsid w:val="00AC1449"/>
    <w:rsid w:val="00AE5678"/>
    <w:rsid w:val="00B04F7B"/>
    <w:rsid w:val="00C146F4"/>
    <w:rsid w:val="00C838CC"/>
    <w:rsid w:val="00C858C5"/>
    <w:rsid w:val="00CF5B70"/>
    <w:rsid w:val="00D560EE"/>
    <w:rsid w:val="00E01807"/>
    <w:rsid w:val="00E46AF9"/>
    <w:rsid w:val="00EF547F"/>
    <w:rsid w:val="00F00147"/>
    <w:rsid w:val="00F01243"/>
    <w:rsid w:val="7F1B3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D205"/>
  <w15:docId w15:val="{6787A03B-3D2D-44C7-A0F3-08CB8A05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bidi="en-US"/>
    </w:rPr>
  </w:style>
  <w:style w:type="paragraph" w:styleId="Heading1">
    <w:name w:val="heading 1"/>
    <w:basedOn w:val="Normal"/>
    <w:next w:val="Normal"/>
    <w:uiPriority w:val="1"/>
    <w:qFormat/>
    <w:pPr>
      <w:spacing w:before="80"/>
      <w:ind w:left="100"/>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rsid w:val="001E51E8"/>
    <w:rPr>
      <w:color w:val="0000FF" w:themeColor="hyperlink"/>
      <w:u w:val="single"/>
    </w:rPr>
  </w:style>
  <w:style w:type="table" w:styleId="TableGrid">
    <w:name w:val="Table Grid"/>
    <w:basedOn w:val="TableNormal"/>
    <w:uiPriority w:val="59"/>
    <w:rsid w:val="003C23DE"/>
    <w:pPr>
      <w:spacing w:beforeAutospacing="1" w:afterAutospacing="1"/>
      <w:ind w:left="-57" w:right="-57"/>
      <w:jc w:val="center"/>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01807"/>
    <w:rPr>
      <w:color w:val="605E5C"/>
      <w:shd w:val="clear" w:color="auto" w:fill="E1DFDD"/>
    </w:rPr>
  </w:style>
  <w:style w:type="paragraph" w:styleId="Caption">
    <w:name w:val="caption"/>
    <w:basedOn w:val="Normal"/>
    <w:next w:val="Normal"/>
    <w:unhideWhenUsed/>
    <w:qFormat/>
    <w:rsid w:val="00C146F4"/>
    <w:pPr>
      <w:spacing w:after="200"/>
    </w:pPr>
    <w:rPr>
      <w:i/>
      <w:iCs/>
      <w:color w:val="1F497D" w:themeColor="text2"/>
      <w:sz w:val="18"/>
      <w:szCs w:val="18"/>
    </w:rPr>
  </w:style>
  <w:style w:type="paragraph" w:styleId="Header">
    <w:name w:val="header"/>
    <w:basedOn w:val="Normal"/>
    <w:link w:val="HeaderChar"/>
    <w:rsid w:val="00D560EE"/>
    <w:pPr>
      <w:tabs>
        <w:tab w:val="center" w:pos="4513"/>
        <w:tab w:val="right" w:pos="9026"/>
      </w:tabs>
    </w:pPr>
  </w:style>
  <w:style w:type="character" w:customStyle="1" w:styleId="HeaderChar">
    <w:name w:val="Header Char"/>
    <w:basedOn w:val="DefaultParagraphFont"/>
    <w:link w:val="Header"/>
    <w:rsid w:val="00D560EE"/>
    <w:rPr>
      <w:rFonts w:eastAsia="Times New Roman"/>
      <w:sz w:val="22"/>
      <w:szCs w:val="22"/>
      <w:lang w:bidi="en-US"/>
    </w:rPr>
  </w:style>
  <w:style w:type="character" w:customStyle="1" w:styleId="FooterChar">
    <w:name w:val="Footer Char"/>
    <w:basedOn w:val="DefaultParagraphFont"/>
    <w:link w:val="Footer"/>
    <w:uiPriority w:val="99"/>
    <w:rsid w:val="00D560EE"/>
    <w:rPr>
      <w:rFonts w:eastAsia="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ning_m@uny.ac.id5" TargetMode="Externa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intanglazuardi@uny.ac.id"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llenpratama@uny.ac.id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indya.nl@uny.ac.id"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mailto:musaroh@uny.ac.id1" TargetMode="External"/><Relationship Id="rId14" Type="http://schemas.openxmlformats.org/officeDocument/2006/relationships/hyperlink" Target="mailto:helenachristia.2022@student.uny.ac.i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9DB145-F6A1-47E6-BA80-4516625D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3785</Words>
  <Characters>21581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11</cp:revision>
  <dcterms:created xsi:type="dcterms:W3CDTF">2026-02-28T04:31:00Z</dcterms:created>
  <dcterms:modified xsi:type="dcterms:W3CDTF">2026-03-04T13:07:00Z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Microsoft® Word for Office 365</vt:lpwstr>
  </property>
  <property fmtid="{D5CDD505-2E9C-101B-9397-08002B2CF9AE}" pid="4" name="LastSaved">
    <vt:filetime>2021-06-15T00:00:00Z</vt:filetime>
  </property>
  <property fmtid="{D5CDD505-2E9C-101B-9397-08002B2CF9AE}" pid="5" name="KSOProductBuildVer">
    <vt:lpwstr>1033-11.2.0.10130</vt:lpwstr>
  </property>
  <property fmtid="{D5CDD505-2E9C-101B-9397-08002B2CF9AE}" pid="6" name="GrammarlyDocumentId">
    <vt:lpwstr>fb983eb1-3db5-4688-bbe2-7926b48ae683</vt:lpwstr>
  </property>
</Properties>
</file>