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7BCB1" w14:textId="77777777" w:rsidR="00390E2A" w:rsidRPr="00A764EA" w:rsidRDefault="00390E2A" w:rsidP="00A3188A">
      <w:pPr>
        <w:spacing w:after="0" w:line="240" w:lineRule="auto"/>
        <w:contextualSpacing/>
        <w:jc w:val="center"/>
        <w:rPr>
          <w:rFonts w:asciiTheme="majorHAnsi" w:hAnsiTheme="majorHAnsi" w:cs="Times New Roman"/>
          <w:sz w:val="40"/>
          <w:szCs w:val="40"/>
        </w:rPr>
      </w:pPr>
      <w:bookmarkStart w:id="0" w:name="_Hlk114142244"/>
      <w:bookmarkEnd w:id="0"/>
      <w:r w:rsidRPr="00A764EA">
        <w:rPr>
          <w:rFonts w:asciiTheme="majorHAnsi" w:hAnsiTheme="majorHAnsi" w:cs="Times New Roman"/>
          <w:noProof/>
          <w:sz w:val="40"/>
          <w:szCs w:val="40"/>
          <w:lang w:val="id-ID" w:eastAsia="id-ID"/>
        </w:rPr>
        <w:drawing>
          <wp:inline distT="0" distB="0" distL="0" distR="0" wp14:anchorId="6C4FD83F" wp14:editId="4E27C739">
            <wp:extent cx="6675120" cy="114061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5120" cy="1140611"/>
                    </a:xfrm>
                    <a:prstGeom prst="rect">
                      <a:avLst/>
                    </a:prstGeom>
                    <a:noFill/>
                    <a:ln>
                      <a:noFill/>
                    </a:ln>
                  </pic:spPr>
                </pic:pic>
              </a:graphicData>
            </a:graphic>
          </wp:inline>
        </w:drawing>
      </w:r>
    </w:p>
    <w:p w14:paraId="6D7ECB4F" w14:textId="04B7A0BA" w:rsidR="00B50AD3" w:rsidRPr="00A764EA" w:rsidRDefault="00D7466C" w:rsidP="00A3188A">
      <w:pPr>
        <w:spacing w:after="0" w:line="240" w:lineRule="auto"/>
        <w:contextualSpacing/>
        <w:jc w:val="center"/>
        <w:rPr>
          <w:rFonts w:asciiTheme="majorHAnsi" w:hAnsiTheme="majorHAnsi" w:cs="Times New Roman"/>
          <w:sz w:val="40"/>
          <w:szCs w:val="40"/>
          <w:lang w:eastAsia="ja-JP"/>
        </w:rPr>
      </w:pPr>
      <w:bookmarkStart w:id="1" w:name="_Hlk71359339"/>
      <w:r w:rsidRPr="00D7466C">
        <w:rPr>
          <w:rFonts w:asciiTheme="majorHAnsi" w:hAnsiTheme="majorHAnsi" w:cs="Times New Roman"/>
          <w:sz w:val="40"/>
          <w:szCs w:val="40"/>
        </w:rPr>
        <w:t xml:space="preserve">Performance </w:t>
      </w:r>
      <w:r>
        <w:rPr>
          <w:rFonts w:asciiTheme="majorHAnsi" w:hAnsiTheme="majorHAnsi" w:cs="Times New Roman"/>
          <w:sz w:val="40"/>
          <w:szCs w:val="40"/>
        </w:rPr>
        <w:t>a</w:t>
      </w:r>
      <w:r w:rsidRPr="00D7466C">
        <w:rPr>
          <w:rFonts w:asciiTheme="majorHAnsi" w:hAnsiTheme="majorHAnsi" w:cs="Times New Roman"/>
          <w:sz w:val="40"/>
          <w:szCs w:val="40"/>
        </w:rPr>
        <w:t xml:space="preserve">nd Antifouling Evaluation </w:t>
      </w:r>
      <w:r>
        <w:rPr>
          <w:rFonts w:asciiTheme="majorHAnsi" w:hAnsiTheme="majorHAnsi" w:cs="Times New Roman"/>
          <w:sz w:val="40"/>
          <w:szCs w:val="40"/>
        </w:rPr>
        <w:t>o</w:t>
      </w:r>
      <w:r w:rsidRPr="00D7466C">
        <w:rPr>
          <w:rFonts w:asciiTheme="majorHAnsi" w:hAnsiTheme="majorHAnsi" w:cs="Times New Roman"/>
          <w:sz w:val="40"/>
          <w:szCs w:val="40"/>
        </w:rPr>
        <w:t xml:space="preserve">f </w:t>
      </w:r>
      <w:proofErr w:type="spellStart"/>
      <w:r w:rsidRPr="00D7466C">
        <w:rPr>
          <w:rFonts w:asciiTheme="majorHAnsi" w:hAnsiTheme="majorHAnsi" w:cs="Times New Roman"/>
          <w:sz w:val="40"/>
          <w:szCs w:val="40"/>
        </w:rPr>
        <w:t>P</w:t>
      </w:r>
      <w:r>
        <w:rPr>
          <w:rFonts w:asciiTheme="majorHAnsi" w:hAnsiTheme="majorHAnsi" w:cs="Times New Roman"/>
          <w:sz w:val="40"/>
          <w:szCs w:val="40"/>
        </w:rPr>
        <w:t>S</w:t>
      </w:r>
      <w:r w:rsidRPr="00D7466C">
        <w:rPr>
          <w:rFonts w:asciiTheme="majorHAnsi" w:hAnsiTheme="majorHAnsi" w:cs="Times New Roman"/>
          <w:sz w:val="40"/>
          <w:szCs w:val="40"/>
        </w:rPr>
        <w:t>f</w:t>
      </w:r>
      <w:proofErr w:type="spellEnd"/>
      <w:r w:rsidRPr="00D7466C">
        <w:rPr>
          <w:rFonts w:asciiTheme="majorHAnsi" w:hAnsiTheme="majorHAnsi" w:cs="Times New Roman"/>
          <w:sz w:val="40"/>
          <w:szCs w:val="40"/>
        </w:rPr>
        <w:t xml:space="preserve">/GO Nanohybrid Membrane </w:t>
      </w:r>
      <w:r>
        <w:rPr>
          <w:rFonts w:asciiTheme="majorHAnsi" w:hAnsiTheme="majorHAnsi" w:cs="Times New Roman"/>
          <w:sz w:val="40"/>
          <w:szCs w:val="40"/>
        </w:rPr>
        <w:t>o</w:t>
      </w:r>
      <w:r w:rsidRPr="00D7466C">
        <w:rPr>
          <w:rFonts w:asciiTheme="majorHAnsi" w:hAnsiTheme="majorHAnsi" w:cs="Times New Roman"/>
          <w:sz w:val="40"/>
          <w:szCs w:val="40"/>
        </w:rPr>
        <w:t xml:space="preserve">n Removing Dye Pollutant </w:t>
      </w:r>
      <w:r>
        <w:rPr>
          <w:rFonts w:asciiTheme="majorHAnsi" w:hAnsiTheme="majorHAnsi" w:cs="Times New Roman"/>
          <w:sz w:val="40"/>
          <w:szCs w:val="40"/>
        </w:rPr>
        <w:t>f</w:t>
      </w:r>
      <w:r w:rsidRPr="00D7466C">
        <w:rPr>
          <w:rFonts w:asciiTheme="majorHAnsi" w:hAnsiTheme="majorHAnsi" w:cs="Times New Roman"/>
          <w:sz w:val="40"/>
          <w:szCs w:val="40"/>
        </w:rPr>
        <w:t>rom Batik Wastewater</w:t>
      </w:r>
    </w:p>
    <w:bookmarkEnd w:id="1"/>
    <w:p w14:paraId="344A7D07" w14:textId="77777777" w:rsidR="00E446A8" w:rsidRPr="00A764EA" w:rsidRDefault="00E446A8" w:rsidP="00A3188A">
      <w:pPr>
        <w:spacing w:after="0" w:line="240" w:lineRule="auto"/>
        <w:contextualSpacing/>
        <w:jc w:val="center"/>
        <w:rPr>
          <w:rFonts w:asciiTheme="majorHAnsi" w:hAnsiTheme="majorHAnsi" w:cs="Times New Roman"/>
          <w:b/>
          <w:sz w:val="20"/>
          <w:szCs w:val="20"/>
        </w:rPr>
      </w:pPr>
    </w:p>
    <w:p w14:paraId="28AB3B9A" w14:textId="5004B92C" w:rsidR="00E16E96" w:rsidRPr="00E16E96" w:rsidRDefault="00D7466C" w:rsidP="00E16E96">
      <w:pPr>
        <w:spacing w:after="0" w:line="240" w:lineRule="auto"/>
        <w:contextualSpacing/>
        <w:jc w:val="center"/>
        <w:rPr>
          <w:rFonts w:asciiTheme="majorHAnsi" w:eastAsia="Batang" w:hAnsiTheme="majorHAnsi" w:cs="Times New Roman"/>
          <w:sz w:val="24"/>
          <w:szCs w:val="24"/>
          <w:lang w:val="en-GB" w:eastAsia="ko-KR"/>
        </w:rPr>
      </w:pPr>
      <w:proofErr w:type="spellStart"/>
      <w:r>
        <w:rPr>
          <w:rFonts w:asciiTheme="majorHAnsi" w:eastAsia="Batang" w:hAnsiTheme="majorHAnsi" w:cs="Times New Roman"/>
          <w:sz w:val="24"/>
          <w:szCs w:val="24"/>
          <w:lang w:val="en-GB" w:eastAsia="ko-KR"/>
        </w:rPr>
        <w:t>T</w:t>
      </w:r>
      <w:r w:rsidRPr="00D7466C">
        <w:rPr>
          <w:rFonts w:asciiTheme="majorHAnsi" w:eastAsia="Batang" w:hAnsiTheme="majorHAnsi" w:cs="Times New Roman"/>
          <w:sz w:val="24"/>
          <w:szCs w:val="24"/>
          <w:lang w:val="en-GB" w:eastAsia="ko-KR"/>
        </w:rPr>
        <w:t>utuk</w:t>
      </w:r>
      <w:proofErr w:type="spellEnd"/>
      <w:r w:rsidRPr="00D7466C">
        <w:rPr>
          <w:rFonts w:asciiTheme="majorHAnsi" w:eastAsia="Batang" w:hAnsiTheme="majorHAnsi" w:cs="Times New Roman"/>
          <w:sz w:val="24"/>
          <w:szCs w:val="24"/>
          <w:lang w:val="en-GB" w:eastAsia="ko-KR"/>
        </w:rPr>
        <w:t xml:space="preserve"> Djoko Kusworo</w:t>
      </w:r>
      <w:r w:rsidRPr="00D7466C">
        <w:rPr>
          <w:rFonts w:asciiTheme="majorHAnsi" w:eastAsia="Batang" w:hAnsiTheme="majorHAnsi" w:cs="Times New Roman"/>
          <w:sz w:val="24"/>
          <w:szCs w:val="24"/>
          <w:vertAlign w:val="superscript"/>
          <w:lang w:val="en-GB" w:eastAsia="ko-KR"/>
        </w:rPr>
        <w:t>1*)</w:t>
      </w:r>
      <w:r w:rsidRPr="00D7466C">
        <w:rPr>
          <w:rFonts w:asciiTheme="majorHAnsi" w:eastAsia="Batang" w:hAnsiTheme="majorHAnsi" w:cs="Times New Roman"/>
          <w:sz w:val="24"/>
          <w:szCs w:val="24"/>
          <w:lang w:val="en-GB" w:eastAsia="ko-KR"/>
        </w:rPr>
        <w:t xml:space="preserve">, Dita </w:t>
      </w:r>
      <w:proofErr w:type="spellStart"/>
      <w:r w:rsidRPr="00D7466C">
        <w:rPr>
          <w:rFonts w:asciiTheme="majorHAnsi" w:eastAsia="Batang" w:hAnsiTheme="majorHAnsi" w:cs="Times New Roman"/>
          <w:sz w:val="24"/>
          <w:szCs w:val="24"/>
          <w:lang w:val="en-GB" w:eastAsia="ko-KR"/>
        </w:rPr>
        <w:t>Aulia</w:t>
      </w:r>
      <w:proofErr w:type="spellEnd"/>
      <w:r w:rsidRPr="00D7466C">
        <w:rPr>
          <w:rFonts w:asciiTheme="majorHAnsi" w:eastAsia="Batang" w:hAnsiTheme="majorHAnsi" w:cs="Times New Roman"/>
          <w:sz w:val="24"/>
          <w:szCs w:val="24"/>
          <w:lang w:val="en-GB" w:eastAsia="ko-KR"/>
        </w:rPr>
        <w:t xml:space="preserve"> Azizah</w:t>
      </w:r>
      <w:r w:rsidRPr="00D7466C">
        <w:rPr>
          <w:rFonts w:asciiTheme="majorHAnsi" w:eastAsia="Batang" w:hAnsiTheme="majorHAnsi" w:cs="Times New Roman"/>
          <w:sz w:val="24"/>
          <w:szCs w:val="24"/>
          <w:vertAlign w:val="superscript"/>
          <w:lang w:val="en-GB" w:eastAsia="ko-KR"/>
        </w:rPr>
        <w:t>1,2)</w:t>
      </w:r>
      <w:r w:rsidRPr="00D7466C">
        <w:rPr>
          <w:rFonts w:asciiTheme="majorHAnsi" w:eastAsia="Batang" w:hAnsiTheme="majorHAnsi" w:cs="Times New Roman"/>
          <w:sz w:val="24"/>
          <w:szCs w:val="24"/>
          <w:lang w:val="en-GB" w:eastAsia="ko-KR"/>
        </w:rPr>
        <w:t xml:space="preserve">, Andri </w:t>
      </w:r>
      <w:proofErr w:type="spellStart"/>
      <w:r w:rsidRPr="00D7466C">
        <w:rPr>
          <w:rFonts w:asciiTheme="majorHAnsi" w:eastAsia="Batang" w:hAnsiTheme="majorHAnsi" w:cs="Times New Roman"/>
          <w:sz w:val="24"/>
          <w:szCs w:val="24"/>
          <w:lang w:val="en-GB" w:eastAsia="ko-KR"/>
        </w:rPr>
        <w:t>Cahyo</w:t>
      </w:r>
      <w:proofErr w:type="spellEnd"/>
      <w:r w:rsidRPr="00D7466C">
        <w:rPr>
          <w:rFonts w:asciiTheme="majorHAnsi" w:eastAsia="Batang" w:hAnsiTheme="majorHAnsi" w:cs="Times New Roman"/>
          <w:sz w:val="24"/>
          <w:szCs w:val="24"/>
          <w:lang w:val="en-GB" w:eastAsia="ko-KR"/>
        </w:rPr>
        <w:t xml:space="preserve"> Kumoro</w:t>
      </w:r>
      <w:r w:rsidRPr="00D7466C">
        <w:rPr>
          <w:rFonts w:asciiTheme="majorHAnsi" w:eastAsia="Batang" w:hAnsiTheme="majorHAnsi" w:cs="Times New Roman"/>
          <w:sz w:val="24"/>
          <w:szCs w:val="24"/>
          <w:vertAlign w:val="superscript"/>
          <w:lang w:val="en-GB" w:eastAsia="ko-KR"/>
        </w:rPr>
        <w:t>1)</w:t>
      </w:r>
    </w:p>
    <w:p w14:paraId="4C1A566A" w14:textId="77777777" w:rsidR="00E446A8" w:rsidRPr="00A764EA" w:rsidRDefault="00E446A8" w:rsidP="00A3188A">
      <w:pPr>
        <w:spacing w:after="0" w:line="240" w:lineRule="auto"/>
        <w:contextualSpacing/>
        <w:jc w:val="center"/>
        <w:rPr>
          <w:rFonts w:asciiTheme="majorHAnsi" w:hAnsiTheme="majorHAnsi" w:cs="Times New Roman"/>
          <w:sz w:val="20"/>
          <w:szCs w:val="20"/>
        </w:rPr>
      </w:pPr>
    </w:p>
    <w:p w14:paraId="5CFD1F16" w14:textId="77777777" w:rsidR="00D7466C" w:rsidRPr="00D7466C" w:rsidRDefault="00D7466C" w:rsidP="00D7466C">
      <w:pPr>
        <w:spacing w:after="0" w:line="240" w:lineRule="auto"/>
        <w:contextualSpacing/>
        <w:jc w:val="center"/>
        <w:rPr>
          <w:rFonts w:asciiTheme="majorHAnsi" w:hAnsiTheme="majorHAnsi" w:cs="Times New Roman"/>
          <w:sz w:val="20"/>
          <w:szCs w:val="20"/>
        </w:rPr>
      </w:pPr>
      <w:r w:rsidRPr="00D7466C">
        <w:rPr>
          <w:rFonts w:asciiTheme="majorHAnsi" w:hAnsiTheme="majorHAnsi" w:cs="Times New Roman"/>
          <w:sz w:val="20"/>
          <w:szCs w:val="20"/>
          <w:vertAlign w:val="superscript"/>
        </w:rPr>
        <w:t>1</w:t>
      </w:r>
      <w:r w:rsidRPr="00D7466C">
        <w:rPr>
          <w:rFonts w:asciiTheme="majorHAnsi" w:hAnsiTheme="majorHAnsi" w:cs="Times New Roman"/>
          <w:sz w:val="20"/>
          <w:szCs w:val="20"/>
        </w:rPr>
        <w:t xml:space="preserve">Chemical Engineering </w:t>
      </w:r>
      <w:proofErr w:type="spellStart"/>
      <w:r w:rsidRPr="00D7466C">
        <w:rPr>
          <w:rFonts w:asciiTheme="majorHAnsi" w:hAnsiTheme="majorHAnsi" w:cs="Times New Roman"/>
          <w:sz w:val="20"/>
          <w:szCs w:val="20"/>
        </w:rPr>
        <w:t>Dipoengoro</w:t>
      </w:r>
      <w:proofErr w:type="spellEnd"/>
      <w:r w:rsidRPr="00D7466C">
        <w:rPr>
          <w:rFonts w:asciiTheme="majorHAnsi" w:hAnsiTheme="majorHAnsi" w:cs="Times New Roman"/>
          <w:sz w:val="20"/>
          <w:szCs w:val="20"/>
        </w:rPr>
        <w:t xml:space="preserve"> University, Semarang, Indonesia</w:t>
      </w:r>
    </w:p>
    <w:p w14:paraId="297207B0" w14:textId="759E798A" w:rsidR="005E0E73" w:rsidRDefault="00D7466C" w:rsidP="00D7466C">
      <w:pPr>
        <w:spacing w:after="0" w:line="240" w:lineRule="auto"/>
        <w:contextualSpacing/>
        <w:jc w:val="center"/>
        <w:rPr>
          <w:rFonts w:asciiTheme="majorHAnsi" w:hAnsiTheme="majorHAnsi" w:cs="Times New Roman"/>
          <w:sz w:val="20"/>
          <w:szCs w:val="20"/>
        </w:rPr>
      </w:pPr>
      <w:r w:rsidRPr="00D7466C">
        <w:rPr>
          <w:rFonts w:asciiTheme="majorHAnsi" w:hAnsiTheme="majorHAnsi" w:cs="Times New Roman"/>
          <w:sz w:val="20"/>
          <w:szCs w:val="20"/>
          <w:vertAlign w:val="superscript"/>
        </w:rPr>
        <w:t>2</w:t>
      </w:r>
      <w:r w:rsidRPr="00D7466C">
        <w:rPr>
          <w:rFonts w:asciiTheme="majorHAnsi" w:hAnsiTheme="majorHAnsi" w:cs="Times New Roman"/>
          <w:sz w:val="20"/>
          <w:szCs w:val="20"/>
        </w:rPr>
        <w:t xml:space="preserve">Master of Chemical Engineering, </w:t>
      </w:r>
      <w:proofErr w:type="spellStart"/>
      <w:r w:rsidRPr="00D7466C">
        <w:rPr>
          <w:rFonts w:asciiTheme="majorHAnsi" w:hAnsiTheme="majorHAnsi" w:cs="Times New Roman"/>
          <w:sz w:val="20"/>
          <w:szCs w:val="20"/>
        </w:rPr>
        <w:t>Diponegoro</w:t>
      </w:r>
      <w:proofErr w:type="spellEnd"/>
      <w:r w:rsidRPr="00D7466C">
        <w:rPr>
          <w:rFonts w:asciiTheme="majorHAnsi" w:hAnsiTheme="majorHAnsi" w:cs="Times New Roman"/>
          <w:sz w:val="20"/>
          <w:szCs w:val="20"/>
        </w:rPr>
        <w:t xml:space="preserve"> University, Semarang, Indonesia</w:t>
      </w:r>
    </w:p>
    <w:p w14:paraId="169DA2FD" w14:textId="77777777" w:rsidR="00524CE2" w:rsidRPr="00A764EA" w:rsidRDefault="00090CDF" w:rsidP="00BF6B31">
      <w:pPr>
        <w:spacing w:after="0" w:line="240" w:lineRule="auto"/>
        <w:contextualSpacing/>
        <w:jc w:val="center"/>
        <w:rPr>
          <w:rFonts w:asciiTheme="majorHAnsi" w:hAnsiTheme="majorHAnsi" w:cs="Times New Roman"/>
          <w:sz w:val="20"/>
          <w:szCs w:val="20"/>
        </w:rPr>
      </w:pPr>
      <w:r w:rsidRPr="00A764EA">
        <w:rPr>
          <w:rFonts w:asciiTheme="majorHAnsi" w:hAnsiTheme="majorHAnsi" w:cs="Times New Roman"/>
          <w:sz w:val="20"/>
          <w:szCs w:val="20"/>
        </w:rPr>
        <w:t xml:space="preserve">Email: </w:t>
      </w:r>
      <w:hyperlink r:id="rId9" w:history="1">
        <w:r w:rsidR="00E2799A" w:rsidRPr="00B543CA">
          <w:rPr>
            <w:rStyle w:val="Hyperlink"/>
            <w:rFonts w:asciiTheme="majorHAnsi" w:hAnsiTheme="majorHAnsi" w:cs="Times New Roman"/>
            <w:sz w:val="20"/>
            <w:szCs w:val="20"/>
            <w:lang w:val="en-GB"/>
          </w:rPr>
          <w:t>tdkusworo@che.undip.ac.id</w:t>
        </w:r>
      </w:hyperlink>
    </w:p>
    <w:p w14:paraId="3882724B" w14:textId="77777777" w:rsidR="00E16E96" w:rsidRPr="00A764EA" w:rsidRDefault="00E16E96" w:rsidP="00E16E96">
      <w:pPr>
        <w:spacing w:after="0" w:line="240" w:lineRule="auto"/>
        <w:contextualSpacing/>
        <w:jc w:val="center"/>
        <w:rPr>
          <w:rFonts w:asciiTheme="majorHAnsi" w:hAnsiTheme="majorHAnsi" w:cs="Times New Roman"/>
          <w:sz w:val="20"/>
          <w:szCs w:val="20"/>
        </w:rPr>
      </w:pPr>
    </w:p>
    <w:p w14:paraId="7F676B6D" w14:textId="77777777" w:rsidR="0062159D" w:rsidRPr="00A764EA" w:rsidRDefault="0062159D" w:rsidP="00A3188A">
      <w:pPr>
        <w:spacing w:after="0" w:line="240" w:lineRule="auto"/>
        <w:contextualSpacing/>
        <w:jc w:val="both"/>
        <w:rPr>
          <w:rFonts w:asciiTheme="majorHAnsi" w:hAnsiTheme="majorHAnsi" w:cs="Times New Roman"/>
          <w:sz w:val="20"/>
          <w:szCs w:val="20"/>
        </w:rPr>
      </w:pPr>
    </w:p>
    <w:p w14:paraId="3D91400A" w14:textId="385EFAA1" w:rsidR="00E16E96" w:rsidRPr="00E16E96" w:rsidRDefault="0005001A" w:rsidP="00E16E96">
      <w:pPr>
        <w:pBdr>
          <w:top w:val="single" w:sz="4" w:space="1" w:color="auto"/>
        </w:pBdr>
        <w:spacing w:after="0" w:line="240" w:lineRule="auto"/>
        <w:contextualSpacing/>
        <w:jc w:val="both"/>
        <w:rPr>
          <w:rFonts w:asciiTheme="majorHAnsi" w:eastAsia="MS Mincho" w:hAnsiTheme="majorHAnsi" w:cs="Times New Roman"/>
          <w:i/>
          <w:sz w:val="18"/>
          <w:szCs w:val="18"/>
          <w:lang w:val="en-GB"/>
        </w:rPr>
      </w:pPr>
      <w:r w:rsidRPr="00A764EA">
        <w:rPr>
          <w:rFonts w:asciiTheme="majorHAnsi" w:eastAsia="MS PGothic" w:hAnsiTheme="majorHAnsi" w:cs="Times New Roman"/>
          <w:b/>
          <w:bCs/>
          <w:color w:val="000000"/>
          <w:sz w:val="18"/>
          <w:szCs w:val="18"/>
        </w:rPr>
        <w:t>Abstract</w:t>
      </w:r>
      <w:r w:rsidR="000A3263" w:rsidRPr="00A764EA">
        <w:rPr>
          <w:rFonts w:asciiTheme="majorHAnsi" w:eastAsia="MS PGothic" w:hAnsiTheme="majorHAnsi" w:cs="Times New Roman"/>
          <w:b/>
          <w:bCs/>
          <w:color w:val="000000"/>
          <w:sz w:val="18"/>
          <w:szCs w:val="18"/>
        </w:rPr>
        <w:t xml:space="preserve"> </w:t>
      </w:r>
      <w:r w:rsidR="000A3263" w:rsidRPr="00A764EA">
        <w:rPr>
          <w:rFonts w:asciiTheme="majorHAnsi" w:eastAsia="MS PGothic" w:hAnsiTheme="majorHAnsi" w:cs="Times New Roman"/>
          <w:color w:val="000000"/>
          <w:sz w:val="18"/>
          <w:szCs w:val="18"/>
        </w:rPr>
        <w:t xml:space="preserve">- </w:t>
      </w:r>
      <w:r w:rsidR="00D7466C" w:rsidRPr="00D7466C">
        <w:rPr>
          <w:rFonts w:asciiTheme="majorHAnsi" w:eastAsia="MS Mincho" w:hAnsiTheme="majorHAnsi" w:cs="Times New Roman"/>
          <w:i/>
          <w:sz w:val="18"/>
          <w:szCs w:val="18"/>
        </w:rPr>
        <w:t xml:space="preserve">Membrane technology is the most widely used technology in the field of separation and purification of wastewater. Most of the problems that arise in the application of membrane technology are the high resistance of the membrane during the filtration process, so that fouling is easily formed in both the pores and the membrane surface. The incorporation of nanoparticles in the membrane matrix has been widely known as a method to improve membrane performance. In this study, we introduce the incorporation of graphene oxide (GO) advanced material nanoparticles in a </w:t>
      </w:r>
      <w:proofErr w:type="spellStart"/>
      <w:r w:rsidR="00D7466C" w:rsidRPr="00D7466C">
        <w:rPr>
          <w:rFonts w:asciiTheme="majorHAnsi" w:eastAsia="MS Mincho" w:hAnsiTheme="majorHAnsi" w:cs="Times New Roman"/>
          <w:i/>
          <w:sz w:val="18"/>
          <w:szCs w:val="18"/>
        </w:rPr>
        <w:t>polysulfone</w:t>
      </w:r>
      <w:proofErr w:type="spellEnd"/>
      <w:r w:rsidR="00D7466C" w:rsidRPr="00D7466C">
        <w:rPr>
          <w:rFonts w:asciiTheme="majorHAnsi" w:eastAsia="MS Mincho" w:hAnsiTheme="majorHAnsi" w:cs="Times New Roman"/>
          <w:i/>
          <w:sz w:val="18"/>
          <w:szCs w:val="18"/>
        </w:rPr>
        <w:t xml:space="preserve"> (</w:t>
      </w:r>
      <w:proofErr w:type="spellStart"/>
      <w:r w:rsidR="00D7466C" w:rsidRPr="00D7466C">
        <w:rPr>
          <w:rFonts w:asciiTheme="majorHAnsi" w:eastAsia="MS Mincho" w:hAnsiTheme="majorHAnsi" w:cs="Times New Roman"/>
          <w:i/>
          <w:sz w:val="18"/>
          <w:szCs w:val="18"/>
        </w:rPr>
        <w:t>PSf</w:t>
      </w:r>
      <w:proofErr w:type="spellEnd"/>
      <w:r w:rsidR="00D7466C" w:rsidRPr="00D7466C">
        <w:rPr>
          <w:rFonts w:asciiTheme="majorHAnsi" w:eastAsia="MS Mincho" w:hAnsiTheme="majorHAnsi" w:cs="Times New Roman"/>
          <w:i/>
          <w:sz w:val="18"/>
          <w:szCs w:val="18"/>
        </w:rPr>
        <w:t xml:space="preserve">) membrane matrix as an effort to treat dye wastewater from the batik industry. The results of the SEM-EDX test showed the membrane smooth surface with larger pore and minimal defects indicating GO nanoparticles were well changed the </w:t>
      </w:r>
      <w:proofErr w:type="spellStart"/>
      <w:r w:rsidR="00D7466C" w:rsidRPr="00D7466C">
        <w:rPr>
          <w:rFonts w:asciiTheme="majorHAnsi" w:eastAsia="MS Mincho" w:hAnsiTheme="majorHAnsi" w:cs="Times New Roman"/>
          <w:i/>
          <w:sz w:val="18"/>
          <w:szCs w:val="18"/>
        </w:rPr>
        <w:t>polysulfone</w:t>
      </w:r>
      <w:proofErr w:type="spellEnd"/>
      <w:r w:rsidR="00D7466C" w:rsidRPr="00D7466C">
        <w:rPr>
          <w:rFonts w:asciiTheme="majorHAnsi" w:eastAsia="MS Mincho" w:hAnsiTheme="majorHAnsi" w:cs="Times New Roman"/>
          <w:i/>
          <w:sz w:val="18"/>
          <w:szCs w:val="18"/>
        </w:rPr>
        <w:t xml:space="preserve"> membrane matrix. In addition, an increase in oxygen content in the membrane matrix was also detected as a result of GO incorporation confirming the increased hydrophilicity of the </w:t>
      </w:r>
      <w:proofErr w:type="spellStart"/>
      <w:r w:rsidR="00D7466C" w:rsidRPr="00D7466C">
        <w:rPr>
          <w:rFonts w:asciiTheme="majorHAnsi" w:eastAsia="MS Mincho" w:hAnsiTheme="majorHAnsi" w:cs="Times New Roman"/>
          <w:i/>
          <w:sz w:val="18"/>
          <w:szCs w:val="18"/>
        </w:rPr>
        <w:t>polysulfone</w:t>
      </w:r>
      <w:proofErr w:type="spellEnd"/>
      <w:r w:rsidR="00D7466C" w:rsidRPr="00D7466C">
        <w:rPr>
          <w:rFonts w:asciiTheme="majorHAnsi" w:eastAsia="MS Mincho" w:hAnsiTheme="majorHAnsi" w:cs="Times New Roman"/>
          <w:i/>
          <w:sz w:val="18"/>
          <w:szCs w:val="18"/>
        </w:rPr>
        <w:t xml:space="preserve"> membrane. This is also supported by data on increasing water uptake and decreasing contact angle of </w:t>
      </w:r>
      <w:proofErr w:type="spellStart"/>
      <w:r w:rsidR="00D7466C" w:rsidRPr="00D7466C">
        <w:rPr>
          <w:rFonts w:asciiTheme="majorHAnsi" w:eastAsia="MS Mincho" w:hAnsiTheme="majorHAnsi" w:cs="Times New Roman"/>
          <w:i/>
          <w:sz w:val="18"/>
          <w:szCs w:val="18"/>
        </w:rPr>
        <w:t>PSf</w:t>
      </w:r>
      <w:proofErr w:type="spellEnd"/>
      <w:r w:rsidR="00D7466C" w:rsidRPr="00D7466C">
        <w:rPr>
          <w:rFonts w:asciiTheme="majorHAnsi" w:eastAsia="MS Mincho" w:hAnsiTheme="majorHAnsi" w:cs="Times New Roman"/>
          <w:i/>
          <w:sz w:val="18"/>
          <w:szCs w:val="18"/>
        </w:rPr>
        <w:t xml:space="preserve">/GO membranes compared to native </w:t>
      </w:r>
      <w:proofErr w:type="spellStart"/>
      <w:r w:rsidR="00D7466C" w:rsidRPr="00D7466C">
        <w:rPr>
          <w:rFonts w:asciiTheme="majorHAnsi" w:eastAsia="MS Mincho" w:hAnsiTheme="majorHAnsi" w:cs="Times New Roman"/>
          <w:i/>
          <w:sz w:val="18"/>
          <w:szCs w:val="18"/>
        </w:rPr>
        <w:t>PSf.</w:t>
      </w:r>
      <w:proofErr w:type="spellEnd"/>
      <w:r w:rsidR="00D7466C" w:rsidRPr="00D7466C">
        <w:rPr>
          <w:rFonts w:asciiTheme="majorHAnsi" w:eastAsia="MS Mincho" w:hAnsiTheme="majorHAnsi" w:cs="Times New Roman"/>
          <w:i/>
          <w:sz w:val="18"/>
          <w:szCs w:val="18"/>
        </w:rPr>
        <w:t xml:space="preserve"> Evaluation of membrane performance showed that the incorporation of GO in the </w:t>
      </w:r>
      <w:proofErr w:type="spellStart"/>
      <w:r w:rsidR="00D7466C" w:rsidRPr="00D7466C">
        <w:rPr>
          <w:rFonts w:asciiTheme="majorHAnsi" w:eastAsia="MS Mincho" w:hAnsiTheme="majorHAnsi" w:cs="Times New Roman"/>
          <w:i/>
          <w:sz w:val="18"/>
          <w:szCs w:val="18"/>
        </w:rPr>
        <w:t>PSf</w:t>
      </w:r>
      <w:proofErr w:type="spellEnd"/>
      <w:r w:rsidR="00D7466C" w:rsidRPr="00D7466C">
        <w:rPr>
          <w:rFonts w:asciiTheme="majorHAnsi" w:eastAsia="MS Mincho" w:hAnsiTheme="majorHAnsi" w:cs="Times New Roman"/>
          <w:i/>
          <w:sz w:val="18"/>
          <w:szCs w:val="18"/>
        </w:rPr>
        <w:t xml:space="preserve"> matrix produced permeate with higher quantity and quality than the native </w:t>
      </w:r>
      <w:proofErr w:type="spellStart"/>
      <w:r w:rsidR="00D7466C" w:rsidRPr="00D7466C">
        <w:rPr>
          <w:rFonts w:asciiTheme="majorHAnsi" w:eastAsia="MS Mincho" w:hAnsiTheme="majorHAnsi" w:cs="Times New Roman"/>
          <w:i/>
          <w:sz w:val="18"/>
          <w:szCs w:val="18"/>
        </w:rPr>
        <w:t>PSf</w:t>
      </w:r>
      <w:proofErr w:type="spellEnd"/>
      <w:r w:rsidR="00D7466C" w:rsidRPr="00D7466C">
        <w:rPr>
          <w:rFonts w:asciiTheme="majorHAnsi" w:eastAsia="MS Mincho" w:hAnsiTheme="majorHAnsi" w:cs="Times New Roman"/>
          <w:i/>
          <w:sz w:val="18"/>
          <w:szCs w:val="18"/>
        </w:rPr>
        <w:t xml:space="preserve"> membrane. Quantitative analysis of fouling behavior also shows that the incorporation of GO as much as 2 </w:t>
      </w:r>
      <w:proofErr w:type="spellStart"/>
      <w:r w:rsidR="00D7466C" w:rsidRPr="00D7466C">
        <w:rPr>
          <w:rFonts w:asciiTheme="majorHAnsi" w:eastAsia="MS Mincho" w:hAnsiTheme="majorHAnsi" w:cs="Times New Roman"/>
          <w:i/>
          <w:sz w:val="18"/>
          <w:szCs w:val="18"/>
        </w:rPr>
        <w:t>wt</w:t>
      </w:r>
      <w:proofErr w:type="spellEnd"/>
      <w:r w:rsidR="00D7466C" w:rsidRPr="00D7466C">
        <w:rPr>
          <w:rFonts w:asciiTheme="majorHAnsi" w:eastAsia="MS Mincho" w:hAnsiTheme="majorHAnsi" w:cs="Times New Roman"/>
          <w:i/>
          <w:sz w:val="18"/>
          <w:szCs w:val="18"/>
        </w:rPr>
        <w:t xml:space="preserve">-% has succeeded in increasing flux recovery ratio and reducing the </w:t>
      </w:r>
      <w:proofErr w:type="spellStart"/>
      <w:r w:rsidR="00D7466C" w:rsidRPr="00D7466C">
        <w:rPr>
          <w:rFonts w:asciiTheme="majorHAnsi" w:eastAsia="MS Mincho" w:hAnsiTheme="majorHAnsi" w:cs="Times New Roman"/>
          <w:i/>
          <w:sz w:val="18"/>
          <w:szCs w:val="18"/>
        </w:rPr>
        <w:t>PSf</w:t>
      </w:r>
      <w:proofErr w:type="spellEnd"/>
      <w:r w:rsidR="00D7466C" w:rsidRPr="00D7466C">
        <w:rPr>
          <w:rFonts w:asciiTheme="majorHAnsi" w:eastAsia="MS Mincho" w:hAnsiTheme="majorHAnsi" w:cs="Times New Roman"/>
          <w:i/>
          <w:sz w:val="18"/>
          <w:szCs w:val="18"/>
        </w:rPr>
        <w:t xml:space="preserve"> membrane resistance which reflects the tendency to form fouling is also getting lower. This membrane material has good prospects in the future as the first step in processing dye wastewater from various industries, especially the batik industry.</w:t>
      </w:r>
    </w:p>
    <w:p w14:paraId="08529AD3" w14:textId="77777777" w:rsidR="00E16E96" w:rsidRPr="00CC0831" w:rsidRDefault="00E16E96" w:rsidP="00CC0831">
      <w:pPr>
        <w:pBdr>
          <w:top w:val="single" w:sz="4" w:space="1" w:color="auto"/>
        </w:pBdr>
        <w:spacing w:after="0" w:line="240" w:lineRule="auto"/>
        <w:contextualSpacing/>
        <w:jc w:val="both"/>
        <w:rPr>
          <w:rFonts w:asciiTheme="majorHAnsi" w:eastAsia="MS Mincho" w:hAnsiTheme="majorHAnsi" w:cs="Times New Roman"/>
          <w:i/>
          <w:sz w:val="18"/>
          <w:szCs w:val="18"/>
          <w:lang w:val="en-CA"/>
        </w:rPr>
      </w:pPr>
    </w:p>
    <w:p w14:paraId="640A464D" w14:textId="77777777" w:rsidR="000E3C4D" w:rsidRPr="00A764EA" w:rsidRDefault="000E3C4D" w:rsidP="00090CDF">
      <w:pPr>
        <w:pBdr>
          <w:top w:val="single" w:sz="4" w:space="1" w:color="auto"/>
        </w:pBdr>
        <w:spacing w:after="0" w:line="240" w:lineRule="auto"/>
        <w:contextualSpacing/>
        <w:jc w:val="both"/>
        <w:rPr>
          <w:rFonts w:asciiTheme="majorHAnsi" w:eastAsia="MS Mincho" w:hAnsiTheme="majorHAnsi" w:cs="Times New Roman"/>
          <w:i/>
          <w:sz w:val="18"/>
          <w:szCs w:val="18"/>
        </w:rPr>
      </w:pPr>
    </w:p>
    <w:p w14:paraId="7937D3E8" w14:textId="2A12B642" w:rsidR="00642DA0" w:rsidRPr="00387BB4" w:rsidRDefault="00390E2A" w:rsidP="00F23F3C">
      <w:pPr>
        <w:pBdr>
          <w:bottom w:val="single" w:sz="4" w:space="0" w:color="auto"/>
        </w:pBdr>
        <w:spacing w:after="0" w:line="240" w:lineRule="auto"/>
        <w:contextualSpacing/>
        <w:jc w:val="both"/>
        <w:rPr>
          <w:rFonts w:asciiTheme="majorHAnsi" w:eastAsia="MS Mincho" w:hAnsiTheme="majorHAnsi" w:cs="Times New Roman"/>
          <w:i/>
          <w:sz w:val="18"/>
          <w:szCs w:val="18"/>
          <w:lang w:val="en-GB"/>
        </w:rPr>
      </w:pPr>
      <w:r w:rsidRPr="00A764EA">
        <w:rPr>
          <w:rFonts w:asciiTheme="majorHAnsi" w:eastAsia="MS PGothic" w:hAnsiTheme="majorHAnsi" w:cs="Times New Roman"/>
          <w:b/>
          <w:i/>
          <w:color w:val="000000" w:themeColor="text1"/>
          <w:sz w:val="18"/>
          <w:szCs w:val="18"/>
        </w:rPr>
        <w:t>Keywords</w:t>
      </w:r>
      <w:r w:rsidRPr="00A764EA">
        <w:rPr>
          <w:rFonts w:asciiTheme="majorHAnsi" w:eastAsia="MS PGothic" w:hAnsiTheme="majorHAnsi" w:cs="Times New Roman"/>
          <w:i/>
          <w:color w:val="000000" w:themeColor="text1"/>
          <w:sz w:val="18"/>
          <w:szCs w:val="18"/>
        </w:rPr>
        <w:t xml:space="preserve"> –</w:t>
      </w:r>
      <w:r w:rsidR="00427D97">
        <w:rPr>
          <w:rFonts w:asciiTheme="majorHAnsi" w:eastAsia="MS PGothic" w:hAnsiTheme="majorHAnsi" w:cs="Times New Roman"/>
          <w:i/>
          <w:color w:val="000000" w:themeColor="text1"/>
          <w:sz w:val="18"/>
          <w:szCs w:val="18"/>
        </w:rPr>
        <w:t xml:space="preserve"> </w:t>
      </w:r>
      <w:r w:rsidR="00D7466C" w:rsidRPr="00D7466C">
        <w:rPr>
          <w:rFonts w:asciiTheme="majorHAnsi" w:eastAsia="MS Mincho" w:hAnsiTheme="majorHAnsi" w:cs="Times New Roman"/>
          <w:i/>
          <w:sz w:val="18"/>
          <w:szCs w:val="18"/>
        </w:rPr>
        <w:t>Batik, Dye wastewater, Fouling, Graphene oxide, Nanohybrid membrane</w:t>
      </w:r>
    </w:p>
    <w:p w14:paraId="6DC9669C" w14:textId="77777777" w:rsidR="003D180F" w:rsidRPr="00A764EA" w:rsidRDefault="00642DA0" w:rsidP="003D180F">
      <w:pPr>
        <w:spacing w:after="0" w:line="240" w:lineRule="auto"/>
        <w:contextualSpacing/>
        <w:rPr>
          <w:rFonts w:asciiTheme="majorHAnsi" w:eastAsia="Times New Roman" w:hAnsiTheme="majorHAnsi"/>
          <w:sz w:val="16"/>
          <w:szCs w:val="16"/>
        </w:rPr>
      </w:pPr>
      <w:r w:rsidRPr="00A764EA">
        <w:rPr>
          <w:rFonts w:asciiTheme="majorHAnsi" w:eastAsia="Times New Roman" w:hAnsiTheme="majorHAnsi"/>
          <w:b/>
          <w:bCs/>
          <w:sz w:val="16"/>
          <w:szCs w:val="16"/>
        </w:rPr>
        <w:t>Doi</w:t>
      </w:r>
      <w:r w:rsidRPr="00A764EA">
        <w:rPr>
          <w:rFonts w:asciiTheme="majorHAnsi" w:eastAsia="Times New Roman" w:hAnsiTheme="majorHAnsi"/>
          <w:sz w:val="16"/>
          <w:szCs w:val="16"/>
        </w:rPr>
        <w:t xml:space="preserve">: </w:t>
      </w:r>
      <w:r w:rsidR="000E3C4D" w:rsidRPr="000E3C4D">
        <w:rPr>
          <w:rFonts w:ascii="Cambria" w:eastAsia="Calibri" w:hAnsi="Cambria" w:cs="Times New Roman"/>
          <w:color w:val="0000FF" w:themeColor="hyperlink"/>
          <w:sz w:val="18"/>
          <w:szCs w:val="18"/>
          <w:u w:val="single"/>
          <w:lang w:eastAsia="id-ID"/>
        </w:rPr>
        <w:t>http:/</w:t>
      </w:r>
      <w:r w:rsidR="005E0E73">
        <w:rPr>
          <w:rFonts w:ascii="Cambria" w:eastAsia="Calibri" w:hAnsi="Cambria" w:cs="Times New Roman"/>
          <w:color w:val="0000FF" w:themeColor="hyperlink"/>
          <w:sz w:val="18"/>
          <w:szCs w:val="18"/>
          <w:u w:val="single"/>
          <w:lang w:eastAsia="id-ID"/>
        </w:rPr>
        <w:t>/dx.doi.org/10.14710/wastech.10.1</w:t>
      </w:r>
      <w:r w:rsidR="000E3C4D" w:rsidRPr="000E3C4D">
        <w:rPr>
          <w:rFonts w:ascii="Cambria" w:eastAsia="Calibri" w:hAnsi="Cambria" w:cs="Times New Roman"/>
          <w:color w:val="0000FF" w:themeColor="hyperlink"/>
          <w:sz w:val="18"/>
          <w:szCs w:val="18"/>
          <w:u w:val="single"/>
          <w:lang w:eastAsia="id-ID"/>
        </w:rPr>
        <w:t>.</w:t>
      </w:r>
      <w:r w:rsidR="00CC0831">
        <w:rPr>
          <w:rFonts w:ascii="Cambria" w:eastAsia="Calibri" w:hAnsi="Cambria" w:cs="Times New Roman"/>
          <w:color w:val="0000FF" w:themeColor="hyperlink"/>
          <w:sz w:val="18"/>
          <w:szCs w:val="18"/>
          <w:u w:val="single"/>
          <w:lang w:eastAsia="id-ID"/>
        </w:rPr>
        <w:t>7-</w:t>
      </w:r>
      <w:r w:rsidR="00C525AA">
        <w:rPr>
          <w:rFonts w:ascii="Cambria" w:eastAsia="Calibri" w:hAnsi="Cambria" w:cs="Times New Roman"/>
          <w:color w:val="0000FF" w:themeColor="hyperlink"/>
          <w:sz w:val="18"/>
          <w:szCs w:val="18"/>
          <w:u w:val="single"/>
          <w:lang w:eastAsia="id-ID"/>
        </w:rPr>
        <w:t>16</w:t>
      </w:r>
    </w:p>
    <w:p w14:paraId="62726E46" w14:textId="77777777" w:rsidR="00642DA0" w:rsidRPr="00E16E96" w:rsidRDefault="00642DA0" w:rsidP="00E16E96">
      <w:pPr>
        <w:spacing w:after="0" w:line="240" w:lineRule="auto"/>
        <w:ind w:left="630" w:hanging="630"/>
        <w:contextualSpacing/>
        <w:rPr>
          <w:rFonts w:asciiTheme="majorHAnsi" w:eastAsia="Times New Roman" w:hAnsiTheme="majorHAnsi"/>
          <w:b/>
          <w:bCs/>
          <w:sz w:val="16"/>
          <w:szCs w:val="16"/>
        </w:rPr>
      </w:pPr>
      <w:r w:rsidRPr="00A764EA">
        <w:rPr>
          <w:rFonts w:asciiTheme="majorHAnsi" w:eastAsia="Times New Roman" w:hAnsiTheme="majorHAnsi"/>
          <w:sz w:val="16"/>
          <w:szCs w:val="16"/>
        </w:rPr>
        <w:t xml:space="preserve">[How to cite this article: </w:t>
      </w:r>
      <w:r w:rsidR="00E2799A">
        <w:rPr>
          <w:rFonts w:asciiTheme="majorHAnsi" w:eastAsia="Times New Roman" w:hAnsiTheme="majorHAnsi"/>
          <w:sz w:val="16"/>
          <w:szCs w:val="16"/>
        </w:rPr>
        <w:t>Kusworo, T.D.</w:t>
      </w:r>
      <w:r w:rsidR="00CC0831" w:rsidRPr="00CC0831">
        <w:rPr>
          <w:rFonts w:asciiTheme="majorHAnsi" w:eastAsia="Times New Roman" w:hAnsiTheme="majorHAnsi"/>
          <w:sz w:val="16"/>
          <w:szCs w:val="16"/>
        </w:rPr>
        <w:t xml:space="preserve"> </w:t>
      </w:r>
      <w:r w:rsidR="007F704E" w:rsidRPr="00A764EA">
        <w:rPr>
          <w:rFonts w:asciiTheme="majorHAnsi" w:eastAsia="Times New Roman" w:hAnsiTheme="majorHAnsi"/>
          <w:sz w:val="16"/>
          <w:szCs w:val="16"/>
        </w:rPr>
        <w:t>(202</w:t>
      </w:r>
      <w:r w:rsidR="005E0E73">
        <w:rPr>
          <w:rFonts w:asciiTheme="majorHAnsi" w:eastAsia="Times New Roman" w:hAnsiTheme="majorHAnsi"/>
          <w:sz w:val="16"/>
          <w:szCs w:val="16"/>
        </w:rPr>
        <w:t>2</w:t>
      </w:r>
      <w:r w:rsidR="007F704E" w:rsidRPr="00A764EA">
        <w:rPr>
          <w:rFonts w:asciiTheme="majorHAnsi" w:eastAsia="Times New Roman" w:hAnsiTheme="majorHAnsi"/>
          <w:sz w:val="16"/>
          <w:szCs w:val="16"/>
        </w:rPr>
        <w:t xml:space="preserve">). </w:t>
      </w:r>
      <w:r w:rsidR="00E2799A" w:rsidRPr="00E2799A">
        <w:rPr>
          <w:rFonts w:asciiTheme="majorHAnsi" w:eastAsia="Times New Roman" w:hAnsiTheme="majorHAnsi"/>
          <w:sz w:val="16"/>
          <w:szCs w:val="16"/>
        </w:rPr>
        <w:t xml:space="preserve">Treatment of Natural Rubber Wastewater using Photoactive Nanocomposite Membrane </w:t>
      </w:r>
      <w:proofErr w:type="spellStart"/>
      <w:r w:rsidR="00E2799A" w:rsidRPr="00E2799A">
        <w:rPr>
          <w:rFonts w:asciiTheme="majorHAnsi" w:eastAsia="Times New Roman" w:hAnsiTheme="majorHAnsi"/>
          <w:sz w:val="16"/>
          <w:szCs w:val="16"/>
        </w:rPr>
        <w:t>PSf</w:t>
      </w:r>
      <w:proofErr w:type="spellEnd"/>
      <w:r w:rsidR="00E2799A" w:rsidRPr="00E2799A">
        <w:rPr>
          <w:rFonts w:asciiTheme="majorHAnsi" w:eastAsia="Times New Roman" w:hAnsiTheme="majorHAnsi"/>
          <w:sz w:val="16"/>
          <w:szCs w:val="16"/>
        </w:rPr>
        <w:t xml:space="preserve">/sulfonated </w:t>
      </w:r>
      <w:proofErr w:type="spellStart"/>
      <w:r w:rsidR="00E2799A" w:rsidRPr="00E2799A">
        <w:rPr>
          <w:rFonts w:asciiTheme="majorHAnsi" w:eastAsia="Times New Roman" w:hAnsiTheme="majorHAnsi"/>
          <w:sz w:val="16"/>
          <w:szCs w:val="16"/>
        </w:rPr>
        <w:t>ZnO</w:t>
      </w:r>
      <w:proofErr w:type="spellEnd"/>
      <w:r w:rsidR="00E2799A" w:rsidRPr="00E2799A">
        <w:rPr>
          <w:rFonts w:asciiTheme="majorHAnsi" w:eastAsia="Times New Roman" w:hAnsiTheme="majorHAnsi"/>
          <w:sz w:val="16"/>
          <w:szCs w:val="16"/>
        </w:rPr>
        <w:t>: Performance Evaluation, HAZOP, and Risk Analysis</w:t>
      </w:r>
      <w:r w:rsidR="007F704E" w:rsidRPr="00A764EA">
        <w:rPr>
          <w:rFonts w:asciiTheme="majorHAnsi" w:eastAsia="Times New Roman" w:hAnsiTheme="majorHAnsi"/>
          <w:sz w:val="16"/>
          <w:szCs w:val="16"/>
        </w:rPr>
        <w:t xml:space="preserve">. Waste Technology, </w:t>
      </w:r>
      <w:r w:rsidR="005E0E73">
        <w:rPr>
          <w:rFonts w:asciiTheme="majorHAnsi" w:eastAsia="Times New Roman" w:hAnsiTheme="majorHAnsi"/>
          <w:sz w:val="16"/>
          <w:szCs w:val="16"/>
        </w:rPr>
        <w:t>10</w:t>
      </w:r>
      <w:r w:rsidR="007F704E" w:rsidRPr="00A764EA">
        <w:rPr>
          <w:rFonts w:asciiTheme="majorHAnsi" w:eastAsia="Times New Roman" w:hAnsiTheme="majorHAnsi"/>
          <w:sz w:val="16"/>
          <w:szCs w:val="16"/>
        </w:rPr>
        <w:t>(</w:t>
      </w:r>
      <w:r w:rsidR="005E0E73">
        <w:rPr>
          <w:rFonts w:asciiTheme="majorHAnsi" w:eastAsia="Times New Roman" w:hAnsiTheme="majorHAnsi"/>
          <w:sz w:val="16"/>
          <w:szCs w:val="16"/>
        </w:rPr>
        <w:t>1</w:t>
      </w:r>
      <w:r w:rsidR="007F704E" w:rsidRPr="00A764EA">
        <w:rPr>
          <w:rFonts w:asciiTheme="majorHAnsi" w:eastAsia="Times New Roman" w:hAnsiTheme="majorHAnsi"/>
          <w:sz w:val="16"/>
          <w:szCs w:val="16"/>
        </w:rPr>
        <w:t>),</w:t>
      </w:r>
      <w:r w:rsidR="00090CDF" w:rsidRPr="00A764EA">
        <w:rPr>
          <w:rFonts w:asciiTheme="majorHAnsi" w:eastAsia="Times New Roman" w:hAnsiTheme="majorHAnsi"/>
          <w:sz w:val="16"/>
          <w:szCs w:val="16"/>
        </w:rPr>
        <w:t xml:space="preserve"> </w:t>
      </w:r>
      <w:r w:rsidR="00CC0831">
        <w:rPr>
          <w:rFonts w:asciiTheme="majorHAnsi" w:eastAsia="Times New Roman" w:hAnsiTheme="majorHAnsi"/>
          <w:sz w:val="16"/>
          <w:szCs w:val="16"/>
        </w:rPr>
        <w:t>7-</w:t>
      </w:r>
      <w:r w:rsidR="00C525AA">
        <w:rPr>
          <w:rFonts w:asciiTheme="majorHAnsi" w:eastAsia="Times New Roman" w:hAnsiTheme="majorHAnsi"/>
          <w:sz w:val="16"/>
          <w:szCs w:val="16"/>
        </w:rPr>
        <w:t>16</w:t>
      </w:r>
      <w:r w:rsidR="007F704E" w:rsidRPr="00A764EA">
        <w:rPr>
          <w:rFonts w:asciiTheme="majorHAnsi" w:eastAsia="Times New Roman" w:hAnsiTheme="majorHAnsi"/>
          <w:sz w:val="16"/>
          <w:szCs w:val="16"/>
        </w:rPr>
        <w:t xml:space="preserve"> </w:t>
      </w:r>
      <w:proofErr w:type="spellStart"/>
      <w:r w:rsidRPr="00A764EA">
        <w:rPr>
          <w:rFonts w:asciiTheme="majorHAnsi" w:hAnsiTheme="majorHAnsi"/>
          <w:sz w:val="16"/>
          <w:szCs w:val="16"/>
        </w:rPr>
        <w:t>doi</w:t>
      </w:r>
      <w:proofErr w:type="spellEnd"/>
      <w:r w:rsidRPr="00A764EA">
        <w:rPr>
          <w:rFonts w:asciiTheme="majorHAnsi" w:hAnsiTheme="majorHAnsi"/>
          <w:sz w:val="16"/>
          <w:szCs w:val="16"/>
        </w:rPr>
        <w:t>:</w:t>
      </w:r>
      <w:r w:rsidR="000E3C4D">
        <w:rPr>
          <w:rStyle w:val="Hyperlink"/>
          <w:rFonts w:ascii="Cambria" w:eastAsia="Calibri" w:hAnsi="Cambria" w:cs="Times New Roman"/>
          <w:sz w:val="18"/>
          <w:szCs w:val="18"/>
          <w:lang w:eastAsia="id-ID"/>
        </w:rPr>
        <w:t xml:space="preserve"> </w:t>
      </w:r>
      <w:r w:rsidR="000E3C4D" w:rsidRPr="000E3C4D">
        <w:rPr>
          <w:rFonts w:ascii="Cambria" w:eastAsia="Calibri" w:hAnsi="Cambria" w:cs="Times New Roman"/>
          <w:color w:val="0000FF" w:themeColor="hyperlink"/>
          <w:sz w:val="18"/>
          <w:szCs w:val="18"/>
          <w:u w:val="single"/>
          <w:lang w:eastAsia="id-ID"/>
        </w:rPr>
        <w:t>http://</w:t>
      </w:r>
      <w:r w:rsidR="00427D97">
        <w:rPr>
          <w:rFonts w:ascii="Cambria" w:eastAsia="Calibri" w:hAnsi="Cambria" w:cs="Times New Roman"/>
          <w:color w:val="0000FF" w:themeColor="hyperlink"/>
          <w:sz w:val="18"/>
          <w:szCs w:val="18"/>
          <w:u w:val="single"/>
          <w:lang w:eastAsia="id-ID"/>
        </w:rPr>
        <w:t>dx</w:t>
      </w:r>
      <w:r w:rsidR="005E0E73">
        <w:rPr>
          <w:rFonts w:ascii="Cambria" w:eastAsia="Calibri" w:hAnsi="Cambria" w:cs="Times New Roman"/>
          <w:color w:val="0000FF" w:themeColor="hyperlink"/>
          <w:sz w:val="18"/>
          <w:szCs w:val="18"/>
          <w:u w:val="single"/>
          <w:lang w:eastAsia="id-ID"/>
        </w:rPr>
        <w:t>.</w:t>
      </w:r>
      <w:r w:rsidR="00CC0831">
        <w:rPr>
          <w:rFonts w:ascii="Cambria" w:eastAsia="Calibri" w:hAnsi="Cambria" w:cs="Times New Roman"/>
          <w:color w:val="0000FF" w:themeColor="hyperlink"/>
          <w:sz w:val="18"/>
          <w:szCs w:val="18"/>
          <w:u w:val="single"/>
          <w:lang w:eastAsia="id-ID"/>
        </w:rPr>
        <w:t>doi.org/10.14710/wastech.10.1.7-</w:t>
      </w:r>
      <w:r w:rsidR="00C525AA">
        <w:rPr>
          <w:rFonts w:ascii="Cambria" w:eastAsia="Calibri" w:hAnsi="Cambria" w:cs="Times New Roman"/>
          <w:color w:val="0000FF" w:themeColor="hyperlink"/>
          <w:sz w:val="18"/>
          <w:szCs w:val="18"/>
          <w:u w:val="single"/>
          <w:lang w:eastAsia="id-ID"/>
        </w:rPr>
        <w:t>16</w:t>
      </w:r>
      <w:r w:rsidRPr="00A764EA">
        <w:rPr>
          <w:rFonts w:asciiTheme="majorHAnsi" w:eastAsia="Times New Roman" w:hAnsiTheme="majorHAnsi"/>
          <w:sz w:val="16"/>
          <w:szCs w:val="16"/>
        </w:rPr>
        <w:t>]</w:t>
      </w:r>
    </w:p>
    <w:p w14:paraId="5AFD5A28" w14:textId="77777777" w:rsidR="00524470" w:rsidRPr="00A764EA" w:rsidRDefault="00524470" w:rsidP="00A3188A">
      <w:pPr>
        <w:spacing w:after="0" w:line="240" w:lineRule="auto"/>
        <w:contextualSpacing/>
        <w:jc w:val="both"/>
        <w:rPr>
          <w:rFonts w:asciiTheme="majorHAnsi" w:eastAsia="MS PGothic" w:hAnsiTheme="majorHAnsi"/>
          <w:b/>
          <w:bCs/>
          <w:color w:val="000000"/>
          <w:sz w:val="20"/>
          <w:szCs w:val="20"/>
        </w:rPr>
      </w:pPr>
    </w:p>
    <w:p w14:paraId="44788B7F" w14:textId="77777777" w:rsidR="00524470" w:rsidRPr="00A764EA" w:rsidRDefault="00524470" w:rsidP="00A3188A">
      <w:pPr>
        <w:spacing w:after="0" w:line="240" w:lineRule="auto"/>
        <w:contextualSpacing/>
        <w:jc w:val="both"/>
        <w:rPr>
          <w:rFonts w:asciiTheme="majorHAnsi" w:eastAsia="MS PGothic" w:hAnsiTheme="majorHAnsi"/>
          <w:b/>
          <w:bCs/>
          <w:color w:val="000000"/>
          <w:sz w:val="20"/>
          <w:szCs w:val="20"/>
        </w:rPr>
      </w:pPr>
    </w:p>
    <w:p w14:paraId="5F8C4E3E" w14:textId="77777777" w:rsidR="00A3188A" w:rsidRPr="00A764EA" w:rsidRDefault="00A3188A" w:rsidP="00A3188A">
      <w:pPr>
        <w:spacing w:after="0" w:line="240" w:lineRule="auto"/>
        <w:contextualSpacing/>
        <w:jc w:val="both"/>
        <w:rPr>
          <w:rFonts w:asciiTheme="majorHAnsi" w:eastAsia="MS PGothic" w:hAnsiTheme="majorHAnsi" w:cs="Times New Roman"/>
          <w:b/>
          <w:bCs/>
          <w:color w:val="000000"/>
          <w:sz w:val="20"/>
          <w:szCs w:val="20"/>
        </w:rPr>
        <w:sectPr w:rsidR="00A3188A" w:rsidRPr="00A764EA" w:rsidSect="00C525AA">
          <w:headerReference w:type="default" r:id="rId10"/>
          <w:footerReference w:type="default" r:id="rId11"/>
          <w:pgSz w:w="12240" w:h="15840"/>
          <w:pgMar w:top="1152" w:right="864" w:bottom="1152" w:left="864" w:header="720" w:footer="720" w:gutter="0"/>
          <w:pgNumType w:start="7"/>
          <w:cols w:space="720"/>
          <w:docGrid w:linePitch="360"/>
        </w:sectPr>
      </w:pPr>
    </w:p>
    <w:p w14:paraId="24A288D3" w14:textId="77777777" w:rsidR="00524470" w:rsidRPr="00A764EA" w:rsidRDefault="00524470" w:rsidP="00A3188A">
      <w:pPr>
        <w:spacing w:after="0" w:line="240" w:lineRule="auto"/>
        <w:contextualSpacing/>
        <w:jc w:val="both"/>
        <w:rPr>
          <w:rFonts w:asciiTheme="majorHAnsi" w:eastAsia="MS PGothic" w:hAnsiTheme="majorHAnsi" w:cs="Times New Roman"/>
          <w:b/>
          <w:bCs/>
          <w:color w:val="000000"/>
          <w:sz w:val="20"/>
          <w:szCs w:val="20"/>
          <w:lang w:eastAsia="ko-KR"/>
        </w:rPr>
      </w:pPr>
      <w:r w:rsidRPr="00A764EA">
        <w:rPr>
          <w:rFonts w:asciiTheme="majorHAnsi" w:eastAsia="MS PGothic" w:hAnsiTheme="majorHAnsi" w:cs="Times New Roman"/>
          <w:b/>
          <w:bCs/>
          <w:color w:val="000000"/>
          <w:sz w:val="20"/>
          <w:szCs w:val="20"/>
        </w:rPr>
        <w:t>1. Introduction</w:t>
      </w:r>
      <w:r w:rsidRPr="00A764EA">
        <w:rPr>
          <w:rFonts w:asciiTheme="majorHAnsi" w:eastAsia="MS PGothic" w:hAnsiTheme="majorHAnsi" w:cs="Times New Roman"/>
          <w:b/>
          <w:bCs/>
          <w:color w:val="000000"/>
          <w:sz w:val="20"/>
          <w:szCs w:val="20"/>
          <w:lang w:eastAsia="ko-KR"/>
        </w:rPr>
        <w:t xml:space="preserve"> </w:t>
      </w:r>
    </w:p>
    <w:p w14:paraId="4D658609" w14:textId="35840392" w:rsidR="00D7466C" w:rsidRDefault="00D7466C" w:rsidP="00E2799A">
      <w:pPr>
        <w:spacing w:after="0" w:line="240" w:lineRule="auto"/>
        <w:ind w:firstLine="450"/>
        <w:contextualSpacing/>
        <w:jc w:val="both"/>
        <w:rPr>
          <w:rFonts w:asciiTheme="majorHAnsi" w:hAnsiTheme="majorHAnsi" w:cs="Times New Roman"/>
          <w:iCs/>
          <w:sz w:val="20"/>
          <w:szCs w:val="20"/>
        </w:rPr>
      </w:pPr>
      <w:r w:rsidRPr="00D7466C">
        <w:rPr>
          <w:rFonts w:asciiTheme="majorHAnsi" w:hAnsiTheme="majorHAnsi" w:cs="Times New Roman"/>
          <w:iCs/>
          <w:sz w:val="20"/>
          <w:szCs w:val="20"/>
        </w:rPr>
        <w:t xml:space="preserve">Batik is Indonesia's original cultural heritage whose existence has been recognized internationally by UNESCO. No half-hearted, in just 5 years the development of the batik business in Indonesia has increased by 14.7% from the initial 41,623 to 47,755 business units in 2011-2015 </w:t>
      </w:r>
      <w:r w:rsidR="005A0CF4">
        <w:rPr>
          <w:rFonts w:asciiTheme="majorHAnsi" w:hAnsiTheme="majorHAnsi" w:cs="Times New Roman"/>
          <w:iCs/>
          <w:sz w:val="20"/>
          <w:szCs w:val="20"/>
        </w:rPr>
        <w:fldChar w:fldCharType="begin"/>
      </w:r>
      <w:r w:rsidR="005A0CF4">
        <w:rPr>
          <w:rFonts w:asciiTheme="majorHAnsi" w:hAnsiTheme="majorHAnsi" w:cs="Times New Roman"/>
          <w:iCs/>
          <w:sz w:val="20"/>
          <w:szCs w:val="20"/>
        </w:rPr>
        <w:instrText xml:space="preserve"> ADDIN ZOTERO_ITEM CSL_CITATION {"citationID":"EvzpGny5","properties":{"formattedCitation":"(Pujiastuti, 2015)","plainCitation":"(Pujiastuti, 2015)","noteIndex":0},"citationItems":[{"id":705,"uris":["http://zotero.org/users/local/8H0XTJlS/items/ASL7ZZ2Y"],"itemData":{"id":705,"type":"webpage","container-title":"Detik Finance","title":"Diakui Dunia, Ekspor Batik RI Meningkat Setiap Tahun","URL":"https://finance.detik.com/berita-ekonomi-bisnis/d-3034083/diakui-dunia-ekspor-batik-ri-meningkat-setiap-tahun","author":[{"family":"Pujiastuti","given":"Lani"}],"accessed":{"date-parts":[["2021",11,10]]},"issued":{"date-parts":[["2015",10,2]]}}}],"schema":"https://github.com/citation-style-language/schema/raw/master/csl-citation.json"} </w:instrText>
      </w:r>
      <w:r w:rsidR="005A0CF4">
        <w:rPr>
          <w:rFonts w:asciiTheme="majorHAnsi" w:hAnsiTheme="majorHAnsi" w:cs="Times New Roman"/>
          <w:iCs/>
          <w:sz w:val="20"/>
          <w:szCs w:val="20"/>
        </w:rPr>
        <w:fldChar w:fldCharType="separate"/>
      </w:r>
      <w:r w:rsidR="005A0CF4" w:rsidRPr="005A0CF4">
        <w:rPr>
          <w:rFonts w:ascii="Cambria" w:hAnsi="Cambria"/>
          <w:sz w:val="20"/>
        </w:rPr>
        <w:t>(Pujiastuti, 2015)</w:t>
      </w:r>
      <w:r w:rsidR="005A0CF4">
        <w:rPr>
          <w:rFonts w:asciiTheme="majorHAnsi" w:hAnsiTheme="majorHAnsi" w:cs="Times New Roman"/>
          <w:iCs/>
          <w:sz w:val="20"/>
          <w:szCs w:val="20"/>
        </w:rPr>
        <w:fldChar w:fldCharType="end"/>
      </w:r>
      <w:r w:rsidR="005A0CF4">
        <w:rPr>
          <w:rFonts w:asciiTheme="majorHAnsi" w:hAnsiTheme="majorHAnsi" w:cs="Times New Roman"/>
          <w:iCs/>
          <w:sz w:val="20"/>
          <w:szCs w:val="20"/>
        </w:rPr>
        <w:t>.</w:t>
      </w:r>
      <w:r w:rsidRPr="00D7466C">
        <w:rPr>
          <w:rFonts w:asciiTheme="majorHAnsi" w:hAnsiTheme="majorHAnsi" w:cs="Times New Roman"/>
          <w:iCs/>
          <w:sz w:val="20"/>
          <w:szCs w:val="20"/>
        </w:rPr>
        <w:t xml:space="preserve"> However, this increase in the economic sector is proportional to the large amount of water required in the production process of the batik industry. This is also exacerbated by the abundance of wastewater generated by this industry. Of the total water demand of 25 billion m</w:t>
      </w:r>
      <w:r w:rsidRPr="005A0CF4">
        <w:rPr>
          <w:rFonts w:asciiTheme="majorHAnsi" w:hAnsiTheme="majorHAnsi" w:cs="Times New Roman"/>
          <w:iCs/>
          <w:sz w:val="20"/>
          <w:szCs w:val="20"/>
          <w:vertAlign w:val="superscript"/>
        </w:rPr>
        <w:t>3</w:t>
      </w:r>
      <w:r w:rsidRPr="00D7466C">
        <w:rPr>
          <w:rFonts w:asciiTheme="majorHAnsi" w:hAnsiTheme="majorHAnsi" w:cs="Times New Roman"/>
          <w:iCs/>
          <w:sz w:val="20"/>
          <w:szCs w:val="20"/>
        </w:rPr>
        <w:t xml:space="preserve">/year, as much as 85% is discharged back into the environment as wastewater with a thick color and pungent odor </w:t>
      </w:r>
      <w:r w:rsidR="005A0CF4">
        <w:rPr>
          <w:rFonts w:asciiTheme="majorHAnsi" w:hAnsiTheme="majorHAnsi" w:cs="Times New Roman"/>
          <w:iCs/>
          <w:sz w:val="20"/>
          <w:szCs w:val="20"/>
        </w:rPr>
        <w:fldChar w:fldCharType="begin"/>
      </w:r>
      <w:r w:rsidR="005A0CF4">
        <w:rPr>
          <w:rFonts w:asciiTheme="majorHAnsi" w:hAnsiTheme="majorHAnsi" w:cs="Times New Roman"/>
          <w:iCs/>
          <w:sz w:val="20"/>
          <w:szCs w:val="20"/>
        </w:rPr>
        <w:instrText xml:space="preserve"> ADDIN ZOTERO_ITEM CSL_CITATION {"citationID":"Qi3CLEVR","properties":{"formattedCitation":"(Kusumawati et al., 2021)","plainCitation":"(Kusumawati et al., 2021)","noteIndex":0},"citationItems":[{"id":326,"uris":["http://zotero.org/users/local/8H0XTJlS/items/TEA5ED7I"],"itemData":{"id":326,"type":"chapter","container-title":"Green Chemistry and Water Remediation: Research and Applications","ISBN":"978-0-12-817742-6","language":"en","note":"DOI: 10.1016/B978-0-12-817742-6.00003-7","page":"59–97","publisher":"Elsevier","title":"Batik became two sides of blade for the sustainable development in Indonesia","URL":"https://linkinghub.elsevier.com/retrieve/pii/B9780128177426000037","author":[{"family":"Kusumawati","given":"N."},{"family":"Rahmadyanti","given":"E."},{"family":"Sianita","given":"M.M."}],"accessed":{"date-parts":[["2022",8,20]]},"issued":{"date-parts":[["2021"]]}}}],"schema":"https://github.com/citation-style-language/schema/raw/master/csl-citation.json"} </w:instrText>
      </w:r>
      <w:r w:rsidR="005A0CF4">
        <w:rPr>
          <w:rFonts w:asciiTheme="majorHAnsi" w:hAnsiTheme="majorHAnsi" w:cs="Times New Roman"/>
          <w:iCs/>
          <w:sz w:val="20"/>
          <w:szCs w:val="20"/>
        </w:rPr>
        <w:fldChar w:fldCharType="separate"/>
      </w:r>
      <w:r w:rsidR="005A0CF4" w:rsidRPr="005A0CF4">
        <w:rPr>
          <w:rFonts w:ascii="Cambria" w:hAnsi="Cambria"/>
          <w:sz w:val="20"/>
        </w:rPr>
        <w:t>(Kusumawati et al., 2021)</w:t>
      </w:r>
      <w:r w:rsidR="005A0CF4">
        <w:rPr>
          <w:rFonts w:asciiTheme="majorHAnsi" w:hAnsiTheme="majorHAnsi" w:cs="Times New Roman"/>
          <w:iCs/>
          <w:sz w:val="20"/>
          <w:szCs w:val="20"/>
        </w:rPr>
        <w:fldChar w:fldCharType="end"/>
      </w:r>
      <w:r w:rsidR="005A0CF4">
        <w:rPr>
          <w:rFonts w:asciiTheme="majorHAnsi" w:hAnsiTheme="majorHAnsi" w:cs="Times New Roman"/>
          <w:iCs/>
          <w:sz w:val="20"/>
          <w:szCs w:val="20"/>
        </w:rPr>
        <w:t>.</w:t>
      </w:r>
      <w:r w:rsidRPr="00D7466C">
        <w:rPr>
          <w:rFonts w:asciiTheme="majorHAnsi" w:hAnsiTheme="majorHAnsi" w:cs="Times New Roman"/>
          <w:iCs/>
          <w:sz w:val="20"/>
          <w:szCs w:val="20"/>
        </w:rPr>
        <w:t xml:space="preserve"> </w:t>
      </w:r>
      <w:r w:rsidR="005A0CF4">
        <w:rPr>
          <w:rFonts w:asciiTheme="majorHAnsi" w:hAnsiTheme="majorHAnsi" w:cs="Times New Roman"/>
          <w:iCs/>
          <w:sz w:val="20"/>
          <w:szCs w:val="20"/>
        </w:rPr>
        <w:fldChar w:fldCharType="begin"/>
      </w:r>
      <w:r w:rsidR="005A0CF4">
        <w:rPr>
          <w:rFonts w:asciiTheme="majorHAnsi" w:hAnsiTheme="majorHAnsi" w:cs="Times New Roman"/>
          <w:iCs/>
          <w:sz w:val="20"/>
          <w:szCs w:val="20"/>
        </w:rPr>
        <w:instrText xml:space="preserve"> ADDIN ZOTERO_ITEM CSL_CITATION {"citationID":"WlRRYXEa","properties":{"formattedCitation":"(Sulaksono et al., 2015)","plainCitation":"(Sulaksono et al., 2015)","noteIndex":0},"citationItems":[{"id":835,"uris":["http://zotero.org/users/local/8H0XTJlS/items/EI7ED4KM"],"itemData":{"id":835,"type":"article-journal","container-title":"Junal Pengelolaan Sumberdaya Alam dan Lingkungan","issue":"1","page":"17-24","title":"Kajian Beban Pencemaran Limbah Cair Industri Kecil Menegah (IKM) Batik Klaster Trusmi Kabupaten Cirebon","volume":"5","author":[{"family":"Sulaksono","given":"Adi"},{"family":"Effendi","given":"Hefni"},{"family":"Kurniawan","given":"Budi"}],"issued":{"date-parts":[["2015",7]]}}}],"schema":"https://github.com/citation-style-language/schema/raw/master/csl-citation.json"} </w:instrText>
      </w:r>
      <w:r w:rsidR="005A0CF4">
        <w:rPr>
          <w:rFonts w:asciiTheme="majorHAnsi" w:hAnsiTheme="majorHAnsi" w:cs="Times New Roman"/>
          <w:iCs/>
          <w:sz w:val="20"/>
          <w:szCs w:val="20"/>
        </w:rPr>
        <w:fldChar w:fldCharType="separate"/>
      </w:r>
      <w:r w:rsidR="005A0CF4" w:rsidRPr="005A0CF4">
        <w:rPr>
          <w:rFonts w:ascii="Cambria" w:hAnsi="Cambria"/>
          <w:sz w:val="20"/>
        </w:rPr>
        <w:t xml:space="preserve">Sulaksono et al. </w:t>
      </w:r>
      <w:r w:rsidR="005A0CF4">
        <w:rPr>
          <w:rFonts w:ascii="Cambria" w:hAnsi="Cambria"/>
          <w:sz w:val="20"/>
        </w:rPr>
        <w:t>(</w:t>
      </w:r>
      <w:r w:rsidR="005A0CF4" w:rsidRPr="005A0CF4">
        <w:rPr>
          <w:rFonts w:ascii="Cambria" w:hAnsi="Cambria"/>
          <w:sz w:val="20"/>
        </w:rPr>
        <w:t>2015)</w:t>
      </w:r>
      <w:r w:rsidR="005A0CF4">
        <w:rPr>
          <w:rFonts w:asciiTheme="majorHAnsi" w:hAnsiTheme="majorHAnsi" w:cs="Times New Roman"/>
          <w:iCs/>
          <w:sz w:val="20"/>
          <w:szCs w:val="20"/>
        </w:rPr>
        <w:fldChar w:fldCharType="end"/>
      </w:r>
      <w:r w:rsidRPr="00D7466C">
        <w:rPr>
          <w:rFonts w:asciiTheme="majorHAnsi" w:hAnsiTheme="majorHAnsi" w:cs="Times New Roman"/>
          <w:iCs/>
          <w:sz w:val="20"/>
          <w:szCs w:val="20"/>
        </w:rPr>
        <w:t xml:space="preserve"> reported that the pollutant load of batik wastewater in </w:t>
      </w:r>
      <w:r w:rsidRPr="00D7466C">
        <w:rPr>
          <w:rFonts w:asciiTheme="majorHAnsi" w:hAnsiTheme="majorHAnsi" w:cs="Times New Roman"/>
          <w:iCs/>
          <w:sz w:val="20"/>
          <w:szCs w:val="20"/>
        </w:rPr>
        <w:t>water bodies for BOD5 reached 5.9-39.5 tons/year, 112-426 tons/year for COD, and 4.88-16.3 tons/year for TSS. The liquid waste of the batik and textile industries generally comes from the coloring process containing heavy metals, waxes, surfactants, and organic halogens which have high compound complexity and are non-biodegradable, causing serious problems for the surrounding water environment</w:t>
      </w:r>
      <w:r w:rsidR="005A0CF4">
        <w:rPr>
          <w:rFonts w:asciiTheme="majorHAnsi" w:hAnsiTheme="majorHAnsi" w:cs="Times New Roman"/>
          <w:iCs/>
          <w:sz w:val="20"/>
          <w:szCs w:val="20"/>
        </w:rPr>
        <w:t xml:space="preserve"> </w:t>
      </w:r>
      <w:r w:rsidR="005A0CF4">
        <w:rPr>
          <w:rFonts w:asciiTheme="majorHAnsi" w:hAnsiTheme="majorHAnsi" w:cs="Times New Roman"/>
          <w:iCs/>
          <w:sz w:val="20"/>
          <w:szCs w:val="20"/>
        </w:rPr>
        <w:fldChar w:fldCharType="begin"/>
      </w:r>
      <w:r w:rsidR="005A0CF4">
        <w:rPr>
          <w:rFonts w:asciiTheme="majorHAnsi" w:hAnsiTheme="majorHAnsi" w:cs="Times New Roman"/>
          <w:iCs/>
          <w:sz w:val="20"/>
          <w:szCs w:val="20"/>
        </w:rPr>
        <w:instrText xml:space="preserve"> ADDIN ZOTERO_ITEM CSL_CITATION {"citationID":"BXqK7qk4","properties":{"formattedCitation":"(Hassanzadeh et al., 2017)","plainCitation":"(Hassanzadeh et al., 2017)","noteIndex":0},"citationItems":[{"id":831,"uris":["http://zotero.org/users/local/8H0XTJlS/items/4F2VGQHC"],"itemData":{"id":831,"type":"article-journal","container-title":"Environmental Nanotechnology, Monitoring &amp; Management","DOI":"10.1016/j.enmm.2017.06.001","ISSN":"22151532","page":"92-96","title":"An efficient wastewater treatment approach for a real woolen textile industry using a chemical assisted NF membrane process","volume":"8","author":[{"family":"Hassanzadeh","given":"E."},{"family":"Farhadian","given":"M."},{"family":"Razmjou","given":"A."},{"family":"Askari","given":"N."}],"issued":{"date-parts":[["2017",12]]}}}],"schema":"https://github.com/citation-style-language/schema/raw/master/csl-citation.json"} </w:instrText>
      </w:r>
      <w:r w:rsidR="005A0CF4">
        <w:rPr>
          <w:rFonts w:asciiTheme="majorHAnsi" w:hAnsiTheme="majorHAnsi" w:cs="Times New Roman"/>
          <w:iCs/>
          <w:sz w:val="20"/>
          <w:szCs w:val="20"/>
        </w:rPr>
        <w:fldChar w:fldCharType="separate"/>
      </w:r>
      <w:r w:rsidR="005A0CF4" w:rsidRPr="005A0CF4">
        <w:rPr>
          <w:rFonts w:ascii="Cambria" w:hAnsi="Cambria"/>
          <w:sz w:val="20"/>
        </w:rPr>
        <w:t>(Hassanzadeh et al., 2017)</w:t>
      </w:r>
      <w:r w:rsidR="005A0CF4">
        <w:rPr>
          <w:rFonts w:asciiTheme="majorHAnsi" w:hAnsiTheme="majorHAnsi" w:cs="Times New Roman"/>
          <w:iCs/>
          <w:sz w:val="20"/>
          <w:szCs w:val="20"/>
        </w:rPr>
        <w:fldChar w:fldCharType="end"/>
      </w:r>
      <w:r w:rsidRPr="00D7466C">
        <w:rPr>
          <w:rFonts w:asciiTheme="majorHAnsi" w:hAnsiTheme="majorHAnsi" w:cs="Times New Roman"/>
          <w:iCs/>
          <w:sz w:val="20"/>
          <w:szCs w:val="20"/>
        </w:rPr>
        <w:t xml:space="preserve">. Several methods have been used to overcome the problem of water pollution caused by the batik and textile industries, including coagulation, adsorption, membrane filtration, ozonation, and bacterial-activated sludge </w:t>
      </w:r>
      <w:r w:rsidR="005A0CF4">
        <w:rPr>
          <w:rFonts w:asciiTheme="majorHAnsi" w:hAnsiTheme="majorHAnsi" w:cs="Times New Roman"/>
          <w:iCs/>
          <w:sz w:val="20"/>
          <w:szCs w:val="20"/>
        </w:rPr>
        <w:fldChar w:fldCharType="begin"/>
      </w:r>
      <w:r w:rsidR="005A0CF4">
        <w:rPr>
          <w:rFonts w:asciiTheme="majorHAnsi" w:hAnsiTheme="majorHAnsi" w:cs="Times New Roman"/>
          <w:iCs/>
          <w:sz w:val="20"/>
          <w:szCs w:val="20"/>
        </w:rPr>
        <w:instrText xml:space="preserve"> ADDIN ZOTERO_ITEM CSL_CITATION {"citationID":"rGp10IMA","properties":{"formattedCitation":"(Kusumawati et al., 2021)","plainCitation":"(Kusumawati et al., 2021)","noteIndex":0},"citationItems":[{"id":326,"uris":["http://zotero.org/users/local/8H0XTJlS/items/TEA5ED7I"],"itemData":{"id":326,"type":"chapter","container-title":"Green Chemistry and Water Remediation: Research and Applications","ISBN":"978-0-12-817742-6","language":"en","note":"DOI: 10.1016/B978-0-12-817742-6.00003-7","page":"59–97","publisher":"Elsevier","title":"Batik became two sides of blade for the sustainable development in Indonesia","URL":"https://linkinghub.elsevier.com/retrieve/pii/B9780128177426000037","author":[{"family":"Kusumawati","given":"N."},{"family":"Rahmadyanti","given":"E."},{"family":"Sianita","given":"M.M."}],"accessed":{"date-parts":[["2022",8,20]]},"issued":{"date-parts":[["2021"]]}}}],"schema":"https://github.com/citation-style-language/schema/raw/master/csl-citation.json"} </w:instrText>
      </w:r>
      <w:r w:rsidR="005A0CF4">
        <w:rPr>
          <w:rFonts w:asciiTheme="majorHAnsi" w:hAnsiTheme="majorHAnsi" w:cs="Times New Roman"/>
          <w:iCs/>
          <w:sz w:val="20"/>
          <w:szCs w:val="20"/>
        </w:rPr>
        <w:fldChar w:fldCharType="separate"/>
      </w:r>
      <w:r w:rsidR="005A0CF4" w:rsidRPr="005A0CF4">
        <w:rPr>
          <w:rFonts w:ascii="Cambria" w:hAnsi="Cambria"/>
          <w:sz w:val="20"/>
        </w:rPr>
        <w:t>(Kusumawati et al., 2021)</w:t>
      </w:r>
      <w:r w:rsidR="005A0CF4">
        <w:rPr>
          <w:rFonts w:asciiTheme="majorHAnsi" w:hAnsiTheme="majorHAnsi" w:cs="Times New Roman"/>
          <w:iCs/>
          <w:sz w:val="20"/>
          <w:szCs w:val="20"/>
        </w:rPr>
        <w:fldChar w:fldCharType="end"/>
      </w:r>
      <w:r w:rsidRPr="00D7466C">
        <w:rPr>
          <w:rFonts w:asciiTheme="majorHAnsi" w:hAnsiTheme="majorHAnsi" w:cs="Times New Roman"/>
          <w:iCs/>
          <w:sz w:val="20"/>
          <w:szCs w:val="20"/>
        </w:rPr>
        <w:t xml:space="preserve">. Among the previously mentioned methods, membrane filtration has proven to be the most effective wastewater treatment technology, </w:t>
      </w:r>
      <w:r w:rsidRPr="00D7466C">
        <w:rPr>
          <w:rFonts w:asciiTheme="majorHAnsi" w:hAnsiTheme="majorHAnsi" w:cs="Times New Roman"/>
          <w:iCs/>
          <w:sz w:val="20"/>
          <w:szCs w:val="20"/>
        </w:rPr>
        <w:lastRenderedPageBreak/>
        <w:t xml:space="preserve">especially in textile wastewater treatment. This is due to its ability to restore the quality of the produced water so that the water can be reused for industrial processes </w:t>
      </w:r>
      <w:r w:rsidR="005A0CF4">
        <w:rPr>
          <w:rFonts w:asciiTheme="majorHAnsi" w:hAnsiTheme="majorHAnsi" w:cs="Times New Roman"/>
          <w:iCs/>
          <w:sz w:val="20"/>
          <w:szCs w:val="20"/>
        </w:rPr>
        <w:fldChar w:fldCharType="begin"/>
      </w:r>
      <w:r w:rsidR="005A0CF4">
        <w:rPr>
          <w:rFonts w:asciiTheme="majorHAnsi" w:hAnsiTheme="majorHAnsi" w:cs="Times New Roman"/>
          <w:iCs/>
          <w:sz w:val="20"/>
          <w:szCs w:val="20"/>
        </w:rPr>
        <w:instrText xml:space="preserve"> ADDIN ZOTERO_ITEM CSL_CITATION {"citationID":"sTnRUsjt","properties":{"formattedCitation":"(A\\uc0\\u287{}ta\\uc0\\u351{} et al., 2020)","plainCitation":"(Ağtaş et al., 2020)","noteIndex":0},"citationItems":[{"id":832,"uris":["http://zotero.org/users/local/8H0XTJlS/items/6ULJIGCB"],"itemData":{"id":832,"type":"article-journal","container-title":"Journal of Cleaner Production","DOI":"10.1016/j.jclepro.2020.120359","ISSN":"09596526","page":"120359","title":"Hot water recovery and reuse in textile sector with pilot scale ceramic ultrafiltration/nanofiltration membrane system","volume":"256","author":[{"family":"Ağtaş","given":"Meltem"},{"family":"Yılmaz","given":"Özgün"},{"family":"Dilaver","given":"Mehmet"},{"family":"Alp","given":"Kadir"},{"family":"Koyuncu","given":"İsmail"}],"issued":{"date-parts":[["2020",5]]}}}],"schema":"https://github.com/citation-style-language/schema/raw/master/csl-citation.json"} </w:instrText>
      </w:r>
      <w:r w:rsidR="005A0CF4">
        <w:rPr>
          <w:rFonts w:asciiTheme="majorHAnsi" w:hAnsiTheme="majorHAnsi" w:cs="Times New Roman"/>
          <w:iCs/>
          <w:sz w:val="20"/>
          <w:szCs w:val="20"/>
        </w:rPr>
        <w:fldChar w:fldCharType="separate"/>
      </w:r>
      <w:r w:rsidR="005A0CF4" w:rsidRPr="005A0CF4">
        <w:rPr>
          <w:rFonts w:ascii="Cambria" w:hAnsi="Cambria" w:cs="Times New Roman"/>
          <w:sz w:val="20"/>
          <w:szCs w:val="24"/>
        </w:rPr>
        <w:t>(Ağtaş et al., 2020)</w:t>
      </w:r>
      <w:r w:rsidR="005A0CF4">
        <w:rPr>
          <w:rFonts w:asciiTheme="majorHAnsi" w:hAnsiTheme="majorHAnsi" w:cs="Times New Roman"/>
          <w:iCs/>
          <w:sz w:val="20"/>
          <w:szCs w:val="20"/>
        </w:rPr>
        <w:fldChar w:fldCharType="end"/>
      </w:r>
      <w:r w:rsidR="005A0CF4">
        <w:rPr>
          <w:rFonts w:asciiTheme="majorHAnsi" w:hAnsiTheme="majorHAnsi" w:cs="Times New Roman"/>
          <w:iCs/>
          <w:sz w:val="20"/>
          <w:szCs w:val="20"/>
        </w:rPr>
        <w:t>.</w:t>
      </w:r>
      <w:r w:rsidRPr="00D7466C">
        <w:rPr>
          <w:rFonts w:asciiTheme="majorHAnsi" w:hAnsiTheme="majorHAnsi" w:cs="Times New Roman"/>
          <w:iCs/>
          <w:sz w:val="20"/>
          <w:szCs w:val="20"/>
        </w:rPr>
        <w:t xml:space="preserve"> In its application, membrane technology does not take up much space, has low chemical consumption, easy maintenance, superior separation efficiency, and is environmentally friendly </w:t>
      </w:r>
      <w:r w:rsidR="005A0CF4">
        <w:rPr>
          <w:rFonts w:asciiTheme="majorHAnsi" w:hAnsiTheme="majorHAnsi" w:cs="Times New Roman"/>
          <w:iCs/>
          <w:sz w:val="20"/>
          <w:szCs w:val="20"/>
        </w:rPr>
        <w:fldChar w:fldCharType="begin"/>
      </w:r>
      <w:r w:rsidR="005A0CF4">
        <w:rPr>
          <w:rFonts w:asciiTheme="majorHAnsi" w:hAnsiTheme="majorHAnsi" w:cs="Times New Roman"/>
          <w:iCs/>
          <w:sz w:val="20"/>
          <w:szCs w:val="20"/>
        </w:rPr>
        <w:instrText xml:space="preserve"> ADDIN ZOTERO_ITEM CSL_CITATION {"citationID":"ZNbCIwiw","properties":{"formattedCitation":"(Shi et al., 2019)","plainCitation":"(Shi et al., 2019)","noteIndex":0},"citationItems":[{"id":508,"uris":["http://zotero.org/users/local/8H0XTJlS/items/SFGKAZFR"],"itemData":{"id":508,"type":"article-journal","abstract":"Photocatalytic membranes (PMs), coupling of membrane filtration and photocatalysis in a single unit, have exhibited a great potential for use in energy-efficient water purification and wastewater treatment. The photocatalytic membranes have presented a trend developed from UV-responsive photocatalytic membranes (UV-PMs) (e.g., TiO2-based and ZnO-based PMs) into visible light-responsive photocatalytic membranes (Vis-PMs) (e.g., modified TiO2/ZnO -based, β-FeOOH-based, and g–C3N4–based PMs). This paper reviews recent development of the PMs with an emphasis on membrane type and fabrication, key criteria, basic performance assessment, application and challenges. The overall evaluation of the PMs in water treatment is presented, and the development direction of the PMs and the significance of developing the PMs and economy are pointed.","container-title":"Journal of Membrane Science","DOI":"10.1016/j.memsci.2019.04.078","ISSN":"18733123","note":"publisher: Elsevier B.V.","page":"364-392","title":"Photocatalytic membrane in water purification: is it stepping closer to be driven by visible light?","volume":"584","author":[{"family":"Shi","given":"Yahui"},{"family":"Huang","given":"Jinhui"},{"family":"Zeng","given":"Guangming"},{"family":"Cheng","given":"Wenjian"},{"family":"Hu","given":"Jianglin"}],"issued":{"date-parts":[["2019",8,15]]}}}],"schema":"https://github.com/citation-style-language/schema/raw/master/csl-citation.json"} </w:instrText>
      </w:r>
      <w:r w:rsidR="005A0CF4">
        <w:rPr>
          <w:rFonts w:asciiTheme="majorHAnsi" w:hAnsiTheme="majorHAnsi" w:cs="Times New Roman"/>
          <w:iCs/>
          <w:sz w:val="20"/>
          <w:szCs w:val="20"/>
        </w:rPr>
        <w:fldChar w:fldCharType="separate"/>
      </w:r>
      <w:r w:rsidR="005A0CF4" w:rsidRPr="005A0CF4">
        <w:rPr>
          <w:rFonts w:ascii="Cambria" w:hAnsi="Cambria"/>
          <w:sz w:val="20"/>
        </w:rPr>
        <w:t>(Shi et al., 2019)</w:t>
      </w:r>
      <w:r w:rsidR="005A0CF4">
        <w:rPr>
          <w:rFonts w:asciiTheme="majorHAnsi" w:hAnsiTheme="majorHAnsi" w:cs="Times New Roman"/>
          <w:iCs/>
          <w:sz w:val="20"/>
          <w:szCs w:val="20"/>
        </w:rPr>
        <w:fldChar w:fldCharType="end"/>
      </w:r>
      <w:r w:rsidR="005A0CF4">
        <w:rPr>
          <w:rFonts w:asciiTheme="majorHAnsi" w:hAnsiTheme="majorHAnsi" w:cs="Times New Roman"/>
          <w:iCs/>
          <w:sz w:val="20"/>
          <w:szCs w:val="20"/>
        </w:rPr>
        <w:t>.</w:t>
      </w:r>
      <w:r w:rsidRPr="00D7466C">
        <w:rPr>
          <w:rFonts w:asciiTheme="majorHAnsi" w:hAnsiTheme="majorHAnsi" w:cs="Times New Roman"/>
          <w:iCs/>
          <w:sz w:val="20"/>
          <w:szCs w:val="20"/>
        </w:rPr>
        <w:t xml:space="preserve"> However, a common drawback of applying membrane separation technology is the ease with which fouling occurs.</w:t>
      </w:r>
      <w:r w:rsidR="00E2799A" w:rsidRPr="00E2799A">
        <w:rPr>
          <w:rFonts w:asciiTheme="majorHAnsi" w:hAnsiTheme="majorHAnsi" w:cs="Times New Roman"/>
          <w:iCs/>
          <w:sz w:val="20"/>
          <w:szCs w:val="20"/>
        </w:rPr>
        <w:t xml:space="preserve"> </w:t>
      </w:r>
    </w:p>
    <w:p w14:paraId="1997FDD8" w14:textId="54705B79" w:rsidR="006F7896" w:rsidRPr="006F7896" w:rsidRDefault="00D7466C" w:rsidP="00D7466C">
      <w:pPr>
        <w:spacing w:after="0" w:line="240" w:lineRule="auto"/>
        <w:ind w:firstLine="450"/>
        <w:contextualSpacing/>
        <w:jc w:val="both"/>
        <w:rPr>
          <w:rFonts w:asciiTheme="majorHAnsi" w:hAnsiTheme="majorHAnsi" w:cs="Times New Roman"/>
          <w:sz w:val="20"/>
          <w:szCs w:val="20"/>
        </w:rPr>
      </w:pPr>
      <w:r w:rsidRPr="00D7466C">
        <w:rPr>
          <w:rFonts w:asciiTheme="majorHAnsi" w:hAnsiTheme="majorHAnsi" w:cs="Times New Roman"/>
          <w:iCs/>
          <w:sz w:val="20"/>
          <w:szCs w:val="20"/>
        </w:rPr>
        <w:t>It has been widely reported in previous studies that the incorporation of nanomaterials into the polymer matrix is able to overcome the problem of membrane fouling</w:t>
      </w:r>
      <w:r w:rsidR="005A0CF4">
        <w:rPr>
          <w:rFonts w:asciiTheme="majorHAnsi" w:hAnsiTheme="majorHAnsi" w:cs="Times New Roman"/>
          <w:iCs/>
          <w:sz w:val="20"/>
          <w:szCs w:val="20"/>
        </w:rPr>
        <w:t xml:space="preserve"> </w:t>
      </w:r>
      <w:r w:rsidR="005A0CF4">
        <w:rPr>
          <w:rFonts w:asciiTheme="majorHAnsi" w:hAnsiTheme="majorHAnsi" w:cs="Times New Roman"/>
          <w:iCs/>
          <w:sz w:val="20"/>
          <w:szCs w:val="20"/>
        </w:rPr>
        <w:fldChar w:fldCharType="begin"/>
      </w:r>
      <w:r w:rsidR="000C4F36">
        <w:rPr>
          <w:rFonts w:asciiTheme="majorHAnsi" w:hAnsiTheme="majorHAnsi" w:cs="Times New Roman"/>
          <w:iCs/>
          <w:sz w:val="20"/>
          <w:szCs w:val="20"/>
        </w:rPr>
        <w:instrText xml:space="preserve"> ADDIN ZOTERO_ITEM CSL_CITATION {"citationID":"CBZf8cgt","properties":{"formattedCitation":"(Chai et al., 2020; T.D. Kusworo et al., 2021; Liang et al., 2012; Mahlangu et al., 2017)","plainCitation":"(Chai et al., 2020; T.D. Kusworo et al., 2021; Liang et al., 2012; Mahlangu et al., 2017)","noteIndex":0},"citationItems":[{"id":843,"uris":["http://zotero.org/users/local/8H0XTJlS/items/VMJCM3ZL"],"itemData":{"id":843,"type":"article-journal","container-title":"Journal of Water Process Engineering","DOI":"10.1016/j.jwpe.2020.101673","ISSN":"22147144","page":"101673","title":"Development of iron oxide decorated graphene oxide (Fe3O4/GO) PSf mixed-matrix membrane for enhanced antifouling behavior","volume":"38","author":[{"family":"Chai","given":"P.V."},{"family":"Law","given":"J.Y."},{"family":"Mahmoudi","given":"E."},{"family":"Mohammad","given":"A.W."}],"issued":{"date-parts":[["2020",12]]}}},{"id":604,"uris":["http://zotero.org/users/local/8H0XTJlS/items/CUEWIGAI"],"itemData":{"id":604,"type":"article-journal","container-title":"IOP Conference Series: Materials Science and Engineering","DOI":"10.1088/1757-899x/1053/1/012134","ISSN":"1757-8981","issue":"1","note":"publisher: IOP Publishing","page":"012134","title":"Effects of incorporating ZnO on characteristic, performance, and antifouling potential of PSf membrane for PRW treatment","volume":"1053","author":[{"family":"Kusworo","given":"T.D."},{"family":"Aryanti","given":"N."},{"family":"Dalanta","given":"F."}],"issued":{"date-parts":[["2021",2,1]]}}},{"id":607,"uris":["http://zotero.org/users/local/8H0XTJlS/items/NBFLHRLY"],"itemData":{"id":607,"type":"article-journal","abstract":"Irreversible membrane fouling is harmful for long-term operation of filtration. In this study, a novel anti-irreversible fouling polyvinylidene fluoride (PVDF) membrane was successfully fabricated using the wet phase separation methods. Nano-ZnO, with different dosages ranging from 6.7% to 26.7% (percentage of PVDF weight), was blended as an additive into the membrane matrix for the modification of the internal surfaces of membrane pores. A series of tests, such as filtration experiments, contact angle measurements, scanning electron microscope (SEM)/energy dispersive X-ray spectrometer (EDS) analyses and mechanical tests, were performed to characterize the modified membranes. The multi-cycle filtration experiments showed that the modified PVDF membranes demonstrated significant anti-irreversible fouling property. All the modified membranes achieved almost 100% water flux recovery after physical cleaning, whereas the raw membrane only reached 78% recovery. This promotion might be related to the increase of membrane hydrophilicity. The implantation of nano-ZnO into membrane inner surface (i.e., pore wall), as indicated by SEM/EDS tests, might be responsible for the enhancement of anti-irreversible fouling property. The water permeability of the modified membrane almost doubled by adding 6.7% nano-ZnO which was determined as the optimum dosage (within the dosage range in this study) for PVDF membrane modification. Additionally, the mechanical strength was found reinforced for modified membranes, which should also benefit the filtration application. © 2011 Elsevier B.V.","container-title":"Journal of Membrane Science","DOI":"10.1016/j.memsci.2011.12.040","ISSN":"03767388","page":"184-192","title":"A novel ZnO nanoparticle blended polyvinylidene fluoride membrane for anti-irreversible fouling","volume":"394-395","author":[{"family":"Liang","given":"Shuai"},{"family":"Xiao","given":"Kang"},{"family":"Mo","given":"Yinghui"},{"family":"Huang","given":"Xia"}],"issued":{"date-parts":[["2012",3,15]]}}},{"id":350,"uris":["http://zotero.org/users/local/8H0XTJlS/items/6PA3PSD4"],"itemData":{"id":350,"type":"article-journal","abstract":"Fouling of pressure-driven membranes remains a major challenge in membrane technology applications to wastewater treatment as it results in the deterioration of membrane performance. Several studies focusing on novel anti-fouling membranes incorporated with nanoparticles have been carried out but these membranes are not yet a viable solution due to their high energy requirements and poor trace organic compound (TOrC) rejection properties. Therefore, the aim of this study was to fabricate novel energy-eﬃcient polyethersulfone (PES) membranes modiﬁed with graphene oxide – zinc oxide (GO-ZnO) and polyvinylpyrrolidone (PVP) for wastewater reclamation. A unique membrane synthesis approach called double-casting phase inversion (DCPI) was adopted. In this technique, the casting solutions are cast twice before coagulation. The addition of PVP and GO-ZnO increased membrane pure water permeability, hydrophilicity, and tensile strength while salt rejection increased slightly. The rejection of TOrCs and anti-fouling properties were also improved due to reduction in membrane-solute and membrane-foulant non-electrostatic or aﬃnity interactions. These interactions were computed from contact angles of membranes, foulants and TOrCs based on the Lifshitz-van der Waals/acidbase approach. Compared to commercial NF-270 membranes under similar experimental conditions, the novel membranes exhibited higher ﬂuxes, with less fouling and high rejection of TOrCs. Therefore, novel GO-ZnO membranes have the potential to compete with commercial membranes for wastewater reclamation.","container-title":"Journal of Membrane Science","DOI":"10.1016/j.memsci.2016.11.018","ISSN":"03767388","language":"en","page":"43–55","title":"Hydrophilic fouling-resistant GO-ZnO/PES membranes for wastewater reclamation","volume":"524","author":[{"family":"Mahlangu","given":"O.T."},{"family":"Nackaerts","given":"R."},{"family":"Thwala","given":"J.M."},{"family":"Mamba","given":"B.B."},{"family":"Verliefde","given":"A.R.D."}],"issued":{"date-parts":[["2017",2]]}}}],"schema":"https://github.com/citation-style-language/schema/raw/master/csl-citation.json"} </w:instrText>
      </w:r>
      <w:r w:rsidR="005A0CF4">
        <w:rPr>
          <w:rFonts w:asciiTheme="majorHAnsi" w:hAnsiTheme="majorHAnsi" w:cs="Times New Roman"/>
          <w:iCs/>
          <w:sz w:val="20"/>
          <w:szCs w:val="20"/>
        </w:rPr>
        <w:fldChar w:fldCharType="separate"/>
      </w:r>
      <w:r w:rsidR="000C4F36" w:rsidRPr="000C4F36">
        <w:rPr>
          <w:rFonts w:ascii="Cambria" w:hAnsi="Cambria"/>
          <w:sz w:val="20"/>
        </w:rPr>
        <w:t>(Chai et al., 2020; T.D. Kusworo et al., 2021</w:t>
      </w:r>
      <w:r w:rsidR="000C4F36">
        <w:rPr>
          <w:rFonts w:ascii="Cambria" w:hAnsi="Cambria"/>
          <w:sz w:val="20"/>
        </w:rPr>
        <w:t>a</w:t>
      </w:r>
      <w:r w:rsidR="000C4F36" w:rsidRPr="000C4F36">
        <w:rPr>
          <w:rFonts w:ascii="Cambria" w:hAnsi="Cambria"/>
          <w:sz w:val="20"/>
        </w:rPr>
        <w:t>; Liang et al., 2012; Mahlangu et al., 2017)</w:t>
      </w:r>
      <w:r w:rsidR="005A0CF4">
        <w:rPr>
          <w:rFonts w:asciiTheme="majorHAnsi" w:hAnsiTheme="majorHAnsi" w:cs="Times New Roman"/>
          <w:iCs/>
          <w:sz w:val="20"/>
          <w:szCs w:val="20"/>
        </w:rPr>
        <w:fldChar w:fldCharType="end"/>
      </w:r>
      <w:r w:rsidR="005A0CF4">
        <w:rPr>
          <w:rFonts w:asciiTheme="majorHAnsi" w:hAnsiTheme="majorHAnsi" w:cs="Times New Roman"/>
          <w:iCs/>
          <w:sz w:val="20"/>
          <w:szCs w:val="20"/>
        </w:rPr>
        <w:t xml:space="preserve">. </w:t>
      </w:r>
      <w:r w:rsidRPr="00D7466C">
        <w:rPr>
          <w:rFonts w:asciiTheme="majorHAnsi" w:hAnsiTheme="majorHAnsi" w:cs="Times New Roman"/>
          <w:iCs/>
          <w:sz w:val="20"/>
          <w:szCs w:val="20"/>
        </w:rPr>
        <w:t xml:space="preserve">Polymer membranes commonly used include </w:t>
      </w:r>
      <w:proofErr w:type="spellStart"/>
      <w:r w:rsidRPr="00D7466C">
        <w:rPr>
          <w:rFonts w:asciiTheme="majorHAnsi" w:hAnsiTheme="majorHAnsi" w:cs="Times New Roman"/>
          <w:iCs/>
          <w:sz w:val="20"/>
          <w:szCs w:val="20"/>
        </w:rPr>
        <w:t>polysulfone</w:t>
      </w:r>
      <w:proofErr w:type="spellEnd"/>
      <w:r w:rsidRPr="00D7466C">
        <w:rPr>
          <w:rFonts w:asciiTheme="majorHAnsi" w:hAnsiTheme="majorHAnsi" w:cs="Times New Roman"/>
          <w:iCs/>
          <w:sz w:val="20"/>
          <w:szCs w:val="20"/>
        </w:rPr>
        <w:t xml:space="preserve"> (</w:t>
      </w:r>
      <w:proofErr w:type="spellStart"/>
      <w:r w:rsidRPr="00D7466C">
        <w:rPr>
          <w:rFonts w:asciiTheme="majorHAnsi" w:hAnsiTheme="majorHAnsi" w:cs="Times New Roman"/>
          <w:iCs/>
          <w:sz w:val="20"/>
          <w:szCs w:val="20"/>
        </w:rPr>
        <w:t>PSf</w:t>
      </w:r>
      <w:proofErr w:type="spellEnd"/>
      <w:r w:rsidRPr="00D7466C">
        <w:rPr>
          <w:rFonts w:asciiTheme="majorHAnsi" w:hAnsiTheme="majorHAnsi" w:cs="Times New Roman"/>
          <w:iCs/>
          <w:sz w:val="20"/>
          <w:szCs w:val="20"/>
        </w:rPr>
        <w:t xml:space="preserve">), </w:t>
      </w:r>
      <w:proofErr w:type="spellStart"/>
      <w:r w:rsidRPr="00D7466C">
        <w:rPr>
          <w:rFonts w:asciiTheme="majorHAnsi" w:hAnsiTheme="majorHAnsi" w:cs="Times New Roman"/>
          <w:iCs/>
          <w:sz w:val="20"/>
          <w:szCs w:val="20"/>
        </w:rPr>
        <w:t>polyethersulfone</w:t>
      </w:r>
      <w:proofErr w:type="spellEnd"/>
      <w:r w:rsidRPr="00D7466C">
        <w:rPr>
          <w:rFonts w:asciiTheme="majorHAnsi" w:hAnsiTheme="majorHAnsi" w:cs="Times New Roman"/>
          <w:iCs/>
          <w:sz w:val="20"/>
          <w:szCs w:val="20"/>
        </w:rPr>
        <w:t xml:space="preserve"> (PES), polyacrylonitrile (PAN), and polyvinylidene fluoride (PVDF). In this study, </w:t>
      </w:r>
      <w:proofErr w:type="spellStart"/>
      <w:r w:rsidRPr="00D7466C">
        <w:rPr>
          <w:rFonts w:asciiTheme="majorHAnsi" w:hAnsiTheme="majorHAnsi" w:cs="Times New Roman"/>
          <w:iCs/>
          <w:sz w:val="20"/>
          <w:szCs w:val="20"/>
        </w:rPr>
        <w:t>polysulfone</w:t>
      </w:r>
      <w:proofErr w:type="spellEnd"/>
      <w:r w:rsidRPr="00D7466C">
        <w:rPr>
          <w:rFonts w:asciiTheme="majorHAnsi" w:hAnsiTheme="majorHAnsi" w:cs="Times New Roman"/>
          <w:iCs/>
          <w:sz w:val="20"/>
          <w:szCs w:val="20"/>
        </w:rPr>
        <w:t xml:space="preserve"> (</w:t>
      </w:r>
      <w:proofErr w:type="spellStart"/>
      <w:r w:rsidRPr="00D7466C">
        <w:rPr>
          <w:rFonts w:asciiTheme="majorHAnsi" w:hAnsiTheme="majorHAnsi" w:cs="Times New Roman"/>
          <w:iCs/>
          <w:sz w:val="20"/>
          <w:szCs w:val="20"/>
        </w:rPr>
        <w:t>PSf</w:t>
      </w:r>
      <w:proofErr w:type="spellEnd"/>
      <w:r w:rsidRPr="00D7466C">
        <w:rPr>
          <w:rFonts w:asciiTheme="majorHAnsi" w:hAnsiTheme="majorHAnsi" w:cs="Times New Roman"/>
          <w:iCs/>
          <w:sz w:val="20"/>
          <w:szCs w:val="20"/>
        </w:rPr>
        <w:t xml:space="preserve">) was chosen as a membrane support material because of its abundant availability, ease to modify, high mechanical strength, and has chemical and heat stability. However, the low hydrophilicity of </w:t>
      </w:r>
      <w:proofErr w:type="spellStart"/>
      <w:r w:rsidRPr="00D7466C">
        <w:rPr>
          <w:rFonts w:asciiTheme="majorHAnsi" w:hAnsiTheme="majorHAnsi" w:cs="Times New Roman"/>
          <w:iCs/>
          <w:sz w:val="20"/>
          <w:szCs w:val="20"/>
        </w:rPr>
        <w:t>PSf</w:t>
      </w:r>
      <w:proofErr w:type="spellEnd"/>
      <w:r w:rsidRPr="00D7466C">
        <w:rPr>
          <w:rFonts w:asciiTheme="majorHAnsi" w:hAnsiTheme="majorHAnsi" w:cs="Times New Roman"/>
          <w:iCs/>
          <w:sz w:val="20"/>
          <w:szCs w:val="20"/>
        </w:rPr>
        <w:t xml:space="preserve"> membrane is still an obstacle in its application for wastewater treatment so that further modifications are needed </w:t>
      </w:r>
      <w:r w:rsidR="005A0CF4">
        <w:rPr>
          <w:rFonts w:asciiTheme="majorHAnsi" w:hAnsiTheme="majorHAnsi" w:cs="Times New Roman"/>
          <w:iCs/>
          <w:sz w:val="20"/>
          <w:szCs w:val="20"/>
        </w:rPr>
        <w:fldChar w:fldCharType="begin"/>
      </w:r>
      <w:r w:rsidR="005A0CF4">
        <w:rPr>
          <w:rFonts w:asciiTheme="majorHAnsi" w:hAnsiTheme="majorHAnsi" w:cs="Times New Roman"/>
          <w:iCs/>
          <w:sz w:val="20"/>
          <w:szCs w:val="20"/>
        </w:rPr>
        <w:instrText xml:space="preserve"> ADDIN ZOTERO_ITEM CSL_CITATION {"citationID":"ecBCgMr3","properties":{"formattedCitation":"(Pouresmaeel-Selkjani et al., 2017)","plainCitation":"(Pouresmaeel-Selkjani et al., 2017)","noteIndex":0},"citationItems":[{"id":842,"uris":["http://zotero.org/use</w:instrText>
      </w:r>
      <w:r w:rsidR="005A0CF4">
        <w:rPr>
          <w:rFonts w:asciiTheme="majorHAnsi" w:hAnsiTheme="majorHAnsi" w:cs="Times New Roman" w:hint="eastAsia"/>
          <w:iCs/>
          <w:sz w:val="20"/>
          <w:szCs w:val="20"/>
        </w:rPr>
        <w:instrText>rs/local/8H0XTJlS/items/L97KY3A8"],"itemData":{"id":842,"type":"article-journal","abstract":"&lt;p&gt;The effect of three different diphenols including 1,1</w:instrText>
      </w:r>
      <w:r w:rsidR="005A0CF4">
        <w:rPr>
          <w:rFonts w:asciiTheme="majorHAnsi" w:hAnsiTheme="majorHAnsi" w:cs="Times New Roman" w:hint="eastAsia"/>
          <w:iCs/>
          <w:sz w:val="20"/>
          <w:szCs w:val="20"/>
        </w:rPr>
        <w:instrText>′</w:instrText>
      </w:r>
      <w:r w:rsidR="005A0CF4">
        <w:rPr>
          <w:rFonts w:asciiTheme="majorHAnsi" w:hAnsiTheme="majorHAnsi" w:cs="Times New Roman" w:hint="eastAsia"/>
          <w:iCs/>
          <w:sz w:val="20"/>
          <w:szCs w:val="20"/>
        </w:rPr>
        <w:instrText>-thiobis(2-naphthol) (TBN), 2,2</w:instrText>
      </w:r>
      <w:r w:rsidR="005A0CF4">
        <w:rPr>
          <w:rFonts w:asciiTheme="majorHAnsi" w:hAnsiTheme="majorHAnsi" w:cs="Times New Roman" w:hint="eastAsia"/>
          <w:iCs/>
          <w:sz w:val="20"/>
          <w:szCs w:val="20"/>
        </w:rPr>
        <w:instrText>′</w:instrText>
      </w:r>
      <w:r w:rsidR="005A0CF4">
        <w:rPr>
          <w:rFonts w:asciiTheme="majorHAnsi" w:hAnsiTheme="majorHAnsi" w:cs="Times New Roman" w:hint="eastAsia"/>
          <w:iCs/>
          <w:sz w:val="20"/>
          <w:szCs w:val="20"/>
        </w:rPr>
        <w:instrText>-thiobis(4-methyl phenol) (TBMP) and curcumin (CUR) used in the preparati</w:instrText>
      </w:r>
      <w:r w:rsidR="005A0CF4">
        <w:rPr>
          <w:rFonts w:asciiTheme="majorHAnsi" w:hAnsiTheme="majorHAnsi" w:cs="Times New Roman"/>
          <w:iCs/>
          <w:sz w:val="20"/>
          <w:szCs w:val="20"/>
        </w:rPr>
        <w:instrText xml:space="preserve">on of sulfonated poly(ether sulfide sulfone) (SPESS) on the mechanical, thermal, and morphological properties of polysulfone (PSf) membranes was studied. In this regard, the morphological characteristics of the nanoporous membranes were explored by developed image analyzer program. Based on the obtained results, PSf membrane modified by SPESS-TBN copolymer showed the best nominal tensile strength in comparison to the other samples with the value of 206 MPa. The optimum real tensile strength with the value of 322 MPa was observed for SPESS-TBMP membrane. It was found that the addition of SPESS, improved the mechanical and thermal properties as well as the performance of membranes. Inspections of scanning electron microscopic images for evaluation of the void properties of membranes revealed that there were 42.3, 8.76, 41.45 and 15.92% of void contents within the structures of neat PSf membrane, SPESS-CUR, SPESS-TBMP and SPESS-TBN, respectively. Moreover, some conceptual relations between morphological and mechanical properties were presented. Finally, the effect of the membrane chemical structure on the mechanical, thermal, and morphological properties was discussed in this study.&lt;/p&gt;","container-title":"High Performance Polymers","DOI":"10.1177/0954008316656742","ISSN":"0954-0083","issue":"7","page":"759-771","title":"Mechanical, thermal, and morphological properties of nanoporous reinforced polysulfone membranes","volume":"29","author":[{"family":"Pouresmaeel-Selkjani","given":"Peyman"},{"family":"Jahanshahi","given":"Mohsen"},{"family":"Peyravi","given":"Majid"}],"issued":{"date-parts":[["2017",9,21]]}}}],"schema":"https://github.com/citation-style-language/schema/raw/master/csl-citation.json"} </w:instrText>
      </w:r>
      <w:r w:rsidR="005A0CF4">
        <w:rPr>
          <w:rFonts w:asciiTheme="majorHAnsi" w:hAnsiTheme="majorHAnsi" w:cs="Times New Roman"/>
          <w:iCs/>
          <w:sz w:val="20"/>
          <w:szCs w:val="20"/>
        </w:rPr>
        <w:fldChar w:fldCharType="separate"/>
      </w:r>
      <w:r w:rsidR="005A0CF4" w:rsidRPr="005A0CF4">
        <w:rPr>
          <w:rFonts w:ascii="Cambria" w:hAnsi="Cambria"/>
          <w:sz w:val="20"/>
        </w:rPr>
        <w:t>(Pouresmaeel-Selkjani et al., 2017)</w:t>
      </w:r>
      <w:r w:rsidR="005A0CF4">
        <w:rPr>
          <w:rFonts w:asciiTheme="majorHAnsi" w:hAnsiTheme="majorHAnsi" w:cs="Times New Roman"/>
          <w:iCs/>
          <w:sz w:val="20"/>
          <w:szCs w:val="20"/>
        </w:rPr>
        <w:fldChar w:fldCharType="end"/>
      </w:r>
      <w:r w:rsidR="005A0CF4">
        <w:rPr>
          <w:rFonts w:asciiTheme="majorHAnsi" w:hAnsiTheme="majorHAnsi" w:cs="Times New Roman"/>
          <w:iCs/>
          <w:sz w:val="20"/>
          <w:szCs w:val="20"/>
        </w:rPr>
        <w:t>.</w:t>
      </w:r>
      <w:r w:rsidRPr="00D7466C">
        <w:rPr>
          <w:rFonts w:asciiTheme="majorHAnsi" w:hAnsiTheme="majorHAnsi" w:cs="Times New Roman"/>
          <w:iCs/>
          <w:sz w:val="20"/>
          <w:szCs w:val="20"/>
        </w:rPr>
        <w:t xml:space="preserve"> Graphene oxide (GO) is a graphite-derived material with a single layer – two-dimensional structure. Its use is very wide in numerous fields because it has a large specific surface area, transparency, conductive switching, and bioimaging </w:t>
      </w:r>
      <w:r w:rsidR="005A0CF4">
        <w:rPr>
          <w:rFonts w:asciiTheme="majorHAnsi" w:hAnsiTheme="majorHAnsi" w:cs="Times New Roman"/>
          <w:iCs/>
          <w:sz w:val="20"/>
          <w:szCs w:val="20"/>
        </w:rPr>
        <w:fldChar w:fldCharType="begin"/>
      </w:r>
      <w:r w:rsidR="005A0CF4">
        <w:rPr>
          <w:rFonts w:asciiTheme="majorHAnsi" w:hAnsiTheme="majorHAnsi" w:cs="Times New Roman"/>
          <w:iCs/>
          <w:sz w:val="20"/>
          <w:szCs w:val="20"/>
        </w:rPr>
        <w:instrText xml:space="preserve"> ADDIN ZOTERO_ITEM CSL_CITATION {"citationID":"DGOElU5i","properties":{"formattedCitation":"(Wang et al., 2017)","plainCitation":"(Wang et al., 2017)","noteIndex":0},"citationItems":[{"id":692,"uris":["http://zotero.org/users/local/8H0XTJlS/items/YY9NZZAC"],"itemData":{"id":692,"type":"article-journal","abstract":"The visible-light responsive photocatalyst was blended into the polysulfone (PSF) membrane casting solution to prepare photocatalytic Fe-doped TiO2/PSF composite ultrafiltration (UF) membranes by phase inversion method, while the photocatalyst was synthesized by hydrothermal method. Bisphenol A (BPA, at a concentration of 10 mg·L−1) was adopted to test the photocatalytic performance of catalysts and composite membranes. Different parameters that affected BPA removal were discussed, including metal variety, metal proportion, hydrothermal reaction time, temperature and catalyst ratio. The morphologies, photophysical and photochemical properties of catalysts and composite membranes were investigated using various microscopic and spectroscopic techniques. UV–Vis spectra displayed that the absorption of Fe-doped TiO2 (Fe-TiO2) extended into the visible region compared to TiO2, which was in accordance with its high BPA degradation rate of 92.30% within 180 min under visible-light irradiation. SEM images showed significant changes in cross-section morphologies of the composite membranes. The addition of photocatalyst enabled the composite membrane to possess visible-light photocatalysis and ultrafiltration simultaneously. The resulted composite membrane exhibited BPA removal rate of 90.78% within 180 min under visible-light irradiation, enhanced mechanical capacity and self-cleaning ability. Furthermore, the possible removal mechanism of BPA by photocatalytic composite membrane was proposed.","container-title":"Chemical Engineering Journal","DOI":"10.1016/j.cej.2017.02.145","ISSN":"13858947","note":"publisher: Elsevier B.V.","page":"39-47","title":"Photocatalytic Fe-doped TiO2/PSF composite UF membranes: Characterization and performance on BPA removal under visible-light irradiation","volume":"319","author":[{"family":"Wang","given":"Qiao"},{"family":"Yang","given":"Chunyan"},{"family":"Zhang","given":"Guangshan"},{"family":"Hu","given":"Limin"},{"family":"Wang","given":"Peng"}],"issued":{"date-parts":[["2017"]]}}}],"schema":"https://github.com/citation-style-language/schema/raw/master/csl-citation.json"} </w:instrText>
      </w:r>
      <w:r w:rsidR="005A0CF4">
        <w:rPr>
          <w:rFonts w:asciiTheme="majorHAnsi" w:hAnsiTheme="majorHAnsi" w:cs="Times New Roman"/>
          <w:iCs/>
          <w:sz w:val="20"/>
          <w:szCs w:val="20"/>
        </w:rPr>
        <w:fldChar w:fldCharType="separate"/>
      </w:r>
      <w:r w:rsidR="005A0CF4" w:rsidRPr="005A0CF4">
        <w:rPr>
          <w:rFonts w:ascii="Cambria" w:hAnsi="Cambria"/>
          <w:sz w:val="20"/>
        </w:rPr>
        <w:t>(Wang et al., 2017)</w:t>
      </w:r>
      <w:r w:rsidR="005A0CF4">
        <w:rPr>
          <w:rFonts w:asciiTheme="majorHAnsi" w:hAnsiTheme="majorHAnsi" w:cs="Times New Roman"/>
          <w:iCs/>
          <w:sz w:val="20"/>
          <w:szCs w:val="20"/>
        </w:rPr>
        <w:fldChar w:fldCharType="end"/>
      </w:r>
      <w:r w:rsidR="005A0CF4">
        <w:rPr>
          <w:rFonts w:asciiTheme="majorHAnsi" w:hAnsiTheme="majorHAnsi" w:cs="Times New Roman"/>
          <w:iCs/>
          <w:sz w:val="20"/>
          <w:szCs w:val="20"/>
        </w:rPr>
        <w:t>.</w:t>
      </w:r>
      <w:r w:rsidRPr="00D7466C">
        <w:rPr>
          <w:rFonts w:asciiTheme="majorHAnsi" w:hAnsiTheme="majorHAnsi" w:cs="Times New Roman"/>
          <w:iCs/>
          <w:sz w:val="20"/>
          <w:szCs w:val="20"/>
        </w:rPr>
        <w:t xml:space="preserve"> The use of GO as a nanofiller in membranes has been reported to have advantages such as being easily soluble in water or organic solvents and having high compatibility with polymeric and ceramic membranes </w:t>
      </w:r>
      <w:r w:rsidR="000C4F36">
        <w:rPr>
          <w:rFonts w:asciiTheme="majorHAnsi" w:hAnsiTheme="majorHAnsi" w:cs="Times New Roman"/>
          <w:iCs/>
          <w:sz w:val="20"/>
          <w:szCs w:val="20"/>
        </w:rPr>
        <w:fldChar w:fldCharType="begin"/>
      </w:r>
      <w:r w:rsidR="000C4F36">
        <w:rPr>
          <w:rFonts w:asciiTheme="majorHAnsi" w:hAnsiTheme="majorHAnsi" w:cs="Times New Roman"/>
          <w:iCs/>
          <w:sz w:val="20"/>
          <w:szCs w:val="20"/>
        </w:rPr>
        <w:instrText xml:space="preserve"> ADDIN ZOTERO_ITEM CSL_CITATION {"citationID":"4C8nm4Hh","properties":{"formattedCitation":"(Tutuk Djoko Kusworo et al., 2021)","plainCitation":"(Tutuk Djoko Kusworo et al., 2021)","noteIndex":0},"citationItems":[{"id":1017,"uris":["http://zotero.org/users/local/8H0XTJlS/items/4NSE7EBG"],"itemData":{"id":1017,"type":"article-journal","abstract":"The fouling formation on the membrane’s surface has limited the membrane-based separation in industrial ac­ tivities such as wastewater reclamation and seawater desalination. The nanomaterials’ incorporation has been developed to enhance membrane performance. In this study, the combination of graphene oxide (GO) and zinc oxide (ZnO) nanoparticles to PSf membrane to improve the membrane performances to treat the petroleum refinery wastewater (PRW) was performed. The SEM-EDX result shows the presence of both GO and ZnO nanoparticles on the membrane’s surface. They also produced the porosity of 83.00 ± 1.18 % for PSf/GO/ZnO, which was higher than the neat PSf with 52.20 ± 0.28 %. The FTIR and XRD result has confirmed the presence of GO and ZnO in the membrane that caused the increment in hydrophilicity and mechanical strength. The addition of GO and ZnO nanoparticles has reduced the water contact angle from 80◦ to 52◦ and increased water uptake ability from 16 % to 75 % compared to the neat PSf. It has also resulted in the highest permeate flux and pollutant removal compared to the other membranes with a maximum permeate flux of 35.03 L.m− 2.h− 1 and a rejection value 70.21 ± 2.33 % for total dissolved solids (TDS) and 74.68 ± 0.88 % for chemical oxygen demand (COD). The fouling resistance evaluation showed the addition of GO and ZnO nanoparticles successfully reduced the resistance during filtration, indicating a reduction in fouling tendency on the membrane’s surface. These phenomena are proven by the antifouling potential analysis at the addition of GO and ZnO nanoparticles was exhibited the highest flux recovery ratio up to 90.44 ± 1.22 %.","container-title":"Journal of Water Process Engineering","DOI":"10.1016/j.jwpe.2021.102030","ISSN":"22147144","journalAbbreviation":"Journal of Water Process Engineering","language":"en","page":"102030","source":"DOI.org (Crossref)","title":"Intensifying separation and antifouling performance of PSf membrane incorporated by GO and ZnO nanoparticles for petroleum refinery wastewater treatment","volume":"41","author":[{"family":"Kusworo","given":"Tutuk Djoko"},{"family":"Dalanta","given":"Febio"},{"family":"Aryanti","given":"Nita"},{"family":"Othman","given":"Nur Hidayati"}],"issued":{"date-parts":[["2021",6]]}}}],"schema":"https://github.com/citation-style-language/schema/raw/master/csl-citation.json"} </w:instrText>
      </w:r>
      <w:r w:rsidR="000C4F36">
        <w:rPr>
          <w:rFonts w:asciiTheme="majorHAnsi" w:hAnsiTheme="majorHAnsi" w:cs="Times New Roman"/>
          <w:iCs/>
          <w:sz w:val="20"/>
          <w:szCs w:val="20"/>
        </w:rPr>
        <w:fldChar w:fldCharType="separate"/>
      </w:r>
      <w:r w:rsidR="000C4F36" w:rsidRPr="000C4F36">
        <w:rPr>
          <w:rFonts w:ascii="Cambria" w:hAnsi="Cambria"/>
          <w:sz w:val="20"/>
        </w:rPr>
        <w:t>(Kusworo et al., 2021</w:t>
      </w:r>
      <w:r w:rsidR="000C4F36">
        <w:rPr>
          <w:rFonts w:ascii="Cambria" w:hAnsi="Cambria"/>
          <w:sz w:val="20"/>
        </w:rPr>
        <w:t>b</w:t>
      </w:r>
      <w:r w:rsidR="000C4F36" w:rsidRPr="000C4F36">
        <w:rPr>
          <w:rFonts w:ascii="Cambria" w:hAnsi="Cambria"/>
          <w:sz w:val="20"/>
        </w:rPr>
        <w:t>)</w:t>
      </w:r>
      <w:r w:rsidR="000C4F36">
        <w:rPr>
          <w:rFonts w:asciiTheme="majorHAnsi" w:hAnsiTheme="majorHAnsi" w:cs="Times New Roman"/>
          <w:iCs/>
          <w:sz w:val="20"/>
          <w:szCs w:val="20"/>
        </w:rPr>
        <w:fldChar w:fldCharType="end"/>
      </w:r>
      <w:r w:rsidR="000C4F36">
        <w:rPr>
          <w:rFonts w:asciiTheme="majorHAnsi" w:hAnsiTheme="majorHAnsi" w:cs="Times New Roman"/>
          <w:iCs/>
          <w:sz w:val="20"/>
          <w:szCs w:val="20"/>
        </w:rPr>
        <w:t xml:space="preserve">. </w:t>
      </w:r>
      <w:r w:rsidRPr="00D7466C">
        <w:rPr>
          <w:rFonts w:asciiTheme="majorHAnsi" w:hAnsiTheme="majorHAnsi" w:cs="Times New Roman"/>
          <w:iCs/>
          <w:sz w:val="20"/>
          <w:szCs w:val="20"/>
        </w:rPr>
        <w:t xml:space="preserve">The incorporation of GO into the polymer matrix is known to increase the hydrophilicity of the membrane due to the contribution of carboxyl and hydroxyl groups, thereby increasing the surface affinity of the membrane for water molecules </w:t>
      </w:r>
      <w:r w:rsidR="000C4F36">
        <w:rPr>
          <w:rFonts w:asciiTheme="majorHAnsi" w:hAnsiTheme="majorHAnsi" w:cs="Times New Roman"/>
          <w:iCs/>
          <w:sz w:val="20"/>
          <w:szCs w:val="20"/>
        </w:rPr>
        <w:fldChar w:fldCharType="begin"/>
      </w:r>
      <w:r w:rsidR="000C4F36">
        <w:rPr>
          <w:rFonts w:asciiTheme="majorHAnsi" w:hAnsiTheme="majorHAnsi" w:cs="Times New Roman"/>
          <w:iCs/>
          <w:sz w:val="20"/>
          <w:szCs w:val="20"/>
        </w:rPr>
        <w:instrText xml:space="preserve"> ADDIN ZOTERO_ITEM CSL_CITATION {"citationID":"LM5jyGlf","properties":{"formattedCitation":"(Du et al., 2020)","plainCitation":"(Du et al., 2020)","noteIndex":0},"citationItems":[{"id":653,"uris":["http://zotero.org/users/local/8H0XTJlS/items/SEG4F4IB"],"itemData":{"id":653,"type":"article-journal","abstract":"A novel composite membrane was prepared successfully by blending polyvinylidene fluoride (PVDF) with the synthesized graphene oxide-zinc sulfide (GO-ZnS) nanocomposites via phase inversion method. The dispersion of GO-ZnS and its effect on the performance of the PVDF membrane were investigated using the morphology, crystal structure and chemical composition of the composite PVDF membrane. With the content of GO-ZnS in the PVDF membrane increasing from 0 to 5.0 wt%, the contact angle declined continuously and thus the hydrophilicity of membrane increased after modification. Similarly, the pure water flux of GO-ZnS/PVDF membrane reached up to 431.9 L/(m2h) when 5.0 wt% GO-ZnS was blended. All membranes presented a high bovine serum albumin (BSA) removal and the rejection was about 86.5 %. More importantly, the GO-ZnS/PVDF membrane exhibited a smaller irreversible fouling ratio and a higher flux recovery rate, revealing that blending with GO-ZnS could improve the self-cleaning under UV irradiation and the antifouling properties of PVDF membrane.","container-title":"Journal of Photochemistry and Photobiology A: Chemistry","DOI":"10.1016/j.jphotochem.2020.112694","ISSN":"10106030","note":"publisher: Elsevier B.V.","title":"Preparation of PVDF membrane blended with graphene oxide-zinc sulfide (GO-ZnS) nanocomposite for improving the anti-fouling property","volume":"400","author":[{"family":"Du","given":"Jinying"},{"family":"Li","given":"Ning"},{"family":"Tian","given":"Yu"},{"family":"Zhang","given":"Jun"},{"family":"Zuo","given":"Wei"}],"issued":{"date-parts":[["2020",9,1]]}}}],"schema":"https://github.com/citation-style-language/schema/raw/master/csl-citation.json"} </w:instrText>
      </w:r>
      <w:r w:rsidR="000C4F36">
        <w:rPr>
          <w:rFonts w:asciiTheme="majorHAnsi" w:hAnsiTheme="majorHAnsi" w:cs="Times New Roman"/>
          <w:iCs/>
          <w:sz w:val="20"/>
          <w:szCs w:val="20"/>
        </w:rPr>
        <w:fldChar w:fldCharType="separate"/>
      </w:r>
      <w:r w:rsidR="000C4F36" w:rsidRPr="000C4F36">
        <w:rPr>
          <w:rFonts w:ascii="Cambria" w:hAnsi="Cambria"/>
          <w:sz w:val="20"/>
        </w:rPr>
        <w:t>(Du et al., 2020)</w:t>
      </w:r>
      <w:r w:rsidR="000C4F36">
        <w:rPr>
          <w:rFonts w:asciiTheme="majorHAnsi" w:hAnsiTheme="majorHAnsi" w:cs="Times New Roman"/>
          <w:iCs/>
          <w:sz w:val="20"/>
          <w:szCs w:val="20"/>
        </w:rPr>
        <w:fldChar w:fldCharType="end"/>
      </w:r>
      <w:r w:rsidR="000C4F36">
        <w:rPr>
          <w:rFonts w:asciiTheme="majorHAnsi" w:hAnsiTheme="majorHAnsi" w:cs="Times New Roman"/>
          <w:iCs/>
          <w:sz w:val="20"/>
          <w:szCs w:val="20"/>
        </w:rPr>
        <w:t>.</w:t>
      </w:r>
      <w:r w:rsidRPr="00D7466C">
        <w:rPr>
          <w:rFonts w:asciiTheme="majorHAnsi" w:hAnsiTheme="majorHAnsi" w:cs="Times New Roman"/>
          <w:iCs/>
          <w:sz w:val="20"/>
          <w:szCs w:val="20"/>
        </w:rPr>
        <w:t xml:space="preserve"> The potential for improving membrane performance due to GO nanofiller is the basis of this research, with the hope that it can be a breakthrough in efforts to handle batik wastewater in Indonesia. Many studies have been conducted to evaluate the effect of GO nanofiller in the membrane matrix on the characteristics, flux performance, and rejection. Further analysis regarding increased water uptake ability, antifouling potential, and membrane resistance in the membrane filtration process has not been widely studied. Therefore, this study not only evaluates the effect of adding GO into the </w:t>
      </w:r>
      <w:proofErr w:type="spellStart"/>
      <w:r w:rsidRPr="00D7466C">
        <w:rPr>
          <w:rFonts w:asciiTheme="majorHAnsi" w:hAnsiTheme="majorHAnsi" w:cs="Times New Roman"/>
          <w:iCs/>
          <w:sz w:val="20"/>
          <w:szCs w:val="20"/>
        </w:rPr>
        <w:t>polysulfone</w:t>
      </w:r>
      <w:proofErr w:type="spellEnd"/>
      <w:r w:rsidRPr="00D7466C">
        <w:rPr>
          <w:rFonts w:asciiTheme="majorHAnsi" w:hAnsiTheme="majorHAnsi" w:cs="Times New Roman"/>
          <w:iCs/>
          <w:sz w:val="20"/>
          <w:szCs w:val="20"/>
        </w:rPr>
        <w:t xml:space="preserve"> matrix on its basic characteristics, but also further discusses changes water uptake ability, antifouling potential, and membrane resistance in its application as batik wastewater treatment technology.</w:t>
      </w:r>
      <w:r w:rsidR="006F7896" w:rsidRPr="006F7896">
        <w:rPr>
          <w:rFonts w:asciiTheme="majorHAnsi" w:hAnsiTheme="majorHAnsi" w:cs="Times New Roman"/>
          <w:sz w:val="20"/>
          <w:szCs w:val="20"/>
        </w:rPr>
        <w:t xml:space="preserve"> </w:t>
      </w:r>
    </w:p>
    <w:p w14:paraId="76F1FA0B" w14:textId="77777777" w:rsidR="00FE018F" w:rsidRPr="00FC3B94" w:rsidRDefault="00FE018F" w:rsidP="00FE018F">
      <w:pPr>
        <w:spacing w:after="0" w:line="240" w:lineRule="auto"/>
        <w:ind w:firstLine="450"/>
        <w:contextualSpacing/>
        <w:jc w:val="both"/>
        <w:rPr>
          <w:rFonts w:asciiTheme="majorHAnsi" w:hAnsiTheme="majorHAnsi" w:cs="Times New Roman"/>
          <w:sz w:val="20"/>
          <w:szCs w:val="20"/>
        </w:rPr>
      </w:pPr>
    </w:p>
    <w:p w14:paraId="3C126923" w14:textId="77777777" w:rsidR="000673A4" w:rsidRDefault="00281426" w:rsidP="000673A4">
      <w:pPr>
        <w:spacing w:after="0" w:line="240" w:lineRule="auto"/>
        <w:contextualSpacing/>
        <w:jc w:val="both"/>
        <w:rPr>
          <w:rFonts w:asciiTheme="majorHAnsi" w:hAnsiTheme="majorHAnsi" w:cs="Times New Roman"/>
          <w:b/>
          <w:sz w:val="20"/>
          <w:szCs w:val="20"/>
        </w:rPr>
      </w:pPr>
      <w:r w:rsidRPr="00A764EA">
        <w:rPr>
          <w:rFonts w:asciiTheme="majorHAnsi" w:hAnsiTheme="majorHAnsi" w:cs="Times New Roman"/>
          <w:b/>
          <w:sz w:val="20"/>
          <w:szCs w:val="20"/>
        </w:rPr>
        <w:t xml:space="preserve">2. </w:t>
      </w:r>
      <w:r w:rsidR="00FE018F" w:rsidRPr="00FE018F">
        <w:rPr>
          <w:rFonts w:asciiTheme="majorHAnsi" w:hAnsiTheme="majorHAnsi" w:cs="Times New Roman"/>
          <w:b/>
          <w:sz w:val="20"/>
          <w:szCs w:val="20"/>
        </w:rPr>
        <w:t>Materials and Methods</w:t>
      </w:r>
    </w:p>
    <w:p w14:paraId="29584858" w14:textId="77777777" w:rsidR="00335CBC" w:rsidRPr="000673A4" w:rsidRDefault="00335CBC" w:rsidP="00335CBC">
      <w:pPr>
        <w:spacing w:after="0" w:line="240" w:lineRule="auto"/>
        <w:contextualSpacing/>
        <w:jc w:val="both"/>
        <w:rPr>
          <w:rFonts w:asciiTheme="majorHAnsi" w:hAnsiTheme="majorHAnsi" w:cs="Times New Roman"/>
          <w:b/>
          <w:sz w:val="20"/>
          <w:szCs w:val="20"/>
        </w:rPr>
      </w:pPr>
      <w:r>
        <w:rPr>
          <w:rFonts w:asciiTheme="majorHAnsi" w:eastAsia="MS PGothic" w:hAnsiTheme="majorHAnsi" w:cs="Times New Roman"/>
          <w:b/>
          <w:color w:val="000000" w:themeColor="text1"/>
          <w:sz w:val="20"/>
          <w:szCs w:val="20"/>
        </w:rPr>
        <w:t>2.</w:t>
      </w:r>
      <w:r w:rsidR="008630C0">
        <w:rPr>
          <w:rFonts w:asciiTheme="majorHAnsi" w:eastAsia="MS PGothic" w:hAnsiTheme="majorHAnsi" w:cs="Times New Roman"/>
          <w:b/>
          <w:color w:val="000000" w:themeColor="text1"/>
          <w:sz w:val="20"/>
          <w:szCs w:val="20"/>
        </w:rPr>
        <w:t>1</w:t>
      </w:r>
      <w:r>
        <w:rPr>
          <w:rFonts w:asciiTheme="majorHAnsi" w:eastAsia="MS PGothic" w:hAnsiTheme="majorHAnsi" w:cs="Times New Roman"/>
          <w:b/>
          <w:color w:val="000000" w:themeColor="text1"/>
          <w:sz w:val="20"/>
          <w:szCs w:val="20"/>
        </w:rPr>
        <w:t xml:space="preserve"> </w:t>
      </w:r>
      <w:r w:rsidR="00E2799A">
        <w:rPr>
          <w:rFonts w:asciiTheme="majorHAnsi" w:eastAsia="MS PGothic" w:hAnsiTheme="majorHAnsi" w:cs="Times New Roman"/>
          <w:b/>
          <w:bCs/>
          <w:color w:val="000000" w:themeColor="text1"/>
          <w:sz w:val="20"/>
          <w:szCs w:val="20"/>
        </w:rPr>
        <w:t>Materials</w:t>
      </w:r>
    </w:p>
    <w:p w14:paraId="3ADC2FA3" w14:textId="2796B42E" w:rsidR="009350BD" w:rsidRDefault="00D7466C" w:rsidP="008630C0">
      <w:pPr>
        <w:spacing w:after="0" w:line="240" w:lineRule="auto"/>
        <w:ind w:firstLine="426"/>
        <w:contextualSpacing/>
        <w:jc w:val="both"/>
        <w:rPr>
          <w:rFonts w:asciiTheme="majorHAnsi" w:hAnsiTheme="majorHAnsi" w:cs="Times New Roman"/>
          <w:sz w:val="20"/>
          <w:szCs w:val="20"/>
        </w:rPr>
      </w:pPr>
      <w:proofErr w:type="spellStart"/>
      <w:r w:rsidRPr="00D7466C">
        <w:rPr>
          <w:rFonts w:asciiTheme="majorHAnsi" w:hAnsiTheme="majorHAnsi" w:cs="Times New Roman"/>
          <w:sz w:val="20"/>
          <w:szCs w:val="20"/>
        </w:rPr>
        <w:t>Polysulfone</w:t>
      </w:r>
      <w:proofErr w:type="spellEnd"/>
      <w:r w:rsidRPr="00D7466C">
        <w:rPr>
          <w:rFonts w:asciiTheme="majorHAnsi" w:hAnsiTheme="majorHAnsi" w:cs="Times New Roman"/>
          <w:sz w:val="20"/>
          <w:szCs w:val="20"/>
        </w:rPr>
        <w:t xml:space="preserve"> pellets (</w:t>
      </w:r>
      <w:proofErr w:type="spellStart"/>
      <w:r w:rsidRPr="00D7466C">
        <w:rPr>
          <w:rFonts w:asciiTheme="majorHAnsi" w:hAnsiTheme="majorHAnsi" w:cs="Times New Roman"/>
          <w:sz w:val="20"/>
          <w:szCs w:val="20"/>
        </w:rPr>
        <w:t>PSf</w:t>
      </w:r>
      <w:proofErr w:type="spellEnd"/>
      <w:r w:rsidRPr="00D7466C">
        <w:rPr>
          <w:rFonts w:asciiTheme="majorHAnsi" w:hAnsiTheme="majorHAnsi" w:cs="Times New Roman"/>
          <w:sz w:val="20"/>
          <w:szCs w:val="20"/>
        </w:rPr>
        <w:t>, 99%, UDEL ® PSU P-1700 NT) as the main membrane material were obtained from Solvay Advance Materials, USA. Subsequently, N-methyl-2-</w:t>
      </w:r>
      <w:r w:rsidRPr="00D7466C">
        <w:rPr>
          <w:rFonts w:asciiTheme="majorHAnsi" w:hAnsiTheme="majorHAnsi" w:cs="Times New Roman"/>
          <w:sz w:val="20"/>
          <w:szCs w:val="20"/>
        </w:rPr>
        <w:t xml:space="preserve">pyrrolidone (NMP, 99%, Merck, Germany) was used as a solvent for </w:t>
      </w:r>
      <w:proofErr w:type="spellStart"/>
      <w:r w:rsidRPr="00D7466C">
        <w:rPr>
          <w:rFonts w:asciiTheme="majorHAnsi" w:hAnsiTheme="majorHAnsi" w:cs="Times New Roman"/>
          <w:sz w:val="20"/>
          <w:szCs w:val="20"/>
        </w:rPr>
        <w:t>PSf.</w:t>
      </w:r>
      <w:proofErr w:type="spellEnd"/>
      <w:r w:rsidRPr="00D7466C">
        <w:rPr>
          <w:rFonts w:asciiTheme="majorHAnsi" w:hAnsiTheme="majorHAnsi" w:cs="Times New Roman"/>
          <w:sz w:val="20"/>
          <w:szCs w:val="20"/>
        </w:rPr>
        <w:t xml:space="preserve"> Graphite powder (99.5%) as raw material for the preparation of graphene oxide (GO) was obtained from Shanghai Chemicals, China. Sulfuric acid (H2SO4, 98%) and potassium permanganate (KMnO4, 99%) as required materials for the manufacture of GO were obtained from Merck, Germany. The batik wastewater sample was obtained from the Kampung Batik Semarang, Central Java, Indonesia. Detailed information about the characteristics of the effluent is shown in Table 1. Deionized (DI) water was used in the chemical preparation step and during the experiment.</w:t>
      </w:r>
      <w:r w:rsidR="008630C0" w:rsidRPr="008630C0">
        <w:rPr>
          <w:rFonts w:asciiTheme="majorHAnsi" w:hAnsiTheme="majorHAnsi" w:cs="Times New Roman"/>
          <w:sz w:val="20"/>
          <w:szCs w:val="20"/>
        </w:rPr>
        <w:t xml:space="preserve"> </w:t>
      </w:r>
    </w:p>
    <w:p w14:paraId="2C1C47A0" w14:textId="77777777" w:rsidR="00E2799A" w:rsidRDefault="00E2799A" w:rsidP="002F6B50">
      <w:pPr>
        <w:spacing w:after="0" w:line="240" w:lineRule="auto"/>
        <w:contextualSpacing/>
        <w:jc w:val="both"/>
        <w:rPr>
          <w:rFonts w:asciiTheme="majorHAnsi" w:eastAsia="MS PGothic" w:hAnsiTheme="majorHAnsi" w:cs="Times New Roman"/>
          <w:b/>
          <w:color w:val="000000" w:themeColor="text1"/>
          <w:sz w:val="20"/>
          <w:szCs w:val="20"/>
        </w:rPr>
      </w:pPr>
    </w:p>
    <w:p w14:paraId="53F47C92" w14:textId="059E56CF" w:rsidR="002F6B50" w:rsidRDefault="002F6B50" w:rsidP="002F6B50">
      <w:pPr>
        <w:spacing w:after="0" w:line="240" w:lineRule="auto"/>
        <w:contextualSpacing/>
        <w:jc w:val="both"/>
        <w:rPr>
          <w:rFonts w:asciiTheme="majorHAnsi" w:eastAsia="MS PGothic" w:hAnsiTheme="majorHAnsi" w:cs="Times New Roman"/>
          <w:b/>
          <w:color w:val="000000" w:themeColor="text1"/>
          <w:sz w:val="20"/>
          <w:szCs w:val="20"/>
        </w:rPr>
      </w:pPr>
      <w:r>
        <w:rPr>
          <w:rFonts w:asciiTheme="majorHAnsi" w:eastAsia="MS PGothic" w:hAnsiTheme="majorHAnsi" w:cs="Times New Roman"/>
          <w:b/>
          <w:color w:val="000000" w:themeColor="text1"/>
          <w:sz w:val="20"/>
          <w:szCs w:val="20"/>
        </w:rPr>
        <w:t>2.</w:t>
      </w:r>
      <w:r w:rsidR="008630C0">
        <w:rPr>
          <w:rFonts w:asciiTheme="majorHAnsi" w:eastAsia="MS PGothic" w:hAnsiTheme="majorHAnsi" w:cs="Times New Roman"/>
          <w:b/>
          <w:color w:val="000000" w:themeColor="text1"/>
          <w:sz w:val="20"/>
          <w:szCs w:val="20"/>
        </w:rPr>
        <w:t>2</w:t>
      </w:r>
      <w:r>
        <w:rPr>
          <w:rFonts w:asciiTheme="majorHAnsi" w:eastAsia="MS PGothic" w:hAnsiTheme="majorHAnsi" w:cs="Times New Roman"/>
          <w:b/>
          <w:color w:val="000000" w:themeColor="text1"/>
          <w:sz w:val="20"/>
          <w:szCs w:val="20"/>
        </w:rPr>
        <w:t xml:space="preserve"> </w:t>
      </w:r>
      <w:r w:rsidR="00D7466C" w:rsidRPr="00D7466C">
        <w:rPr>
          <w:rFonts w:asciiTheme="majorHAnsi" w:eastAsia="MS PGothic" w:hAnsiTheme="majorHAnsi" w:cs="Times New Roman"/>
          <w:b/>
          <w:color w:val="000000" w:themeColor="text1"/>
          <w:sz w:val="20"/>
          <w:szCs w:val="20"/>
        </w:rPr>
        <w:t>Characterization of batik wastewater</w:t>
      </w:r>
    </w:p>
    <w:p w14:paraId="3F29EB47" w14:textId="4C64A3F3" w:rsidR="00D7466C" w:rsidRDefault="00D7466C" w:rsidP="008630C0">
      <w:pPr>
        <w:spacing w:after="0" w:line="240" w:lineRule="auto"/>
        <w:ind w:firstLine="426"/>
        <w:contextualSpacing/>
        <w:jc w:val="both"/>
        <w:rPr>
          <w:rFonts w:asciiTheme="majorHAnsi" w:hAnsiTheme="majorHAnsi" w:cs="Times New Roman"/>
          <w:bCs/>
          <w:sz w:val="20"/>
          <w:szCs w:val="20"/>
        </w:rPr>
      </w:pPr>
      <w:r w:rsidRPr="00D7466C">
        <w:rPr>
          <w:rFonts w:asciiTheme="majorHAnsi" w:hAnsiTheme="majorHAnsi" w:cs="Times New Roman"/>
          <w:bCs/>
          <w:sz w:val="20"/>
          <w:szCs w:val="20"/>
        </w:rPr>
        <w:t xml:space="preserve">The initial characterization of batik wastewater was carried out to determine the parameters of the wastewater content. Several parameters were measured such as physical appearance, pH using a pH meter (Y98, China) and total dissolved solids using a TDS meter (E-01, China). The dye concentration was analyzed using the spectrophotometric method </w:t>
      </w:r>
      <w:r w:rsidR="000C4F36">
        <w:rPr>
          <w:rFonts w:asciiTheme="majorHAnsi" w:hAnsiTheme="majorHAnsi" w:cs="Times New Roman"/>
          <w:bCs/>
          <w:sz w:val="20"/>
          <w:szCs w:val="20"/>
        </w:rPr>
        <w:fldChar w:fldCharType="begin"/>
      </w:r>
      <w:r w:rsidR="000C4F36">
        <w:rPr>
          <w:rFonts w:asciiTheme="majorHAnsi" w:hAnsiTheme="majorHAnsi" w:cs="Times New Roman"/>
          <w:bCs/>
          <w:sz w:val="20"/>
          <w:szCs w:val="20"/>
        </w:rPr>
        <w:instrText xml:space="preserve"> ADDIN ZOTERO_ITEM CSL_CITATION {"citationID":"fg1cKuBK","properties":{"formattedCitation":"(Triyati, 1985)","plainCitation":"(Triyati, 1985)","noteIndex":0},"citationItems":[{"id":360,"uris":["http://zotero.org/users/local/8H0XTJlS/items/ADYQVVIG"],"itemData":{"id":360,"type":"article-journal","abstract":"ULTRA VIOLET AND VISIBLE SPECTROPHOTOMETER AND ITS APPLICATION IN OCEANOLOGY. Ultra violet and visible spectrophotometer is one of the practical instrument which is able to detect the biological and chemical characteristics of sea water. The principle mechanism of this instrument is based on the light absorption by a solution at certain wave length. This paper describes the instrument and gives notes on the application in the field of oceanology, such as primary productivity, nutrients, suspended solid and sediment load.","issue":"1","language":"id","page":"9","title":"SPEKTROFOTOMETER ULTRA-VIOLET DAN SINAR TAMPAK SERTA APLIKASINYA DALAM OSEANOLOGI","author":[{"family":"Triyati","given":"Etty"}],"issued":{"date-parts":[["1985"]]}}}],"schema":"https://github.com/citation-style-language/schema/raw/master/csl-citation.json"} </w:instrText>
      </w:r>
      <w:r w:rsidR="000C4F36">
        <w:rPr>
          <w:rFonts w:asciiTheme="majorHAnsi" w:hAnsiTheme="majorHAnsi" w:cs="Times New Roman"/>
          <w:bCs/>
          <w:sz w:val="20"/>
          <w:szCs w:val="20"/>
        </w:rPr>
        <w:fldChar w:fldCharType="separate"/>
      </w:r>
      <w:r w:rsidR="000C4F36" w:rsidRPr="000C4F36">
        <w:rPr>
          <w:rFonts w:ascii="Cambria" w:hAnsi="Cambria"/>
          <w:sz w:val="20"/>
        </w:rPr>
        <w:t>(Triyati, 1985)</w:t>
      </w:r>
      <w:r w:rsidR="000C4F36">
        <w:rPr>
          <w:rFonts w:asciiTheme="majorHAnsi" w:hAnsiTheme="majorHAnsi" w:cs="Times New Roman"/>
          <w:bCs/>
          <w:sz w:val="20"/>
          <w:szCs w:val="20"/>
        </w:rPr>
        <w:fldChar w:fldCharType="end"/>
      </w:r>
      <w:r w:rsidR="000C4F36">
        <w:rPr>
          <w:rFonts w:asciiTheme="majorHAnsi" w:hAnsiTheme="majorHAnsi" w:cs="Times New Roman"/>
          <w:bCs/>
          <w:sz w:val="20"/>
          <w:szCs w:val="20"/>
        </w:rPr>
        <w:t xml:space="preserve">. </w:t>
      </w:r>
      <w:r w:rsidRPr="00D7466C">
        <w:rPr>
          <w:rFonts w:asciiTheme="majorHAnsi" w:hAnsiTheme="majorHAnsi" w:cs="Times New Roman"/>
          <w:bCs/>
          <w:sz w:val="20"/>
          <w:szCs w:val="20"/>
        </w:rPr>
        <w:t>Table 1. shows the initial characteristics of batik wastewater.</w:t>
      </w:r>
    </w:p>
    <w:p w14:paraId="2646113F" w14:textId="0FC43ECC" w:rsidR="00D7466C" w:rsidRPr="003D4D3C" w:rsidRDefault="00D7466C" w:rsidP="00D7466C">
      <w:pPr>
        <w:spacing w:after="0" w:line="240" w:lineRule="auto"/>
        <w:contextualSpacing/>
        <w:jc w:val="center"/>
        <w:rPr>
          <w:rFonts w:asciiTheme="majorHAnsi" w:hAnsiTheme="majorHAnsi" w:cs="Times New Roman"/>
          <w:sz w:val="20"/>
          <w:szCs w:val="20"/>
        </w:rPr>
      </w:pPr>
      <w:r w:rsidRPr="003D4D3C">
        <w:rPr>
          <w:rFonts w:asciiTheme="majorHAnsi" w:hAnsiTheme="majorHAnsi" w:cs="Times New Roman"/>
          <w:sz w:val="20"/>
          <w:szCs w:val="20"/>
        </w:rPr>
        <w:t xml:space="preserve">Table 1. </w:t>
      </w:r>
      <w:r w:rsidRPr="00D7466C">
        <w:rPr>
          <w:rFonts w:asciiTheme="majorHAnsi" w:hAnsiTheme="majorHAnsi" w:cs="Times New Roman"/>
          <w:sz w:val="20"/>
          <w:szCs w:val="20"/>
        </w:rPr>
        <w:t>Initial characteristics of batik wastewater</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2162"/>
        <w:gridCol w:w="693"/>
        <w:gridCol w:w="1744"/>
      </w:tblGrid>
      <w:tr w:rsidR="00D7466C" w:rsidRPr="003D4D3C" w14:paraId="24E81AE8" w14:textId="77777777" w:rsidTr="00D7466C">
        <w:trPr>
          <w:jc w:val="center"/>
        </w:trPr>
        <w:tc>
          <w:tcPr>
            <w:tcW w:w="501" w:type="pct"/>
            <w:tcBorders>
              <w:top w:val="single" w:sz="4" w:space="0" w:color="auto"/>
              <w:bottom w:val="single" w:sz="4" w:space="0" w:color="auto"/>
            </w:tcBorders>
          </w:tcPr>
          <w:p w14:paraId="350E71BB" w14:textId="2ADAB7AE" w:rsidR="00D7466C" w:rsidRPr="00D7466C" w:rsidRDefault="00D7466C" w:rsidP="00D7466C">
            <w:pPr>
              <w:contextualSpacing/>
              <w:jc w:val="center"/>
              <w:rPr>
                <w:rFonts w:asciiTheme="majorHAnsi" w:hAnsiTheme="majorHAnsi"/>
                <w:sz w:val="20"/>
                <w:szCs w:val="20"/>
              </w:rPr>
            </w:pPr>
            <w:r>
              <w:rPr>
                <w:rFonts w:asciiTheme="majorHAnsi" w:hAnsiTheme="majorHAnsi"/>
                <w:sz w:val="20"/>
                <w:szCs w:val="20"/>
              </w:rPr>
              <w:t>No.</w:t>
            </w:r>
          </w:p>
        </w:tc>
        <w:tc>
          <w:tcPr>
            <w:tcW w:w="2114" w:type="pct"/>
            <w:tcBorders>
              <w:top w:val="single" w:sz="4" w:space="0" w:color="auto"/>
              <w:bottom w:val="single" w:sz="4" w:space="0" w:color="auto"/>
            </w:tcBorders>
          </w:tcPr>
          <w:p w14:paraId="33671EF0" w14:textId="2F50425B"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Parameter</w:t>
            </w:r>
          </w:p>
        </w:tc>
        <w:tc>
          <w:tcPr>
            <w:tcW w:w="678" w:type="pct"/>
            <w:tcBorders>
              <w:top w:val="single" w:sz="4" w:space="0" w:color="auto"/>
              <w:bottom w:val="single" w:sz="4" w:space="0" w:color="auto"/>
            </w:tcBorders>
          </w:tcPr>
          <w:p w14:paraId="161ABAC7" w14:textId="26888513"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Unit</w:t>
            </w:r>
          </w:p>
        </w:tc>
        <w:tc>
          <w:tcPr>
            <w:tcW w:w="1706" w:type="pct"/>
            <w:tcBorders>
              <w:top w:val="single" w:sz="4" w:space="0" w:color="auto"/>
              <w:bottom w:val="single" w:sz="4" w:space="0" w:color="auto"/>
            </w:tcBorders>
          </w:tcPr>
          <w:p w14:paraId="1A7C12C0" w14:textId="5E65F74D"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Value</w:t>
            </w:r>
          </w:p>
        </w:tc>
      </w:tr>
      <w:tr w:rsidR="00D7466C" w:rsidRPr="003D4D3C" w14:paraId="2BB97511" w14:textId="77777777" w:rsidTr="00D7466C">
        <w:trPr>
          <w:jc w:val="center"/>
        </w:trPr>
        <w:tc>
          <w:tcPr>
            <w:tcW w:w="501" w:type="pct"/>
            <w:tcBorders>
              <w:top w:val="single" w:sz="4" w:space="0" w:color="auto"/>
              <w:bottom w:val="nil"/>
            </w:tcBorders>
          </w:tcPr>
          <w:p w14:paraId="26972B02" w14:textId="7907B880" w:rsidR="00D7466C" w:rsidRPr="00D7466C" w:rsidRDefault="00D7466C" w:rsidP="00D7466C">
            <w:pPr>
              <w:contextualSpacing/>
              <w:jc w:val="center"/>
              <w:rPr>
                <w:rFonts w:asciiTheme="majorHAnsi" w:hAnsiTheme="majorHAnsi"/>
                <w:sz w:val="20"/>
                <w:szCs w:val="20"/>
              </w:rPr>
            </w:pPr>
            <w:r>
              <w:rPr>
                <w:rFonts w:asciiTheme="majorHAnsi" w:hAnsiTheme="majorHAnsi"/>
                <w:sz w:val="20"/>
                <w:szCs w:val="20"/>
              </w:rPr>
              <w:t>1</w:t>
            </w:r>
          </w:p>
        </w:tc>
        <w:tc>
          <w:tcPr>
            <w:tcW w:w="2114" w:type="pct"/>
            <w:tcBorders>
              <w:top w:val="single" w:sz="4" w:space="0" w:color="auto"/>
              <w:bottom w:val="nil"/>
            </w:tcBorders>
          </w:tcPr>
          <w:p w14:paraId="66E9A6EB" w14:textId="062DD027"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Appearance</w:t>
            </w:r>
          </w:p>
        </w:tc>
        <w:tc>
          <w:tcPr>
            <w:tcW w:w="678" w:type="pct"/>
            <w:tcBorders>
              <w:top w:val="single" w:sz="4" w:space="0" w:color="auto"/>
              <w:bottom w:val="nil"/>
            </w:tcBorders>
          </w:tcPr>
          <w:p w14:paraId="459E9C01" w14:textId="13731EA2"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w:t>
            </w:r>
          </w:p>
        </w:tc>
        <w:tc>
          <w:tcPr>
            <w:tcW w:w="1706" w:type="pct"/>
            <w:tcBorders>
              <w:top w:val="single" w:sz="4" w:space="0" w:color="auto"/>
              <w:bottom w:val="nil"/>
            </w:tcBorders>
          </w:tcPr>
          <w:p w14:paraId="37B16697" w14:textId="426AEA5E"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Green-blue</w:t>
            </w:r>
          </w:p>
        </w:tc>
      </w:tr>
      <w:tr w:rsidR="00D7466C" w:rsidRPr="003D4D3C" w14:paraId="7645AEAD" w14:textId="77777777" w:rsidTr="00D7466C">
        <w:trPr>
          <w:jc w:val="center"/>
        </w:trPr>
        <w:tc>
          <w:tcPr>
            <w:tcW w:w="501" w:type="pct"/>
            <w:tcBorders>
              <w:top w:val="nil"/>
              <w:bottom w:val="nil"/>
            </w:tcBorders>
          </w:tcPr>
          <w:p w14:paraId="595FDE02" w14:textId="150B488D" w:rsidR="00D7466C" w:rsidRPr="00D7466C" w:rsidRDefault="00D7466C" w:rsidP="00D7466C">
            <w:pPr>
              <w:contextualSpacing/>
              <w:jc w:val="center"/>
              <w:rPr>
                <w:rFonts w:asciiTheme="majorHAnsi" w:hAnsiTheme="majorHAnsi"/>
                <w:sz w:val="20"/>
                <w:szCs w:val="20"/>
              </w:rPr>
            </w:pPr>
            <w:r>
              <w:rPr>
                <w:rFonts w:asciiTheme="majorHAnsi" w:hAnsiTheme="majorHAnsi"/>
                <w:sz w:val="20"/>
                <w:szCs w:val="20"/>
              </w:rPr>
              <w:t>2</w:t>
            </w:r>
          </w:p>
        </w:tc>
        <w:tc>
          <w:tcPr>
            <w:tcW w:w="2114" w:type="pct"/>
            <w:tcBorders>
              <w:top w:val="nil"/>
              <w:bottom w:val="nil"/>
            </w:tcBorders>
          </w:tcPr>
          <w:p w14:paraId="35CD27E4" w14:textId="1059A01B"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TDS</w:t>
            </w:r>
          </w:p>
        </w:tc>
        <w:tc>
          <w:tcPr>
            <w:tcW w:w="678" w:type="pct"/>
            <w:tcBorders>
              <w:top w:val="nil"/>
              <w:bottom w:val="nil"/>
            </w:tcBorders>
          </w:tcPr>
          <w:p w14:paraId="1A802A80" w14:textId="1EE4202E"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ppm</w:t>
            </w:r>
          </w:p>
        </w:tc>
        <w:tc>
          <w:tcPr>
            <w:tcW w:w="1706" w:type="pct"/>
            <w:tcBorders>
              <w:top w:val="nil"/>
              <w:bottom w:val="nil"/>
            </w:tcBorders>
          </w:tcPr>
          <w:p w14:paraId="41EB2DB7" w14:textId="30B3386A"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530 ± 2.5</w:t>
            </w:r>
          </w:p>
        </w:tc>
      </w:tr>
      <w:tr w:rsidR="00D7466C" w:rsidRPr="003D4D3C" w14:paraId="38C44947" w14:textId="77777777" w:rsidTr="00D7466C">
        <w:trPr>
          <w:jc w:val="center"/>
        </w:trPr>
        <w:tc>
          <w:tcPr>
            <w:tcW w:w="501" w:type="pct"/>
            <w:tcBorders>
              <w:top w:val="nil"/>
              <w:bottom w:val="nil"/>
            </w:tcBorders>
          </w:tcPr>
          <w:p w14:paraId="7BBDBA0C" w14:textId="6CEB13A0" w:rsidR="00D7466C" w:rsidRPr="00D7466C" w:rsidRDefault="00D7466C" w:rsidP="00D7466C">
            <w:pPr>
              <w:contextualSpacing/>
              <w:jc w:val="center"/>
              <w:rPr>
                <w:rFonts w:asciiTheme="majorHAnsi" w:hAnsiTheme="majorHAnsi"/>
                <w:sz w:val="20"/>
                <w:szCs w:val="20"/>
              </w:rPr>
            </w:pPr>
            <w:r>
              <w:rPr>
                <w:rFonts w:asciiTheme="majorHAnsi" w:hAnsiTheme="majorHAnsi"/>
                <w:sz w:val="20"/>
                <w:szCs w:val="20"/>
              </w:rPr>
              <w:t>3</w:t>
            </w:r>
          </w:p>
        </w:tc>
        <w:tc>
          <w:tcPr>
            <w:tcW w:w="2114" w:type="pct"/>
            <w:tcBorders>
              <w:top w:val="nil"/>
              <w:bottom w:val="nil"/>
            </w:tcBorders>
          </w:tcPr>
          <w:p w14:paraId="32983F2E" w14:textId="4DD4E764"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Dye concentration</w:t>
            </w:r>
          </w:p>
        </w:tc>
        <w:tc>
          <w:tcPr>
            <w:tcW w:w="678" w:type="pct"/>
            <w:tcBorders>
              <w:top w:val="nil"/>
              <w:bottom w:val="nil"/>
            </w:tcBorders>
          </w:tcPr>
          <w:p w14:paraId="15BC8FF2" w14:textId="09AA583D"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ppm</w:t>
            </w:r>
          </w:p>
        </w:tc>
        <w:tc>
          <w:tcPr>
            <w:tcW w:w="1706" w:type="pct"/>
            <w:tcBorders>
              <w:top w:val="nil"/>
              <w:bottom w:val="nil"/>
            </w:tcBorders>
          </w:tcPr>
          <w:p w14:paraId="7DEAEE48" w14:textId="6707C525"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513.5 ± 2.6</w:t>
            </w:r>
          </w:p>
        </w:tc>
      </w:tr>
      <w:tr w:rsidR="00D7466C" w:rsidRPr="003D4D3C" w14:paraId="5658BB1C" w14:textId="77777777" w:rsidTr="00D7466C">
        <w:trPr>
          <w:jc w:val="center"/>
        </w:trPr>
        <w:tc>
          <w:tcPr>
            <w:tcW w:w="501" w:type="pct"/>
            <w:tcBorders>
              <w:top w:val="nil"/>
              <w:bottom w:val="single" w:sz="4" w:space="0" w:color="auto"/>
            </w:tcBorders>
          </w:tcPr>
          <w:p w14:paraId="1F61AB1A" w14:textId="115CC921" w:rsidR="00D7466C" w:rsidRPr="00D7466C" w:rsidRDefault="00D7466C" w:rsidP="00D7466C">
            <w:pPr>
              <w:contextualSpacing/>
              <w:jc w:val="center"/>
              <w:rPr>
                <w:rFonts w:asciiTheme="majorHAnsi" w:hAnsiTheme="majorHAnsi"/>
                <w:sz w:val="20"/>
                <w:szCs w:val="20"/>
              </w:rPr>
            </w:pPr>
            <w:r>
              <w:rPr>
                <w:rFonts w:asciiTheme="majorHAnsi" w:hAnsiTheme="majorHAnsi"/>
                <w:sz w:val="20"/>
                <w:szCs w:val="20"/>
              </w:rPr>
              <w:t>4</w:t>
            </w:r>
          </w:p>
        </w:tc>
        <w:tc>
          <w:tcPr>
            <w:tcW w:w="2114" w:type="pct"/>
            <w:tcBorders>
              <w:top w:val="nil"/>
              <w:bottom w:val="single" w:sz="4" w:space="0" w:color="auto"/>
            </w:tcBorders>
          </w:tcPr>
          <w:p w14:paraId="634E9B1F" w14:textId="38974C94"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pH</w:t>
            </w:r>
          </w:p>
        </w:tc>
        <w:tc>
          <w:tcPr>
            <w:tcW w:w="678" w:type="pct"/>
            <w:tcBorders>
              <w:top w:val="nil"/>
              <w:bottom w:val="single" w:sz="4" w:space="0" w:color="auto"/>
            </w:tcBorders>
          </w:tcPr>
          <w:p w14:paraId="59A1E2C8" w14:textId="4A5D0229"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w:t>
            </w:r>
          </w:p>
        </w:tc>
        <w:tc>
          <w:tcPr>
            <w:tcW w:w="1706" w:type="pct"/>
            <w:tcBorders>
              <w:top w:val="nil"/>
              <w:bottom w:val="single" w:sz="4" w:space="0" w:color="auto"/>
            </w:tcBorders>
          </w:tcPr>
          <w:p w14:paraId="3285E96D" w14:textId="6D28C565" w:rsidR="00D7466C" w:rsidRPr="00D7466C" w:rsidRDefault="00D7466C" w:rsidP="00D7466C">
            <w:pPr>
              <w:contextualSpacing/>
              <w:jc w:val="center"/>
              <w:rPr>
                <w:rFonts w:asciiTheme="majorHAnsi" w:hAnsiTheme="majorHAnsi" w:cs="Times New Roman"/>
                <w:sz w:val="20"/>
                <w:szCs w:val="20"/>
              </w:rPr>
            </w:pPr>
            <w:r w:rsidRPr="00D7466C">
              <w:rPr>
                <w:rFonts w:asciiTheme="majorHAnsi" w:hAnsiTheme="majorHAnsi"/>
                <w:sz w:val="20"/>
                <w:szCs w:val="20"/>
              </w:rPr>
              <w:t>7,6 ± 0.08</w:t>
            </w:r>
          </w:p>
        </w:tc>
      </w:tr>
    </w:tbl>
    <w:p w14:paraId="0F4ADBFF" w14:textId="77777777" w:rsidR="008630C0" w:rsidRPr="00FE018F" w:rsidRDefault="008630C0" w:rsidP="00FE018F">
      <w:pPr>
        <w:spacing w:after="0" w:line="240" w:lineRule="auto"/>
        <w:ind w:firstLine="426"/>
        <w:contextualSpacing/>
        <w:jc w:val="both"/>
        <w:rPr>
          <w:rFonts w:asciiTheme="majorHAnsi" w:hAnsiTheme="majorHAnsi" w:cs="Times New Roman"/>
          <w:sz w:val="20"/>
          <w:szCs w:val="20"/>
          <w:lang w:val="en-CA"/>
        </w:rPr>
      </w:pPr>
    </w:p>
    <w:p w14:paraId="45E6815B" w14:textId="7354F7AA" w:rsidR="00FE018F" w:rsidRPr="00FE018F" w:rsidRDefault="00FE018F" w:rsidP="00FE018F">
      <w:pPr>
        <w:spacing w:after="0" w:line="240" w:lineRule="auto"/>
        <w:contextualSpacing/>
        <w:jc w:val="both"/>
        <w:rPr>
          <w:rFonts w:asciiTheme="majorHAnsi" w:hAnsiTheme="majorHAnsi" w:cs="Times New Roman"/>
          <w:b/>
          <w:sz w:val="20"/>
          <w:szCs w:val="20"/>
          <w:lang w:val="en-CA"/>
        </w:rPr>
      </w:pPr>
      <w:r>
        <w:rPr>
          <w:rFonts w:asciiTheme="majorHAnsi" w:hAnsiTheme="majorHAnsi" w:cs="Times New Roman"/>
          <w:b/>
          <w:sz w:val="20"/>
          <w:szCs w:val="20"/>
          <w:lang w:val="en-CA"/>
        </w:rPr>
        <w:t>2.</w:t>
      </w:r>
      <w:r w:rsidR="008630C0">
        <w:rPr>
          <w:rFonts w:asciiTheme="majorHAnsi" w:hAnsiTheme="majorHAnsi" w:cs="Times New Roman"/>
          <w:b/>
          <w:sz w:val="20"/>
          <w:szCs w:val="20"/>
          <w:lang w:val="en-CA"/>
        </w:rPr>
        <w:t>3</w:t>
      </w:r>
      <w:r w:rsidRPr="00FE018F">
        <w:rPr>
          <w:rFonts w:asciiTheme="majorHAnsi" w:hAnsiTheme="majorHAnsi" w:cs="Times New Roman"/>
          <w:b/>
          <w:sz w:val="20"/>
          <w:szCs w:val="20"/>
          <w:lang w:val="en-CA"/>
        </w:rPr>
        <w:t xml:space="preserve"> </w:t>
      </w:r>
      <w:r w:rsidR="00D7466C" w:rsidRPr="00D7466C">
        <w:rPr>
          <w:rFonts w:asciiTheme="majorHAnsi" w:hAnsiTheme="majorHAnsi" w:cs="Times New Roman"/>
          <w:b/>
          <w:sz w:val="20"/>
          <w:szCs w:val="20"/>
          <w:lang w:val="en-CA"/>
        </w:rPr>
        <w:t xml:space="preserve">Fabrication of </w:t>
      </w:r>
      <w:proofErr w:type="spellStart"/>
      <w:r w:rsidR="00D7466C" w:rsidRPr="00D7466C">
        <w:rPr>
          <w:rFonts w:asciiTheme="majorHAnsi" w:hAnsiTheme="majorHAnsi" w:cs="Times New Roman"/>
          <w:b/>
          <w:sz w:val="20"/>
          <w:szCs w:val="20"/>
          <w:lang w:val="en-CA"/>
        </w:rPr>
        <w:t>PSf</w:t>
      </w:r>
      <w:proofErr w:type="spellEnd"/>
      <w:r w:rsidR="00D7466C" w:rsidRPr="00D7466C">
        <w:rPr>
          <w:rFonts w:asciiTheme="majorHAnsi" w:hAnsiTheme="majorHAnsi" w:cs="Times New Roman"/>
          <w:b/>
          <w:sz w:val="20"/>
          <w:szCs w:val="20"/>
          <w:lang w:val="en-CA"/>
        </w:rPr>
        <w:t>/GO membrane</w:t>
      </w:r>
    </w:p>
    <w:p w14:paraId="36FD50FB" w14:textId="49A8AF7F" w:rsidR="008630C0" w:rsidRPr="008630C0" w:rsidRDefault="00D7466C" w:rsidP="008630C0">
      <w:pPr>
        <w:spacing w:after="0" w:line="240" w:lineRule="auto"/>
        <w:ind w:firstLine="426"/>
        <w:contextualSpacing/>
        <w:jc w:val="both"/>
        <w:rPr>
          <w:rFonts w:asciiTheme="majorHAnsi" w:hAnsiTheme="majorHAnsi" w:cs="Times New Roman"/>
          <w:bCs/>
          <w:sz w:val="20"/>
          <w:szCs w:val="20"/>
        </w:rPr>
      </w:pPr>
      <w:proofErr w:type="spellStart"/>
      <w:r w:rsidRPr="00D7466C">
        <w:rPr>
          <w:rFonts w:asciiTheme="majorHAnsi" w:hAnsiTheme="majorHAnsi" w:cs="Times New Roman"/>
          <w:bCs/>
          <w:sz w:val="20"/>
          <w:szCs w:val="20"/>
        </w:rPr>
        <w:t>PSf</w:t>
      </w:r>
      <w:proofErr w:type="spellEnd"/>
      <w:r w:rsidRPr="00D7466C">
        <w:rPr>
          <w:rFonts w:asciiTheme="majorHAnsi" w:hAnsiTheme="majorHAnsi" w:cs="Times New Roman"/>
          <w:bCs/>
          <w:sz w:val="20"/>
          <w:szCs w:val="20"/>
        </w:rPr>
        <w:t xml:space="preserve">/GO nanohybrid membranes were synthesized by the non-induced phase separation (NIPS) method. A certain amount of synthesized GO powder was prepared, i.e. 2 </w:t>
      </w:r>
      <w:proofErr w:type="spellStart"/>
      <w:r w:rsidRPr="00D7466C">
        <w:rPr>
          <w:rFonts w:asciiTheme="majorHAnsi" w:hAnsiTheme="majorHAnsi" w:cs="Times New Roman"/>
          <w:bCs/>
          <w:sz w:val="20"/>
          <w:szCs w:val="20"/>
        </w:rPr>
        <w:t>wt</w:t>
      </w:r>
      <w:proofErr w:type="spellEnd"/>
      <w:r w:rsidRPr="00D7466C">
        <w:rPr>
          <w:rFonts w:asciiTheme="majorHAnsi" w:hAnsiTheme="majorHAnsi" w:cs="Times New Roman"/>
          <w:bCs/>
          <w:sz w:val="20"/>
          <w:szCs w:val="20"/>
        </w:rPr>
        <w:t xml:space="preserve">-% of the total solids. Initially, GO NPs were mixed into NMP and sonicated for 1 h. At the same time, </w:t>
      </w:r>
      <w:proofErr w:type="spellStart"/>
      <w:r w:rsidRPr="00D7466C">
        <w:rPr>
          <w:rFonts w:asciiTheme="majorHAnsi" w:hAnsiTheme="majorHAnsi" w:cs="Times New Roman"/>
          <w:bCs/>
          <w:sz w:val="20"/>
          <w:szCs w:val="20"/>
        </w:rPr>
        <w:t>PSf</w:t>
      </w:r>
      <w:proofErr w:type="spellEnd"/>
      <w:r w:rsidRPr="00D7466C">
        <w:rPr>
          <w:rFonts w:asciiTheme="majorHAnsi" w:hAnsiTheme="majorHAnsi" w:cs="Times New Roman"/>
          <w:bCs/>
          <w:sz w:val="20"/>
          <w:szCs w:val="20"/>
        </w:rPr>
        <w:t xml:space="preserve"> pellets (18 </w:t>
      </w:r>
      <w:proofErr w:type="spellStart"/>
      <w:r w:rsidRPr="00D7466C">
        <w:rPr>
          <w:rFonts w:asciiTheme="majorHAnsi" w:hAnsiTheme="majorHAnsi" w:cs="Times New Roman"/>
          <w:bCs/>
          <w:sz w:val="20"/>
          <w:szCs w:val="20"/>
        </w:rPr>
        <w:t>wt</w:t>
      </w:r>
      <w:proofErr w:type="spellEnd"/>
      <w:r w:rsidRPr="00D7466C">
        <w:rPr>
          <w:rFonts w:asciiTheme="majorHAnsi" w:hAnsiTheme="majorHAnsi" w:cs="Times New Roman"/>
          <w:bCs/>
          <w:sz w:val="20"/>
          <w:szCs w:val="20"/>
        </w:rPr>
        <w:t xml:space="preserve">-%) were dissolved using NMP using a hot plate magnetic stirrer at 60°C. The previously homogenized GO NPs were mixed into the </w:t>
      </w:r>
      <w:proofErr w:type="spellStart"/>
      <w:r w:rsidRPr="00D7466C">
        <w:rPr>
          <w:rFonts w:asciiTheme="majorHAnsi" w:hAnsiTheme="majorHAnsi" w:cs="Times New Roman"/>
          <w:bCs/>
          <w:sz w:val="20"/>
          <w:szCs w:val="20"/>
        </w:rPr>
        <w:t>PSf</w:t>
      </w:r>
      <w:proofErr w:type="spellEnd"/>
      <w:r w:rsidRPr="00D7466C">
        <w:rPr>
          <w:rFonts w:asciiTheme="majorHAnsi" w:hAnsiTheme="majorHAnsi" w:cs="Times New Roman"/>
          <w:bCs/>
          <w:sz w:val="20"/>
          <w:szCs w:val="20"/>
        </w:rPr>
        <w:t xml:space="preserve"> solution, and stirring was continued for a total of 6 h. Prior to the casting stage, the dope solution was degassed using a defoamer for 1 h to remove trapped gas. The dope solution was then cast on a glass plate using a casting knife with a thickness of 0.15 mm. The casted membrane was allowed to stand for a while so that it was perfectly oriented with air and then immersed in a coagulation bath filled with DI water for 24 hours. Finally, the membrane was then dried at room temperature for 24 h.</w:t>
      </w:r>
    </w:p>
    <w:p w14:paraId="2F188D9E" w14:textId="77777777" w:rsidR="008630C0" w:rsidRDefault="008630C0" w:rsidP="00FE018F">
      <w:pPr>
        <w:spacing w:after="0" w:line="240" w:lineRule="auto"/>
        <w:ind w:firstLine="426"/>
        <w:contextualSpacing/>
        <w:jc w:val="both"/>
        <w:rPr>
          <w:rFonts w:asciiTheme="majorHAnsi" w:hAnsiTheme="majorHAnsi" w:cs="Times New Roman"/>
          <w:sz w:val="20"/>
          <w:szCs w:val="20"/>
          <w:lang w:val="en-CA"/>
        </w:rPr>
      </w:pPr>
    </w:p>
    <w:p w14:paraId="5BFDB778" w14:textId="540497AB" w:rsidR="00FE018F" w:rsidRPr="00FE018F" w:rsidRDefault="00FE018F" w:rsidP="00FE018F">
      <w:pPr>
        <w:spacing w:after="0" w:line="240" w:lineRule="auto"/>
        <w:contextualSpacing/>
        <w:jc w:val="both"/>
        <w:rPr>
          <w:rFonts w:asciiTheme="majorHAnsi" w:hAnsiTheme="majorHAnsi" w:cs="Times New Roman"/>
          <w:sz w:val="20"/>
          <w:szCs w:val="20"/>
          <w:lang w:val="en-CA"/>
        </w:rPr>
      </w:pPr>
      <w:r>
        <w:rPr>
          <w:rFonts w:asciiTheme="majorHAnsi" w:hAnsiTheme="majorHAnsi" w:cs="Times New Roman"/>
          <w:b/>
          <w:sz w:val="20"/>
          <w:szCs w:val="20"/>
          <w:lang w:val="en-CA"/>
        </w:rPr>
        <w:t>2.4</w:t>
      </w:r>
      <w:r w:rsidRPr="00FE018F">
        <w:rPr>
          <w:rFonts w:asciiTheme="majorHAnsi" w:hAnsiTheme="majorHAnsi" w:cs="Times New Roman"/>
          <w:b/>
          <w:sz w:val="20"/>
          <w:szCs w:val="20"/>
          <w:lang w:val="en-CA"/>
        </w:rPr>
        <w:t xml:space="preserve"> </w:t>
      </w:r>
      <w:r w:rsidR="00D7466C" w:rsidRPr="00D7466C">
        <w:rPr>
          <w:rFonts w:asciiTheme="majorHAnsi" w:hAnsiTheme="majorHAnsi" w:cs="Times New Roman"/>
          <w:b/>
          <w:sz w:val="20"/>
          <w:szCs w:val="20"/>
          <w:lang w:val="en-CA"/>
        </w:rPr>
        <w:t>Characterization of fabricated membrane</w:t>
      </w:r>
    </w:p>
    <w:p w14:paraId="2F7464F7" w14:textId="797CEA41" w:rsidR="00D7466C" w:rsidRDefault="00D7466C" w:rsidP="00D7466C">
      <w:pPr>
        <w:spacing w:after="0" w:line="240" w:lineRule="auto"/>
        <w:ind w:firstLine="426"/>
        <w:contextualSpacing/>
        <w:jc w:val="both"/>
        <w:rPr>
          <w:rFonts w:asciiTheme="majorHAnsi" w:hAnsiTheme="majorHAnsi" w:cs="Times New Roman"/>
          <w:bCs/>
          <w:sz w:val="20"/>
          <w:szCs w:val="20"/>
        </w:rPr>
      </w:pPr>
      <w:r w:rsidRPr="00D7466C">
        <w:rPr>
          <w:rFonts w:asciiTheme="majorHAnsi" w:hAnsiTheme="majorHAnsi" w:cs="Times New Roman"/>
          <w:bCs/>
          <w:sz w:val="20"/>
          <w:szCs w:val="20"/>
        </w:rPr>
        <w:t xml:space="preserve">The surface morphology and chemical composition of the fabricated membranes were evaluated using a scanning electron microscope – energy dispersive x-ray (SEM-EDX; JEOL Series, JSM-6510-LA) at 1000× magnification. The presence of changes or additions of functional groups on the </w:t>
      </w:r>
      <w:proofErr w:type="spellStart"/>
      <w:r w:rsidRPr="00D7466C">
        <w:rPr>
          <w:rFonts w:asciiTheme="majorHAnsi" w:hAnsiTheme="majorHAnsi" w:cs="Times New Roman"/>
          <w:bCs/>
          <w:sz w:val="20"/>
          <w:szCs w:val="20"/>
        </w:rPr>
        <w:t>PSf</w:t>
      </w:r>
      <w:proofErr w:type="spellEnd"/>
      <w:r w:rsidRPr="00D7466C">
        <w:rPr>
          <w:rFonts w:asciiTheme="majorHAnsi" w:hAnsiTheme="majorHAnsi" w:cs="Times New Roman"/>
          <w:bCs/>
          <w:sz w:val="20"/>
          <w:szCs w:val="20"/>
        </w:rPr>
        <w:t xml:space="preserve"> membranes were evaluated using Fourier transfer infrared (FTIR; Perkin Elmer Frontier, USA). Evidence of </w:t>
      </w:r>
      <w:proofErr w:type="spellStart"/>
      <w:r w:rsidRPr="00D7466C">
        <w:rPr>
          <w:rFonts w:asciiTheme="majorHAnsi" w:hAnsiTheme="majorHAnsi" w:cs="Times New Roman"/>
          <w:bCs/>
          <w:sz w:val="20"/>
          <w:szCs w:val="20"/>
        </w:rPr>
        <w:t>ZnO</w:t>
      </w:r>
      <w:proofErr w:type="spellEnd"/>
      <w:r w:rsidRPr="00D7466C">
        <w:rPr>
          <w:rFonts w:asciiTheme="majorHAnsi" w:hAnsiTheme="majorHAnsi" w:cs="Times New Roman"/>
          <w:bCs/>
          <w:sz w:val="20"/>
          <w:szCs w:val="20"/>
        </w:rPr>
        <w:t xml:space="preserve"> implantation in the </w:t>
      </w:r>
      <w:proofErr w:type="spellStart"/>
      <w:r w:rsidRPr="00D7466C">
        <w:rPr>
          <w:rFonts w:asciiTheme="majorHAnsi" w:hAnsiTheme="majorHAnsi" w:cs="Times New Roman"/>
          <w:bCs/>
          <w:sz w:val="20"/>
          <w:szCs w:val="20"/>
        </w:rPr>
        <w:t>PSf</w:t>
      </w:r>
      <w:proofErr w:type="spellEnd"/>
      <w:r w:rsidRPr="00D7466C">
        <w:rPr>
          <w:rFonts w:asciiTheme="majorHAnsi" w:hAnsiTheme="majorHAnsi" w:cs="Times New Roman"/>
          <w:bCs/>
          <w:sz w:val="20"/>
          <w:szCs w:val="20"/>
        </w:rPr>
        <w:t xml:space="preserve"> matrix as well as changes in </w:t>
      </w:r>
      <w:r w:rsidRPr="00D7466C">
        <w:rPr>
          <w:rFonts w:asciiTheme="majorHAnsi" w:hAnsiTheme="majorHAnsi" w:cs="Times New Roman"/>
          <w:bCs/>
          <w:sz w:val="20"/>
          <w:szCs w:val="20"/>
        </w:rPr>
        <w:lastRenderedPageBreak/>
        <w:t xml:space="preserve">membrane crystallinity were evaluated using x-ray diffraction (XRD; </w:t>
      </w:r>
      <w:proofErr w:type="spellStart"/>
      <w:r w:rsidRPr="00D7466C">
        <w:rPr>
          <w:rFonts w:asciiTheme="majorHAnsi" w:hAnsiTheme="majorHAnsi" w:cs="Times New Roman"/>
          <w:bCs/>
          <w:sz w:val="20"/>
          <w:szCs w:val="20"/>
        </w:rPr>
        <w:t>Panalytical</w:t>
      </w:r>
      <w:proofErr w:type="spellEnd"/>
      <w:r w:rsidRPr="00D7466C">
        <w:rPr>
          <w:rFonts w:asciiTheme="majorHAnsi" w:hAnsiTheme="majorHAnsi" w:cs="Times New Roman"/>
          <w:bCs/>
          <w:sz w:val="20"/>
          <w:szCs w:val="20"/>
        </w:rPr>
        <w:t xml:space="preserve"> </w:t>
      </w:r>
      <w:proofErr w:type="spellStart"/>
      <w:r w:rsidRPr="00D7466C">
        <w:rPr>
          <w:rFonts w:asciiTheme="majorHAnsi" w:hAnsiTheme="majorHAnsi" w:cs="Times New Roman"/>
          <w:bCs/>
          <w:sz w:val="20"/>
          <w:szCs w:val="20"/>
        </w:rPr>
        <w:t>Xpert</w:t>
      </w:r>
      <w:proofErr w:type="spellEnd"/>
      <w:r w:rsidRPr="00D7466C">
        <w:rPr>
          <w:rFonts w:asciiTheme="majorHAnsi" w:hAnsiTheme="majorHAnsi" w:cs="Times New Roman"/>
          <w:bCs/>
          <w:sz w:val="20"/>
          <w:szCs w:val="20"/>
        </w:rPr>
        <w:t xml:space="preserve"> Pro MPD, Netherlands) at a diffraction angle range of 10° to 90°. Mechanical strength properties consisting of tensile strength and elongation at break were evaluated using a mechanical test apparatus (UTSH001, China). The hydrophilicity of the membrane was evaluated using a contact angle meter (RSE contact angle meter, Japan).</w:t>
      </w:r>
    </w:p>
    <w:p w14:paraId="6513F6D6" w14:textId="77777777" w:rsidR="00E2799A" w:rsidRDefault="00E2799A" w:rsidP="00E2799A">
      <w:pPr>
        <w:spacing w:after="0" w:line="240" w:lineRule="auto"/>
        <w:ind w:firstLine="426"/>
        <w:contextualSpacing/>
        <w:jc w:val="both"/>
        <w:rPr>
          <w:rFonts w:asciiTheme="majorHAnsi" w:hAnsiTheme="majorHAnsi" w:cs="Times New Roman"/>
          <w:bCs/>
          <w:sz w:val="20"/>
          <w:szCs w:val="20"/>
        </w:rPr>
      </w:pPr>
    </w:p>
    <w:p w14:paraId="49F15D36" w14:textId="4C96A35C" w:rsidR="00E2799A" w:rsidRPr="00FE018F" w:rsidRDefault="00E2799A" w:rsidP="00E2799A">
      <w:pPr>
        <w:spacing w:after="0" w:line="240" w:lineRule="auto"/>
        <w:contextualSpacing/>
        <w:jc w:val="both"/>
        <w:rPr>
          <w:rFonts w:asciiTheme="majorHAnsi" w:hAnsiTheme="majorHAnsi" w:cs="Times New Roman"/>
          <w:sz w:val="20"/>
          <w:szCs w:val="20"/>
          <w:lang w:val="en-CA"/>
        </w:rPr>
      </w:pPr>
      <w:r>
        <w:rPr>
          <w:rFonts w:asciiTheme="majorHAnsi" w:hAnsiTheme="majorHAnsi" w:cs="Times New Roman"/>
          <w:b/>
          <w:sz w:val="20"/>
          <w:szCs w:val="20"/>
          <w:lang w:val="en-CA"/>
        </w:rPr>
        <w:t>2.5</w:t>
      </w:r>
      <w:r w:rsidRPr="00FE018F">
        <w:rPr>
          <w:rFonts w:asciiTheme="majorHAnsi" w:hAnsiTheme="majorHAnsi" w:cs="Times New Roman"/>
          <w:b/>
          <w:sz w:val="20"/>
          <w:szCs w:val="20"/>
          <w:lang w:val="en-CA"/>
        </w:rPr>
        <w:t xml:space="preserve"> </w:t>
      </w:r>
      <w:r w:rsidR="00D7466C" w:rsidRPr="00D7466C">
        <w:rPr>
          <w:rFonts w:asciiTheme="majorHAnsi" w:hAnsiTheme="majorHAnsi" w:cs="Times New Roman"/>
          <w:b/>
          <w:sz w:val="20"/>
          <w:szCs w:val="20"/>
          <w:lang w:val="en-CA"/>
        </w:rPr>
        <w:t>Membrane surface physicochemical properties measurement</w:t>
      </w:r>
    </w:p>
    <w:p w14:paraId="4B91C8EB" w14:textId="3C424F83" w:rsidR="00E2799A" w:rsidRPr="00E2799A" w:rsidRDefault="00D7466C" w:rsidP="00E2799A">
      <w:pPr>
        <w:spacing w:after="0" w:line="240" w:lineRule="auto"/>
        <w:ind w:firstLine="426"/>
        <w:contextualSpacing/>
        <w:jc w:val="both"/>
        <w:rPr>
          <w:rFonts w:asciiTheme="majorHAnsi" w:hAnsiTheme="majorHAnsi" w:cs="Times New Roman"/>
          <w:bCs/>
          <w:sz w:val="20"/>
          <w:szCs w:val="20"/>
        </w:rPr>
      </w:pPr>
      <w:r w:rsidRPr="00D7466C">
        <w:rPr>
          <w:rFonts w:asciiTheme="majorHAnsi" w:hAnsiTheme="majorHAnsi" w:cs="Times New Roman"/>
          <w:bCs/>
          <w:sz w:val="20"/>
          <w:szCs w:val="20"/>
        </w:rPr>
        <w:t xml:space="preserve">Further investigations were carried out to determine the hydrophilicity characteristics of the membranes. Among them are water uptake (WU) ability and membrane affinity </w:t>
      </w:r>
      <w:r w:rsidR="000C4F36">
        <w:rPr>
          <w:rFonts w:asciiTheme="majorHAnsi" w:hAnsiTheme="majorHAnsi" w:cs="Times New Roman"/>
          <w:bCs/>
          <w:sz w:val="20"/>
          <w:szCs w:val="20"/>
        </w:rPr>
        <w:fldChar w:fldCharType="begin"/>
      </w:r>
      <w:r w:rsidR="000C4F36">
        <w:rPr>
          <w:rFonts w:asciiTheme="majorHAnsi" w:hAnsiTheme="majorHAnsi" w:cs="Times New Roman"/>
          <w:bCs/>
          <w:sz w:val="20"/>
          <w:szCs w:val="20"/>
        </w:rPr>
        <w:instrText xml:space="preserve"> ADDIN ZOTERO_ITEM CSL_CITATION {"citationID":"P1AKO98w","properties":{"formattedCitation":"(Ganesh et al., 2013)","plainCitation":"(Ganesh et al., 2013)","noteIndex":0},"citationItems":[{"id":749,"uris":["http://zotero.org/users/local/8H0XTJlS/items/9P5RJGCW"],"itemData":{"id":749,"type":"article-journal","abstract":"Graphene oxide (GO) dispersed polysulfone (PSf) mixed matrix membranes were prepared by wet phase inversion method. The morphology of membranes was studied using scanning electron microscope (SEM) images. The variation in hydrophilicity was studied by measuring surface wettability and water swelling experiments. The performance of membranes in terms of pure water flux and salt rejection was studied. SEM images depict enhanced macrovoids, while the contact angle data reveals that, GO incorporated membrane surface is moderately hydrophilic. Membranes exhibited improved salt rejection after GO doping. Membrane with 2000ppm GO loading has exhibited maximum of 72% Na2SO4 rejection at 4bar applied pressure. The salt rejection seems to depend on pH of the feed solution and it has been witnessed that the salt rejection showed an increasing trend with increase in the pH. © 2012 Elsevier B.V.","container-title":"Desalination","DOI":"10.1016/j.desal.2012.11.037","ISSN":"00119164","page":"199-207","title":"Enhanced hydrophilicity and salt rejection study of graphene oxide-polysulfone mixed matrix membrane","volume":"313","author":[{"family":"Ganesh","given":"B. M."},{"family":"Isloor","given":"Arun M."},{"family":"Ismail","given":"A. F."}],"issued":{"date-parts":[["2013",3,5]]}}}],"schema":"https://github.com/citation-style-language/schema/raw/master/csl-citation.json"} </w:instrText>
      </w:r>
      <w:r w:rsidR="000C4F36">
        <w:rPr>
          <w:rFonts w:asciiTheme="majorHAnsi" w:hAnsiTheme="majorHAnsi" w:cs="Times New Roman"/>
          <w:bCs/>
          <w:sz w:val="20"/>
          <w:szCs w:val="20"/>
        </w:rPr>
        <w:fldChar w:fldCharType="separate"/>
      </w:r>
      <w:r w:rsidR="000C4F36" w:rsidRPr="000C4F36">
        <w:rPr>
          <w:rFonts w:ascii="Cambria" w:hAnsi="Cambria"/>
          <w:sz w:val="20"/>
        </w:rPr>
        <w:t>(Ganesh et al., 2013)</w:t>
      </w:r>
      <w:r w:rsidR="000C4F36">
        <w:rPr>
          <w:rFonts w:asciiTheme="majorHAnsi" w:hAnsiTheme="majorHAnsi" w:cs="Times New Roman"/>
          <w:bCs/>
          <w:sz w:val="20"/>
          <w:szCs w:val="20"/>
        </w:rPr>
        <w:fldChar w:fldCharType="end"/>
      </w:r>
      <w:r w:rsidR="000C4F36">
        <w:rPr>
          <w:rFonts w:asciiTheme="majorHAnsi" w:hAnsiTheme="majorHAnsi" w:cs="Times New Roman"/>
          <w:bCs/>
          <w:sz w:val="20"/>
          <w:szCs w:val="20"/>
        </w:rPr>
        <w:t xml:space="preserve">. </w:t>
      </w:r>
      <w:r w:rsidRPr="00D7466C">
        <w:rPr>
          <w:rFonts w:asciiTheme="majorHAnsi" w:hAnsiTheme="majorHAnsi" w:cs="Times New Roman"/>
          <w:bCs/>
          <w:sz w:val="20"/>
          <w:szCs w:val="20"/>
        </w:rPr>
        <w:t xml:space="preserve">The WU measurement is shown in </w:t>
      </w:r>
      <w:r>
        <w:rPr>
          <w:rFonts w:asciiTheme="majorHAnsi" w:hAnsiTheme="majorHAnsi" w:cs="Times New Roman"/>
          <w:bCs/>
          <w:sz w:val="20"/>
          <w:szCs w:val="20"/>
        </w:rPr>
        <w:t>equation</w:t>
      </w:r>
      <w:r w:rsidRPr="00D7466C">
        <w:rPr>
          <w:rFonts w:asciiTheme="majorHAnsi" w:hAnsiTheme="majorHAnsi" w:cs="Times New Roman"/>
          <w:bCs/>
          <w:sz w:val="20"/>
          <w:szCs w:val="20"/>
        </w:rPr>
        <w:t xml:space="preserve"> 1.</w:t>
      </w:r>
    </w:p>
    <w:p w14:paraId="32D5B338" w14:textId="4519A6C7" w:rsidR="00E2799A" w:rsidRDefault="00D7466C" w:rsidP="004D1A89">
      <w:pPr>
        <w:spacing w:after="0" w:line="240" w:lineRule="auto"/>
        <w:contextualSpacing/>
        <w:jc w:val="both"/>
        <w:rPr>
          <w:rFonts w:asciiTheme="majorHAnsi" w:hAnsiTheme="majorHAnsi" w:cs="Times New Roman"/>
          <w:bCs/>
          <w:sz w:val="20"/>
          <w:szCs w:val="20"/>
        </w:rPr>
      </w:pPr>
      <w:r w:rsidRPr="00DD51DE">
        <w:rPr>
          <w:rFonts w:ascii="Times New Roman" w:hAnsi="Times New Roman" w:cs="Times New Roman"/>
          <w:position w:val="-24"/>
          <w:sz w:val="24"/>
          <w:szCs w:val="24"/>
        </w:rPr>
        <w:object w:dxaOrig="1880" w:dyaOrig="620" w14:anchorId="32A4C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31.5pt" o:ole="">
            <v:imagedata r:id="rId12" o:title=""/>
          </v:shape>
          <o:OLEObject Type="Embed" ProgID="Equation.DSMT4" ShapeID="_x0000_i1025" DrawAspect="Content" ObjectID="_1733572949" r:id="rId13"/>
        </w:object>
      </w:r>
      <w:r w:rsidR="00E2799A" w:rsidRPr="00E2799A">
        <w:rPr>
          <w:rFonts w:asciiTheme="majorHAnsi" w:hAnsiTheme="majorHAnsi" w:cs="Times New Roman"/>
          <w:bCs/>
          <w:sz w:val="20"/>
          <w:szCs w:val="20"/>
        </w:rPr>
        <w:tab/>
      </w:r>
      <w:r w:rsidR="00E2799A" w:rsidRPr="00E2799A">
        <w:rPr>
          <w:rFonts w:asciiTheme="majorHAnsi" w:hAnsiTheme="majorHAnsi" w:cs="Times New Roman"/>
          <w:bCs/>
          <w:sz w:val="20"/>
          <w:szCs w:val="20"/>
        </w:rPr>
        <w:tab/>
      </w:r>
      <w:r w:rsidR="00E2799A" w:rsidRPr="00E2799A">
        <w:rPr>
          <w:rFonts w:asciiTheme="majorHAnsi" w:hAnsiTheme="majorHAnsi" w:cs="Times New Roman"/>
          <w:bCs/>
          <w:sz w:val="20"/>
          <w:szCs w:val="20"/>
        </w:rPr>
        <w:tab/>
        <w:t>(</w:t>
      </w:r>
      <w:r>
        <w:rPr>
          <w:rFonts w:asciiTheme="majorHAnsi" w:hAnsiTheme="majorHAnsi" w:cs="Times New Roman"/>
          <w:bCs/>
          <w:sz w:val="20"/>
          <w:szCs w:val="20"/>
        </w:rPr>
        <w:t>1</w:t>
      </w:r>
      <w:r w:rsidR="00E2799A" w:rsidRPr="00E2799A">
        <w:rPr>
          <w:rFonts w:asciiTheme="majorHAnsi" w:hAnsiTheme="majorHAnsi" w:cs="Times New Roman"/>
          <w:bCs/>
          <w:sz w:val="20"/>
          <w:szCs w:val="20"/>
        </w:rPr>
        <w:t>)</w:t>
      </w:r>
    </w:p>
    <w:p w14:paraId="041FFAE3" w14:textId="453605A4" w:rsidR="00C512BE" w:rsidRPr="00E2799A" w:rsidRDefault="00C512BE" w:rsidP="004D1A89">
      <w:pPr>
        <w:spacing w:after="0" w:line="240" w:lineRule="auto"/>
        <w:contextualSpacing/>
        <w:jc w:val="both"/>
        <w:rPr>
          <w:rFonts w:asciiTheme="majorHAnsi" w:hAnsiTheme="majorHAnsi" w:cs="Times New Roman"/>
          <w:bCs/>
          <w:sz w:val="20"/>
          <w:szCs w:val="20"/>
        </w:rPr>
      </w:pPr>
      <w:r w:rsidRPr="00C512BE">
        <w:rPr>
          <w:rFonts w:asciiTheme="majorHAnsi" w:hAnsiTheme="majorHAnsi" w:cs="Times New Roman"/>
          <w:bCs/>
          <w:sz w:val="20"/>
          <w:szCs w:val="20"/>
        </w:rPr>
        <w:t xml:space="preserve">Where WU is the water uptake ability (%), </w:t>
      </w:r>
      <w:proofErr w:type="spellStart"/>
      <w:r w:rsidRPr="00C512BE">
        <w:rPr>
          <w:rFonts w:asciiTheme="majorHAnsi" w:hAnsiTheme="majorHAnsi" w:cs="Times New Roman"/>
          <w:bCs/>
          <w:sz w:val="20"/>
          <w:szCs w:val="20"/>
        </w:rPr>
        <w:t>ww</w:t>
      </w:r>
      <w:proofErr w:type="spellEnd"/>
      <w:r w:rsidRPr="00C512BE">
        <w:rPr>
          <w:rFonts w:asciiTheme="majorHAnsi" w:hAnsiTheme="majorHAnsi" w:cs="Times New Roman"/>
          <w:bCs/>
          <w:sz w:val="20"/>
          <w:szCs w:val="20"/>
        </w:rPr>
        <w:t xml:space="preserve"> and wd are the wet and dry membrane weight, respectively. The membrane affinity for liquids with DI water as solvent was taken from the theoretical analysis of the Flory-Huggins model (FH model) using </w:t>
      </w:r>
      <w:r>
        <w:rPr>
          <w:rFonts w:asciiTheme="majorHAnsi" w:hAnsiTheme="majorHAnsi" w:cs="Times New Roman"/>
          <w:bCs/>
          <w:sz w:val="20"/>
          <w:szCs w:val="20"/>
        </w:rPr>
        <w:t>equation</w:t>
      </w:r>
      <w:r w:rsidRPr="00C512BE">
        <w:rPr>
          <w:rFonts w:asciiTheme="majorHAnsi" w:hAnsiTheme="majorHAnsi" w:cs="Times New Roman"/>
          <w:bCs/>
          <w:sz w:val="20"/>
          <w:szCs w:val="20"/>
        </w:rPr>
        <w:t xml:space="preserve"> 2.</w:t>
      </w:r>
    </w:p>
    <w:p w14:paraId="4B4928A2" w14:textId="078E61C9" w:rsidR="00E2799A" w:rsidRDefault="00C512BE" w:rsidP="004D1A89">
      <w:pPr>
        <w:spacing w:after="0" w:line="240" w:lineRule="auto"/>
        <w:contextualSpacing/>
        <w:jc w:val="both"/>
        <w:rPr>
          <w:rFonts w:asciiTheme="majorHAnsi" w:hAnsiTheme="majorHAnsi" w:cs="Times New Roman"/>
          <w:bCs/>
          <w:iCs/>
          <w:sz w:val="20"/>
          <w:szCs w:val="20"/>
        </w:rPr>
      </w:pPr>
      <w:r w:rsidRPr="00DD51DE">
        <w:rPr>
          <w:rFonts w:ascii="Times New Roman" w:hAnsi="Times New Roman" w:cs="Times New Roman"/>
          <w:position w:val="-28"/>
          <w:sz w:val="24"/>
          <w:szCs w:val="24"/>
        </w:rPr>
        <w:object w:dxaOrig="1500" w:dyaOrig="660" w14:anchorId="27CBCCB3">
          <v:shape id="_x0000_i1026" type="#_x0000_t75" style="width:73.5pt;height:33pt" o:ole="">
            <v:imagedata r:id="rId14" o:title=""/>
          </v:shape>
          <o:OLEObject Type="Embed" ProgID="Equation.DSMT4" ShapeID="_x0000_i1026" DrawAspect="Content" ObjectID="_1733572950" r:id="rId15"/>
        </w:object>
      </w:r>
      <w:r w:rsidR="00E2799A" w:rsidRPr="00E2799A">
        <w:rPr>
          <w:rFonts w:asciiTheme="majorHAnsi" w:hAnsiTheme="majorHAnsi" w:cs="Times New Roman"/>
          <w:bCs/>
          <w:iCs/>
          <w:sz w:val="20"/>
          <w:szCs w:val="20"/>
        </w:rPr>
        <w:tab/>
      </w:r>
      <w:r w:rsidR="00E2799A" w:rsidRPr="00E2799A">
        <w:rPr>
          <w:rFonts w:asciiTheme="majorHAnsi" w:hAnsiTheme="majorHAnsi" w:cs="Times New Roman"/>
          <w:bCs/>
          <w:iCs/>
          <w:sz w:val="20"/>
          <w:szCs w:val="20"/>
        </w:rPr>
        <w:tab/>
      </w:r>
      <w:r>
        <w:rPr>
          <w:rFonts w:asciiTheme="majorHAnsi" w:hAnsiTheme="majorHAnsi" w:cs="Times New Roman"/>
          <w:bCs/>
          <w:iCs/>
          <w:sz w:val="20"/>
          <w:szCs w:val="20"/>
        </w:rPr>
        <w:tab/>
      </w:r>
      <w:r w:rsidR="00E2799A" w:rsidRPr="00E2799A">
        <w:rPr>
          <w:rFonts w:asciiTheme="majorHAnsi" w:hAnsiTheme="majorHAnsi" w:cs="Times New Roman"/>
          <w:bCs/>
          <w:iCs/>
          <w:sz w:val="20"/>
          <w:szCs w:val="20"/>
        </w:rPr>
        <w:t>(</w:t>
      </w:r>
      <w:r>
        <w:rPr>
          <w:rFonts w:asciiTheme="majorHAnsi" w:hAnsiTheme="majorHAnsi" w:cs="Times New Roman"/>
          <w:bCs/>
          <w:iCs/>
          <w:sz w:val="20"/>
          <w:szCs w:val="20"/>
        </w:rPr>
        <w:t>2</w:t>
      </w:r>
      <w:r w:rsidR="00E2799A" w:rsidRPr="00E2799A">
        <w:rPr>
          <w:rFonts w:asciiTheme="majorHAnsi" w:hAnsiTheme="majorHAnsi" w:cs="Times New Roman"/>
          <w:bCs/>
          <w:iCs/>
          <w:sz w:val="20"/>
          <w:szCs w:val="20"/>
        </w:rPr>
        <w:t>)</w:t>
      </w:r>
    </w:p>
    <w:p w14:paraId="7C4A01B5" w14:textId="77130D9D" w:rsidR="00C512BE" w:rsidRDefault="00C512BE" w:rsidP="004D1A89">
      <w:pPr>
        <w:spacing w:after="0" w:line="240" w:lineRule="auto"/>
        <w:contextualSpacing/>
        <w:jc w:val="both"/>
        <w:rPr>
          <w:rFonts w:asciiTheme="majorHAnsi" w:hAnsiTheme="majorHAnsi" w:cs="Times New Roman"/>
          <w:bCs/>
          <w:iCs/>
          <w:sz w:val="20"/>
          <w:szCs w:val="20"/>
        </w:rPr>
      </w:pPr>
      <w:r w:rsidRPr="00C512BE">
        <w:rPr>
          <w:rFonts w:asciiTheme="majorHAnsi" w:hAnsiTheme="majorHAnsi" w:cs="Times New Roman"/>
          <w:bCs/>
          <w:iCs/>
          <w:sz w:val="20"/>
          <w:szCs w:val="20"/>
        </w:rPr>
        <w:t xml:space="preserve">Where χ is the FH interaction parameter and φ is the volume fraction calculated using </w:t>
      </w:r>
      <w:r>
        <w:rPr>
          <w:rFonts w:asciiTheme="majorHAnsi" w:hAnsiTheme="majorHAnsi" w:cs="Times New Roman"/>
          <w:bCs/>
          <w:sz w:val="20"/>
          <w:szCs w:val="20"/>
        </w:rPr>
        <w:t>equation</w:t>
      </w:r>
      <w:r w:rsidRPr="00C512BE">
        <w:rPr>
          <w:rFonts w:asciiTheme="majorHAnsi" w:hAnsiTheme="majorHAnsi" w:cs="Times New Roman"/>
          <w:bCs/>
          <w:iCs/>
          <w:sz w:val="20"/>
          <w:szCs w:val="20"/>
        </w:rPr>
        <w:t xml:space="preserve"> 3</w:t>
      </w:r>
      <w:r>
        <w:rPr>
          <w:rFonts w:asciiTheme="majorHAnsi" w:hAnsiTheme="majorHAnsi" w:cs="Times New Roman"/>
          <w:bCs/>
          <w:iCs/>
          <w:sz w:val="20"/>
          <w:szCs w:val="20"/>
        </w:rPr>
        <w:t>.</w:t>
      </w:r>
    </w:p>
    <w:p w14:paraId="30FE25DD" w14:textId="7555F709" w:rsidR="00C512BE" w:rsidRDefault="00C512BE" w:rsidP="004D1A89">
      <w:pPr>
        <w:spacing w:after="0" w:line="240" w:lineRule="auto"/>
        <w:contextualSpacing/>
        <w:jc w:val="both"/>
        <w:rPr>
          <w:rFonts w:asciiTheme="majorHAnsi" w:hAnsiTheme="majorHAnsi" w:cs="Times New Roman"/>
          <w:sz w:val="20"/>
        </w:rPr>
      </w:pPr>
      <w:r w:rsidRPr="00DD51DE">
        <w:rPr>
          <w:rFonts w:ascii="Times New Roman" w:hAnsi="Times New Roman" w:cs="Times New Roman"/>
          <w:position w:val="-30"/>
          <w:sz w:val="24"/>
          <w:szCs w:val="28"/>
        </w:rPr>
        <w:object w:dxaOrig="2439" w:dyaOrig="680" w14:anchorId="20FF636F">
          <v:shape id="_x0000_i1027" type="#_x0000_t75" style="width:121.5pt;height:33.75pt" o:ole="">
            <v:imagedata r:id="rId16" o:title=""/>
          </v:shape>
          <o:OLEObject Type="Embed" ProgID="Equation.DSMT4" ShapeID="_x0000_i1027" DrawAspect="Content" ObjectID="_1733572951" r:id="rId17"/>
        </w:object>
      </w:r>
      <w:r>
        <w:rPr>
          <w:rFonts w:ascii="Times New Roman" w:hAnsi="Times New Roman" w:cs="Times New Roman"/>
          <w:sz w:val="24"/>
          <w:szCs w:val="28"/>
        </w:rPr>
        <w:tab/>
      </w:r>
      <w:r>
        <w:rPr>
          <w:rFonts w:ascii="Times New Roman" w:hAnsi="Times New Roman" w:cs="Times New Roman"/>
          <w:sz w:val="24"/>
          <w:szCs w:val="28"/>
        </w:rPr>
        <w:tab/>
      </w:r>
      <w:r w:rsidRPr="00C512BE">
        <w:rPr>
          <w:rFonts w:asciiTheme="majorHAnsi" w:hAnsiTheme="majorHAnsi" w:cs="Times New Roman"/>
          <w:sz w:val="20"/>
        </w:rPr>
        <w:t>(3)</w:t>
      </w:r>
    </w:p>
    <w:p w14:paraId="7DF3113F" w14:textId="51FD878B" w:rsidR="00C512BE" w:rsidRPr="00E2799A" w:rsidRDefault="00C512BE" w:rsidP="004D1A89">
      <w:pPr>
        <w:spacing w:after="0" w:line="240" w:lineRule="auto"/>
        <w:contextualSpacing/>
        <w:jc w:val="both"/>
        <w:rPr>
          <w:rFonts w:asciiTheme="majorHAnsi" w:hAnsiTheme="majorHAnsi" w:cs="Times New Roman"/>
          <w:bCs/>
          <w:iCs/>
          <w:sz w:val="20"/>
          <w:szCs w:val="20"/>
        </w:rPr>
      </w:pPr>
      <w:r w:rsidRPr="00C512BE">
        <w:rPr>
          <w:rFonts w:asciiTheme="majorHAnsi" w:hAnsiTheme="majorHAnsi" w:cs="Times New Roman"/>
          <w:bCs/>
          <w:iCs/>
          <w:sz w:val="20"/>
          <w:szCs w:val="20"/>
        </w:rPr>
        <w:t xml:space="preserve">Where </w:t>
      </w:r>
      <w:proofErr w:type="spellStart"/>
      <w:r w:rsidRPr="00C512BE">
        <w:rPr>
          <w:rFonts w:asciiTheme="majorHAnsi" w:hAnsiTheme="majorHAnsi" w:cs="Times New Roman"/>
          <w:bCs/>
          <w:iCs/>
          <w:sz w:val="20"/>
          <w:szCs w:val="20"/>
        </w:rPr>
        <w:t>w</w:t>
      </w:r>
      <w:r w:rsidRPr="00C512BE">
        <w:rPr>
          <w:rFonts w:asciiTheme="majorHAnsi" w:hAnsiTheme="majorHAnsi" w:cs="Times New Roman"/>
          <w:bCs/>
          <w:iCs/>
          <w:sz w:val="20"/>
          <w:szCs w:val="20"/>
          <w:vertAlign w:val="subscript"/>
        </w:rPr>
        <w:t>w</w:t>
      </w:r>
      <w:proofErr w:type="spellEnd"/>
      <w:r w:rsidRPr="00C512BE">
        <w:rPr>
          <w:rFonts w:asciiTheme="majorHAnsi" w:hAnsiTheme="majorHAnsi" w:cs="Times New Roman"/>
          <w:bCs/>
          <w:iCs/>
          <w:sz w:val="20"/>
          <w:szCs w:val="20"/>
        </w:rPr>
        <w:t xml:space="preserve"> and w</w:t>
      </w:r>
      <w:r w:rsidRPr="00C512BE">
        <w:rPr>
          <w:rFonts w:asciiTheme="majorHAnsi" w:hAnsiTheme="majorHAnsi" w:cs="Times New Roman"/>
          <w:bCs/>
          <w:iCs/>
          <w:sz w:val="20"/>
          <w:szCs w:val="20"/>
          <w:vertAlign w:val="subscript"/>
        </w:rPr>
        <w:t>d</w:t>
      </w:r>
      <w:r w:rsidRPr="00C512BE">
        <w:rPr>
          <w:rFonts w:asciiTheme="majorHAnsi" w:hAnsiTheme="majorHAnsi" w:cs="Times New Roman"/>
          <w:bCs/>
          <w:iCs/>
          <w:sz w:val="20"/>
          <w:szCs w:val="20"/>
        </w:rPr>
        <w:t xml:space="preserve"> are the wet and dry membrane masses, </w:t>
      </w:r>
      <w:proofErr w:type="spellStart"/>
      <w:r w:rsidRPr="00C512BE">
        <w:rPr>
          <w:rFonts w:asciiTheme="majorHAnsi" w:hAnsiTheme="majorHAnsi" w:cs="Times New Roman"/>
          <w:bCs/>
          <w:iCs/>
          <w:sz w:val="20"/>
          <w:szCs w:val="20"/>
        </w:rPr>
        <w:t>ρ</w:t>
      </w:r>
      <w:r w:rsidRPr="00C512BE">
        <w:rPr>
          <w:rFonts w:asciiTheme="majorHAnsi" w:hAnsiTheme="majorHAnsi" w:cs="Times New Roman"/>
          <w:bCs/>
          <w:iCs/>
          <w:sz w:val="20"/>
          <w:szCs w:val="20"/>
          <w:vertAlign w:val="subscript"/>
        </w:rPr>
        <w:t>s</w:t>
      </w:r>
      <w:proofErr w:type="spellEnd"/>
      <w:r w:rsidRPr="00C512BE">
        <w:rPr>
          <w:rFonts w:asciiTheme="majorHAnsi" w:hAnsiTheme="majorHAnsi" w:cs="Times New Roman"/>
          <w:bCs/>
          <w:iCs/>
          <w:sz w:val="20"/>
          <w:szCs w:val="20"/>
        </w:rPr>
        <w:t xml:space="preserve"> and </w:t>
      </w:r>
      <w:proofErr w:type="spellStart"/>
      <w:r w:rsidRPr="00C512BE">
        <w:rPr>
          <w:rFonts w:asciiTheme="majorHAnsi" w:hAnsiTheme="majorHAnsi" w:cs="Times New Roman"/>
          <w:bCs/>
          <w:iCs/>
          <w:sz w:val="20"/>
          <w:szCs w:val="20"/>
        </w:rPr>
        <w:t>ρ</w:t>
      </w:r>
      <w:r w:rsidRPr="00C512BE">
        <w:rPr>
          <w:rFonts w:asciiTheme="majorHAnsi" w:hAnsiTheme="majorHAnsi" w:cs="Times New Roman"/>
          <w:bCs/>
          <w:iCs/>
          <w:sz w:val="20"/>
          <w:szCs w:val="20"/>
          <w:vertAlign w:val="subscript"/>
        </w:rPr>
        <w:t>m</w:t>
      </w:r>
      <w:proofErr w:type="spellEnd"/>
      <w:r w:rsidRPr="00C512BE">
        <w:rPr>
          <w:rFonts w:asciiTheme="majorHAnsi" w:hAnsiTheme="majorHAnsi" w:cs="Times New Roman"/>
          <w:bCs/>
          <w:iCs/>
          <w:sz w:val="20"/>
          <w:szCs w:val="20"/>
        </w:rPr>
        <w:t xml:space="preserve"> are the solvent and membrane densities, respectively.</w:t>
      </w:r>
    </w:p>
    <w:p w14:paraId="74B4F96E" w14:textId="77777777" w:rsidR="00E2799A" w:rsidRDefault="00E2799A" w:rsidP="00E2799A">
      <w:pPr>
        <w:spacing w:after="0" w:line="240" w:lineRule="auto"/>
        <w:ind w:firstLine="426"/>
        <w:contextualSpacing/>
        <w:jc w:val="both"/>
        <w:rPr>
          <w:rFonts w:asciiTheme="majorHAnsi" w:hAnsiTheme="majorHAnsi" w:cs="Times New Roman"/>
          <w:bCs/>
          <w:sz w:val="20"/>
          <w:szCs w:val="20"/>
        </w:rPr>
      </w:pPr>
    </w:p>
    <w:p w14:paraId="5DD1F043" w14:textId="53F38CEC" w:rsidR="00E2799A" w:rsidRPr="00C512BE" w:rsidRDefault="00E2799A" w:rsidP="00E2799A">
      <w:pPr>
        <w:spacing w:after="0" w:line="240" w:lineRule="auto"/>
        <w:contextualSpacing/>
        <w:jc w:val="both"/>
        <w:rPr>
          <w:rFonts w:asciiTheme="majorHAnsi" w:hAnsiTheme="majorHAnsi" w:cs="Times New Roman"/>
          <w:b/>
          <w:sz w:val="20"/>
          <w:szCs w:val="20"/>
        </w:rPr>
      </w:pPr>
      <w:r w:rsidRPr="00C512BE">
        <w:rPr>
          <w:rFonts w:asciiTheme="majorHAnsi" w:hAnsiTheme="majorHAnsi" w:cs="Times New Roman"/>
          <w:b/>
          <w:sz w:val="20"/>
          <w:szCs w:val="20"/>
        </w:rPr>
        <w:t xml:space="preserve">2.6 </w:t>
      </w:r>
      <w:r w:rsidR="00C512BE" w:rsidRPr="00C512BE">
        <w:rPr>
          <w:rFonts w:asciiTheme="majorHAnsi" w:hAnsiTheme="majorHAnsi" w:cs="Times New Roman"/>
          <w:b/>
          <w:sz w:val="20"/>
          <w:szCs w:val="20"/>
        </w:rPr>
        <w:t>Membrane performance</w:t>
      </w:r>
    </w:p>
    <w:p w14:paraId="59FB2B8E" w14:textId="070D3FDF" w:rsidR="004D1A89" w:rsidRPr="004D1A89" w:rsidRDefault="00C512BE" w:rsidP="004D1A89">
      <w:pPr>
        <w:spacing w:after="0" w:line="240" w:lineRule="auto"/>
        <w:ind w:firstLine="426"/>
        <w:contextualSpacing/>
        <w:jc w:val="both"/>
        <w:rPr>
          <w:rFonts w:asciiTheme="majorHAnsi" w:hAnsiTheme="majorHAnsi" w:cs="Times New Roman"/>
          <w:bCs/>
          <w:sz w:val="20"/>
          <w:szCs w:val="20"/>
        </w:rPr>
      </w:pPr>
      <w:r w:rsidRPr="00C512BE">
        <w:rPr>
          <w:rFonts w:asciiTheme="majorHAnsi" w:hAnsiTheme="majorHAnsi" w:cs="Times New Roman"/>
          <w:bCs/>
          <w:sz w:val="20"/>
          <w:szCs w:val="20"/>
        </w:rPr>
        <w:t>The performance of the nanohybrid membrane was evaluated using a cross-flow filtration system as shown in Fig. 1. Untreated batik wastewater was used as a feed with an effective membrane area of 12.57 cm</w:t>
      </w:r>
      <w:r w:rsidRPr="00C512BE">
        <w:rPr>
          <w:rFonts w:asciiTheme="majorHAnsi" w:hAnsiTheme="majorHAnsi" w:cs="Times New Roman"/>
          <w:bCs/>
          <w:sz w:val="20"/>
          <w:szCs w:val="20"/>
          <w:vertAlign w:val="superscript"/>
        </w:rPr>
        <w:t>2</w:t>
      </w:r>
      <w:r w:rsidRPr="00C512BE">
        <w:rPr>
          <w:rFonts w:asciiTheme="majorHAnsi" w:hAnsiTheme="majorHAnsi" w:cs="Times New Roman"/>
          <w:bCs/>
          <w:sz w:val="20"/>
          <w:szCs w:val="20"/>
        </w:rPr>
        <w:t xml:space="preserve"> at a trans-membrane pressure of 5 bar.</w:t>
      </w:r>
    </w:p>
    <w:p w14:paraId="13C2D209" w14:textId="322305FE" w:rsidR="004D1A89" w:rsidRPr="00C512BE" w:rsidRDefault="00C512BE" w:rsidP="004D1A89">
      <w:pPr>
        <w:spacing w:after="0" w:line="240" w:lineRule="auto"/>
        <w:contextualSpacing/>
        <w:jc w:val="both"/>
        <w:rPr>
          <w:rFonts w:asciiTheme="majorHAnsi" w:hAnsiTheme="majorHAnsi" w:cs="Times New Roman"/>
          <w:b/>
          <w:noProof/>
          <w:sz w:val="20"/>
          <w:szCs w:val="20"/>
        </w:rPr>
      </w:pPr>
      <w:r w:rsidRPr="00C512BE">
        <w:rPr>
          <w:rFonts w:asciiTheme="majorHAnsi" w:hAnsiTheme="majorHAnsi" w:cs="Times New Roman"/>
          <w:b/>
          <w:noProof/>
          <w:sz w:val="20"/>
          <w:szCs w:val="20"/>
        </w:rPr>
        <w:t>2.6.1 Flux</w:t>
      </w:r>
    </w:p>
    <w:p w14:paraId="04A9A550" w14:textId="1A93E92C" w:rsidR="00C512BE" w:rsidRDefault="00C512BE" w:rsidP="004D1A89">
      <w:pPr>
        <w:spacing w:after="0" w:line="240" w:lineRule="auto"/>
        <w:contextualSpacing/>
        <w:jc w:val="both"/>
        <w:rPr>
          <w:rFonts w:asciiTheme="majorHAnsi" w:hAnsiTheme="majorHAnsi" w:cs="Times New Roman"/>
          <w:bCs/>
          <w:sz w:val="20"/>
          <w:szCs w:val="20"/>
        </w:rPr>
      </w:pPr>
      <w:r w:rsidRPr="00C512BE">
        <w:rPr>
          <w:rFonts w:asciiTheme="majorHAnsi" w:hAnsiTheme="majorHAnsi" w:cs="Times New Roman"/>
          <w:bCs/>
          <w:sz w:val="20"/>
          <w:szCs w:val="20"/>
        </w:rPr>
        <w:t xml:space="preserve">Permeate flux on each membrane was recorded every 30 minutes for 3 hours of operation using </w:t>
      </w:r>
      <w:r>
        <w:rPr>
          <w:rFonts w:asciiTheme="majorHAnsi" w:hAnsiTheme="majorHAnsi" w:cs="Times New Roman"/>
          <w:bCs/>
          <w:sz w:val="20"/>
          <w:szCs w:val="20"/>
        </w:rPr>
        <w:t>equation</w:t>
      </w:r>
      <w:r w:rsidRPr="00C512BE">
        <w:rPr>
          <w:rFonts w:asciiTheme="majorHAnsi" w:hAnsiTheme="majorHAnsi" w:cs="Times New Roman"/>
          <w:bCs/>
          <w:sz w:val="20"/>
          <w:szCs w:val="20"/>
        </w:rPr>
        <w:t xml:space="preserve"> 4.</w:t>
      </w:r>
    </w:p>
    <w:p w14:paraId="3764F6AE" w14:textId="64495F62" w:rsidR="00C512BE" w:rsidRDefault="00C512BE" w:rsidP="004D1A89">
      <w:pPr>
        <w:spacing w:after="0" w:line="240" w:lineRule="auto"/>
        <w:contextualSpacing/>
        <w:jc w:val="both"/>
        <w:rPr>
          <w:rFonts w:asciiTheme="majorHAnsi" w:eastAsia="Calibri" w:hAnsiTheme="majorHAnsi"/>
          <w:color w:val="000000" w:themeColor="text1"/>
          <w:sz w:val="20"/>
          <w:szCs w:val="20"/>
        </w:rPr>
      </w:pPr>
      <w:r w:rsidRPr="00657822">
        <w:rPr>
          <w:rFonts w:eastAsia="Calibri"/>
          <w:color w:val="000000" w:themeColor="text1"/>
          <w:position w:val="-20"/>
          <w:sz w:val="20"/>
          <w:szCs w:val="20"/>
        </w:rPr>
        <w:object w:dxaOrig="820" w:dyaOrig="520" w14:anchorId="375845CE">
          <v:shape id="_x0000_i1028" type="#_x0000_t75" style="width:40.5pt;height:25.5pt" o:ole="">
            <v:imagedata r:id="rId18" o:title=""/>
          </v:shape>
          <o:OLEObject Type="Embed" ProgID="Equation.3" ShapeID="_x0000_i1028" DrawAspect="Content" ObjectID="_1733572952" r:id="rId19"/>
        </w:object>
      </w:r>
      <w:r>
        <w:rPr>
          <w:rFonts w:eastAsia="Calibri"/>
          <w:color w:val="000000" w:themeColor="text1"/>
          <w:sz w:val="20"/>
          <w:szCs w:val="20"/>
        </w:rPr>
        <w:tab/>
      </w:r>
      <w:r>
        <w:rPr>
          <w:rFonts w:eastAsia="Calibri"/>
          <w:color w:val="000000" w:themeColor="text1"/>
          <w:sz w:val="20"/>
          <w:szCs w:val="20"/>
        </w:rPr>
        <w:tab/>
      </w:r>
      <w:r>
        <w:rPr>
          <w:rFonts w:eastAsia="Calibri"/>
          <w:color w:val="000000" w:themeColor="text1"/>
          <w:sz w:val="20"/>
          <w:szCs w:val="20"/>
        </w:rPr>
        <w:tab/>
      </w:r>
      <w:r>
        <w:rPr>
          <w:rFonts w:asciiTheme="majorHAnsi" w:eastAsia="Calibri" w:hAnsiTheme="majorHAnsi"/>
          <w:color w:val="000000" w:themeColor="text1"/>
          <w:sz w:val="20"/>
          <w:szCs w:val="20"/>
        </w:rPr>
        <w:t>(4)</w:t>
      </w:r>
    </w:p>
    <w:p w14:paraId="6DDD0CF6" w14:textId="5606BE62" w:rsidR="00C512BE" w:rsidRPr="00C512BE" w:rsidRDefault="00C512BE" w:rsidP="004D1A89">
      <w:pPr>
        <w:spacing w:after="0" w:line="240" w:lineRule="auto"/>
        <w:contextualSpacing/>
        <w:jc w:val="both"/>
        <w:rPr>
          <w:rFonts w:asciiTheme="majorHAnsi" w:hAnsiTheme="majorHAnsi" w:cs="Times New Roman"/>
          <w:bCs/>
          <w:sz w:val="20"/>
          <w:szCs w:val="20"/>
        </w:rPr>
      </w:pPr>
      <w:r w:rsidRPr="00C512BE">
        <w:rPr>
          <w:rFonts w:asciiTheme="majorHAnsi" w:hAnsiTheme="majorHAnsi" w:cs="Times New Roman"/>
          <w:bCs/>
          <w:sz w:val="20"/>
          <w:szCs w:val="20"/>
        </w:rPr>
        <w:t>Where J is the permeate flux (L.m</w:t>
      </w:r>
      <w:r w:rsidRPr="00C512BE">
        <w:rPr>
          <w:rFonts w:asciiTheme="majorHAnsi" w:hAnsiTheme="majorHAnsi" w:cs="Times New Roman"/>
          <w:bCs/>
          <w:sz w:val="20"/>
          <w:szCs w:val="20"/>
          <w:vertAlign w:val="superscript"/>
        </w:rPr>
        <w:t>-2</w:t>
      </w:r>
      <w:r w:rsidRPr="00C512BE">
        <w:rPr>
          <w:rFonts w:asciiTheme="majorHAnsi" w:hAnsiTheme="majorHAnsi" w:cs="Times New Roman"/>
          <w:bCs/>
          <w:sz w:val="20"/>
          <w:szCs w:val="20"/>
        </w:rPr>
        <w:t>.h</w:t>
      </w:r>
      <w:r w:rsidRPr="00C512BE">
        <w:rPr>
          <w:rFonts w:asciiTheme="majorHAnsi" w:hAnsiTheme="majorHAnsi" w:cs="Times New Roman"/>
          <w:bCs/>
          <w:sz w:val="20"/>
          <w:szCs w:val="20"/>
          <w:vertAlign w:val="superscript"/>
        </w:rPr>
        <w:t>-1</w:t>
      </w:r>
      <w:r w:rsidRPr="00C512BE">
        <w:rPr>
          <w:rFonts w:asciiTheme="majorHAnsi" w:hAnsiTheme="majorHAnsi" w:cs="Times New Roman"/>
          <w:bCs/>
          <w:sz w:val="20"/>
          <w:szCs w:val="20"/>
        </w:rPr>
        <w:t>), V is the permeate volume (L), A is the effective membrane area (m</w:t>
      </w:r>
      <w:r w:rsidRPr="00C512BE">
        <w:rPr>
          <w:rFonts w:asciiTheme="majorHAnsi" w:hAnsiTheme="majorHAnsi" w:cs="Times New Roman"/>
          <w:bCs/>
          <w:sz w:val="20"/>
          <w:szCs w:val="20"/>
          <w:vertAlign w:val="superscript"/>
        </w:rPr>
        <w:t>2</w:t>
      </w:r>
      <w:r w:rsidRPr="00C512BE">
        <w:rPr>
          <w:rFonts w:asciiTheme="majorHAnsi" w:hAnsiTheme="majorHAnsi" w:cs="Times New Roman"/>
          <w:bCs/>
          <w:sz w:val="20"/>
          <w:szCs w:val="20"/>
        </w:rPr>
        <w:t>), and t is the filtration time (h).</w:t>
      </w:r>
    </w:p>
    <w:p w14:paraId="724653F3" w14:textId="7E581012" w:rsidR="00C512BE" w:rsidRPr="00C512BE" w:rsidRDefault="00C512BE" w:rsidP="004D1A89">
      <w:pPr>
        <w:spacing w:after="0" w:line="240" w:lineRule="auto"/>
        <w:contextualSpacing/>
        <w:jc w:val="both"/>
        <w:rPr>
          <w:rFonts w:asciiTheme="majorHAnsi" w:hAnsiTheme="majorHAnsi" w:cs="Times New Roman"/>
          <w:b/>
          <w:sz w:val="20"/>
          <w:szCs w:val="20"/>
        </w:rPr>
      </w:pPr>
      <w:r w:rsidRPr="00C512BE">
        <w:rPr>
          <w:rFonts w:asciiTheme="majorHAnsi" w:hAnsiTheme="majorHAnsi" w:cs="Times New Roman"/>
          <w:b/>
          <w:sz w:val="20"/>
          <w:szCs w:val="20"/>
        </w:rPr>
        <w:t>2.6.2 Pollutant removal</w:t>
      </w:r>
    </w:p>
    <w:p w14:paraId="340068E1" w14:textId="2586A2A7" w:rsidR="00C512BE" w:rsidRDefault="00C512BE" w:rsidP="00C512BE">
      <w:pPr>
        <w:spacing w:after="0" w:line="240" w:lineRule="auto"/>
        <w:ind w:firstLine="426"/>
        <w:contextualSpacing/>
        <w:jc w:val="both"/>
        <w:rPr>
          <w:rFonts w:asciiTheme="majorHAnsi" w:hAnsiTheme="majorHAnsi" w:cs="Times New Roman"/>
          <w:bCs/>
          <w:sz w:val="20"/>
          <w:szCs w:val="20"/>
        </w:rPr>
      </w:pPr>
      <w:r w:rsidRPr="00C512BE">
        <w:rPr>
          <w:rFonts w:asciiTheme="majorHAnsi" w:hAnsiTheme="majorHAnsi" w:cs="Times New Roman"/>
          <w:bCs/>
          <w:sz w:val="20"/>
          <w:szCs w:val="20"/>
        </w:rPr>
        <w:t xml:space="preserve">It is important to evaluate the efficiency of pollutant removal to determine the level of selectivity of the membrane in separating pollutants from batik wastewater. TDS measurement was carried out using a TDS meter (ppm, E-1 TDS &amp; EC meter, China) and the concentration of green-blue dye in batik wastewater was analyzed by </w:t>
      </w:r>
      <w:r w:rsidRPr="00C512BE">
        <w:rPr>
          <w:rFonts w:asciiTheme="majorHAnsi" w:hAnsiTheme="majorHAnsi" w:cs="Times New Roman"/>
          <w:bCs/>
          <w:sz w:val="20"/>
          <w:szCs w:val="20"/>
        </w:rPr>
        <w:t xml:space="preserve">spectrophotometric method at the optimum wavelength (610-750 nm) </w:t>
      </w:r>
      <w:r w:rsidR="000C4F36">
        <w:rPr>
          <w:rFonts w:asciiTheme="majorHAnsi" w:hAnsiTheme="majorHAnsi" w:cs="Times New Roman"/>
          <w:bCs/>
          <w:sz w:val="20"/>
          <w:szCs w:val="20"/>
        </w:rPr>
        <w:fldChar w:fldCharType="begin"/>
      </w:r>
      <w:r w:rsidR="000C4F36">
        <w:rPr>
          <w:rFonts w:asciiTheme="majorHAnsi" w:hAnsiTheme="majorHAnsi" w:cs="Times New Roman"/>
          <w:bCs/>
          <w:sz w:val="20"/>
          <w:szCs w:val="20"/>
        </w:rPr>
        <w:instrText xml:space="preserve"> ADDIN ZOTERO_ITEM CSL_CITATION {"citationID":"252WNYhs","properties":{"formattedCitation":"(Triyati, 1985)","plainCitation":"(Triyati, 1985)","noteIndex":0},"citationItems":[{"id":360,"uris":["http://zotero.org/users/local/8H0XTJlS/items/ADYQVVIG"],"itemData":{"id":360,"type":"article-journal","abstract":"ULTRA VIOLET AND VISIBLE SPECTROPHOTOMETER AND ITS APPLICATION IN OCEANOLOGY. Ultra violet and visible spectrophotometer is one of the practical instrument which is able to detect the biological and chemical characteristics of sea water. The principle mechanism of this instrument is based on the light absorption by a solution at certain wave length. This paper describes the instrument and gives notes on the application in the field of oceanology, such as primary productivity, nutrients, suspended solid and sediment load.","issue":"1","language":"id","page":"9","title":"SPEKTROFOTOMETER ULTRA-VIOLET DAN SINAR TAMPAK SERTA APLIKASINYA DALAM OSEANOLOGI","author":[{"family":"Triyati","given":"Etty"}],"issued":{"date-parts":[["1985"]]}}}],"schema":"https://github.com/citation-style-language/schema/raw/master/csl-citation.json"} </w:instrText>
      </w:r>
      <w:r w:rsidR="000C4F36">
        <w:rPr>
          <w:rFonts w:asciiTheme="majorHAnsi" w:hAnsiTheme="majorHAnsi" w:cs="Times New Roman"/>
          <w:bCs/>
          <w:sz w:val="20"/>
          <w:szCs w:val="20"/>
        </w:rPr>
        <w:fldChar w:fldCharType="separate"/>
      </w:r>
      <w:r w:rsidR="000C4F36" w:rsidRPr="000C4F36">
        <w:rPr>
          <w:rFonts w:ascii="Cambria" w:hAnsi="Cambria"/>
          <w:sz w:val="20"/>
        </w:rPr>
        <w:t>(Triyati, 1985)</w:t>
      </w:r>
      <w:r w:rsidR="000C4F36">
        <w:rPr>
          <w:rFonts w:asciiTheme="majorHAnsi" w:hAnsiTheme="majorHAnsi" w:cs="Times New Roman"/>
          <w:bCs/>
          <w:sz w:val="20"/>
          <w:szCs w:val="20"/>
        </w:rPr>
        <w:fldChar w:fldCharType="end"/>
      </w:r>
      <w:r w:rsidR="000C4F36">
        <w:rPr>
          <w:rFonts w:asciiTheme="majorHAnsi" w:hAnsiTheme="majorHAnsi" w:cs="Times New Roman"/>
          <w:bCs/>
          <w:sz w:val="20"/>
          <w:szCs w:val="20"/>
        </w:rPr>
        <w:t xml:space="preserve">. </w:t>
      </w:r>
      <w:r>
        <w:rPr>
          <w:rFonts w:asciiTheme="majorHAnsi" w:hAnsiTheme="majorHAnsi" w:cs="Times New Roman"/>
          <w:bCs/>
          <w:sz w:val="20"/>
          <w:szCs w:val="20"/>
        </w:rPr>
        <w:t>Equation</w:t>
      </w:r>
      <w:r w:rsidRPr="00C512BE">
        <w:rPr>
          <w:rFonts w:asciiTheme="majorHAnsi" w:hAnsiTheme="majorHAnsi" w:cs="Times New Roman"/>
          <w:bCs/>
          <w:sz w:val="20"/>
          <w:szCs w:val="20"/>
        </w:rPr>
        <w:t xml:space="preserve"> 5 is used to calculate pollutant removal efficiency.</w:t>
      </w:r>
    </w:p>
    <w:p w14:paraId="61C20DBF" w14:textId="38CAA1D4" w:rsidR="00C512BE" w:rsidRDefault="00C512BE" w:rsidP="00C512BE">
      <w:pPr>
        <w:spacing w:after="0" w:line="240" w:lineRule="auto"/>
        <w:contextualSpacing/>
        <w:jc w:val="both"/>
        <w:rPr>
          <w:rFonts w:asciiTheme="majorHAnsi" w:hAnsiTheme="majorHAnsi"/>
          <w:sz w:val="20"/>
          <w:szCs w:val="20"/>
        </w:rPr>
      </w:pPr>
      <w:r w:rsidRPr="000D156B">
        <w:rPr>
          <w:position w:val="-32"/>
          <w:sz w:val="24"/>
          <w:szCs w:val="24"/>
        </w:rPr>
        <w:object w:dxaOrig="1800" w:dyaOrig="760" w14:anchorId="6C963C44">
          <v:shape id="_x0000_i1029" type="#_x0000_t75" style="width:90pt;height:38.25pt" o:ole="">
            <v:imagedata r:id="rId20" o:title=""/>
          </v:shape>
          <o:OLEObject Type="Embed" ProgID="Equation.DSMT4" ShapeID="_x0000_i1029" DrawAspect="Content" ObjectID="_1733572953" r:id="rId21"/>
        </w:object>
      </w:r>
      <w:r w:rsidR="000C4F36">
        <w:rPr>
          <w:sz w:val="24"/>
          <w:szCs w:val="24"/>
        </w:rPr>
        <w:tab/>
      </w:r>
      <w:r w:rsidR="000C4F36">
        <w:rPr>
          <w:sz w:val="24"/>
          <w:szCs w:val="24"/>
        </w:rPr>
        <w:tab/>
      </w:r>
      <w:r w:rsidR="000C4F36">
        <w:rPr>
          <w:sz w:val="24"/>
          <w:szCs w:val="24"/>
        </w:rPr>
        <w:tab/>
      </w:r>
      <w:r>
        <w:rPr>
          <w:rFonts w:asciiTheme="majorHAnsi" w:hAnsiTheme="majorHAnsi"/>
          <w:sz w:val="20"/>
          <w:szCs w:val="20"/>
        </w:rPr>
        <w:t>(5)</w:t>
      </w:r>
    </w:p>
    <w:p w14:paraId="7874BB53" w14:textId="0B9089C5" w:rsidR="00C512BE" w:rsidRDefault="00C512BE" w:rsidP="00C512BE">
      <w:pPr>
        <w:spacing w:after="0" w:line="240" w:lineRule="auto"/>
        <w:contextualSpacing/>
        <w:jc w:val="both"/>
        <w:rPr>
          <w:rFonts w:asciiTheme="majorHAnsi" w:hAnsiTheme="majorHAnsi" w:cs="Times New Roman"/>
          <w:bCs/>
          <w:sz w:val="20"/>
          <w:szCs w:val="20"/>
        </w:rPr>
      </w:pPr>
      <w:r w:rsidRPr="00C512BE">
        <w:rPr>
          <w:rFonts w:asciiTheme="majorHAnsi" w:hAnsiTheme="majorHAnsi" w:cs="Times New Roman"/>
          <w:bCs/>
          <w:sz w:val="20"/>
          <w:szCs w:val="20"/>
        </w:rPr>
        <w:t>Where R is removal efficiency (%), C</w:t>
      </w:r>
      <w:r w:rsidRPr="000C4F36">
        <w:rPr>
          <w:rFonts w:asciiTheme="majorHAnsi" w:hAnsiTheme="majorHAnsi" w:cs="Times New Roman"/>
          <w:bCs/>
          <w:sz w:val="20"/>
          <w:szCs w:val="20"/>
          <w:vertAlign w:val="subscript"/>
        </w:rPr>
        <w:t>p</w:t>
      </w:r>
      <w:r w:rsidRPr="00C512BE">
        <w:rPr>
          <w:rFonts w:asciiTheme="majorHAnsi" w:hAnsiTheme="majorHAnsi" w:cs="Times New Roman"/>
          <w:bCs/>
          <w:sz w:val="20"/>
          <w:szCs w:val="20"/>
        </w:rPr>
        <w:t xml:space="preserve"> and C</w:t>
      </w:r>
      <w:r w:rsidRPr="000C4F36">
        <w:rPr>
          <w:rFonts w:asciiTheme="majorHAnsi" w:hAnsiTheme="majorHAnsi" w:cs="Times New Roman"/>
          <w:bCs/>
          <w:sz w:val="20"/>
          <w:szCs w:val="20"/>
          <w:vertAlign w:val="subscript"/>
        </w:rPr>
        <w:t>f</w:t>
      </w:r>
      <w:r w:rsidRPr="00C512BE">
        <w:rPr>
          <w:rFonts w:asciiTheme="majorHAnsi" w:hAnsiTheme="majorHAnsi" w:cs="Times New Roman"/>
          <w:bCs/>
          <w:sz w:val="20"/>
          <w:szCs w:val="20"/>
        </w:rPr>
        <w:t xml:space="preserve"> are the pollutant concentration in permeate and feed solution, respectively (mg/L).</w:t>
      </w:r>
    </w:p>
    <w:p w14:paraId="38CCF8D0" w14:textId="178E0F1A" w:rsidR="00E2799A" w:rsidRDefault="00C512BE" w:rsidP="004D1A89">
      <w:pPr>
        <w:spacing w:after="0" w:line="240" w:lineRule="auto"/>
        <w:contextualSpacing/>
        <w:jc w:val="both"/>
        <w:rPr>
          <w:rFonts w:asciiTheme="majorHAnsi" w:hAnsiTheme="majorHAnsi" w:cs="Times New Roman"/>
          <w:bCs/>
          <w:sz w:val="20"/>
          <w:szCs w:val="20"/>
        </w:rPr>
      </w:pPr>
      <w:r>
        <w:rPr>
          <w:noProof/>
          <w:sz w:val="24"/>
          <w:szCs w:val="24"/>
        </w:rPr>
        <w:drawing>
          <wp:inline distT="0" distB="0" distL="0" distR="0" wp14:anchorId="7758B780" wp14:editId="1C662D40">
            <wp:extent cx="3246120" cy="206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ane modu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6120" cy="2062925"/>
                    </a:xfrm>
                    <a:prstGeom prst="rect">
                      <a:avLst/>
                    </a:prstGeom>
                  </pic:spPr>
                </pic:pic>
              </a:graphicData>
            </a:graphic>
          </wp:inline>
        </w:drawing>
      </w:r>
    </w:p>
    <w:p w14:paraId="2A72050D" w14:textId="111DCF67" w:rsidR="00E2799A" w:rsidRDefault="00C512BE" w:rsidP="000C4F36">
      <w:pPr>
        <w:spacing w:after="0" w:line="240" w:lineRule="auto"/>
        <w:contextualSpacing/>
        <w:jc w:val="center"/>
        <w:rPr>
          <w:rFonts w:asciiTheme="majorHAnsi" w:hAnsiTheme="majorHAnsi" w:cs="Times New Roman"/>
          <w:bCs/>
          <w:sz w:val="20"/>
          <w:szCs w:val="20"/>
        </w:rPr>
      </w:pPr>
      <w:r w:rsidRPr="00C512BE">
        <w:rPr>
          <w:rFonts w:asciiTheme="majorHAnsi" w:hAnsiTheme="majorHAnsi" w:cs="Times New Roman"/>
          <w:bCs/>
          <w:sz w:val="20"/>
          <w:szCs w:val="20"/>
        </w:rPr>
        <w:t>Figure 1. Membrane cross filtration system.</w:t>
      </w:r>
    </w:p>
    <w:p w14:paraId="3FAA5153" w14:textId="77777777" w:rsidR="00C512BE" w:rsidRDefault="00C512BE" w:rsidP="00C512BE">
      <w:pPr>
        <w:spacing w:after="0" w:line="240" w:lineRule="auto"/>
        <w:ind w:firstLine="426"/>
        <w:contextualSpacing/>
        <w:jc w:val="center"/>
        <w:rPr>
          <w:rFonts w:asciiTheme="majorHAnsi" w:hAnsiTheme="majorHAnsi" w:cs="Times New Roman"/>
          <w:bCs/>
          <w:sz w:val="20"/>
          <w:szCs w:val="20"/>
        </w:rPr>
      </w:pPr>
    </w:p>
    <w:p w14:paraId="787821FD" w14:textId="1499426B" w:rsidR="00C512BE" w:rsidRDefault="00C512BE" w:rsidP="00C512BE">
      <w:pPr>
        <w:spacing w:after="0" w:line="240" w:lineRule="auto"/>
        <w:contextualSpacing/>
        <w:jc w:val="both"/>
        <w:rPr>
          <w:rFonts w:asciiTheme="majorHAnsi" w:hAnsiTheme="majorHAnsi" w:cs="Times New Roman"/>
          <w:b/>
          <w:sz w:val="20"/>
          <w:szCs w:val="20"/>
        </w:rPr>
      </w:pPr>
      <w:r w:rsidRPr="00C512BE">
        <w:rPr>
          <w:rFonts w:asciiTheme="majorHAnsi" w:hAnsiTheme="majorHAnsi" w:cs="Times New Roman"/>
          <w:b/>
          <w:sz w:val="20"/>
          <w:szCs w:val="20"/>
        </w:rPr>
        <w:t>2.7 Antifouling potential and fouling resistance studies of fabricated membranes</w:t>
      </w:r>
    </w:p>
    <w:p w14:paraId="5695B2AD" w14:textId="39040F8B" w:rsidR="00C512BE" w:rsidRDefault="00C512BE" w:rsidP="000C4F36">
      <w:pPr>
        <w:spacing w:after="0" w:line="240" w:lineRule="auto"/>
        <w:ind w:firstLine="426"/>
        <w:contextualSpacing/>
        <w:jc w:val="both"/>
        <w:rPr>
          <w:rFonts w:asciiTheme="majorHAnsi" w:hAnsiTheme="majorHAnsi" w:cs="Times New Roman"/>
          <w:bCs/>
          <w:sz w:val="20"/>
          <w:szCs w:val="20"/>
        </w:rPr>
      </w:pPr>
      <w:r w:rsidRPr="00C512BE">
        <w:rPr>
          <w:rFonts w:asciiTheme="majorHAnsi" w:hAnsiTheme="majorHAnsi" w:cs="Times New Roman"/>
          <w:bCs/>
          <w:sz w:val="20"/>
          <w:szCs w:val="20"/>
        </w:rPr>
        <w:t>Evaluation of antifouling potential was assessed to obtain the total fouling ratio (R</w:t>
      </w:r>
      <w:r w:rsidRPr="000C4F36">
        <w:rPr>
          <w:rFonts w:asciiTheme="majorHAnsi" w:hAnsiTheme="majorHAnsi" w:cs="Times New Roman"/>
          <w:bCs/>
          <w:sz w:val="20"/>
          <w:szCs w:val="20"/>
          <w:vertAlign w:val="subscript"/>
        </w:rPr>
        <w:t>t</w:t>
      </w:r>
      <w:r w:rsidRPr="00C512BE">
        <w:rPr>
          <w:rFonts w:asciiTheme="majorHAnsi" w:hAnsiTheme="majorHAnsi" w:cs="Times New Roman"/>
          <w:bCs/>
          <w:sz w:val="20"/>
          <w:szCs w:val="20"/>
        </w:rPr>
        <w:t>, %), reversible fouling ratio (R</w:t>
      </w:r>
      <w:r w:rsidRPr="000C4F36">
        <w:rPr>
          <w:rFonts w:asciiTheme="majorHAnsi" w:hAnsiTheme="majorHAnsi" w:cs="Times New Roman"/>
          <w:bCs/>
          <w:sz w:val="20"/>
          <w:szCs w:val="20"/>
          <w:vertAlign w:val="subscript"/>
        </w:rPr>
        <w:t>r</w:t>
      </w:r>
      <w:r w:rsidRPr="00C512BE">
        <w:rPr>
          <w:rFonts w:asciiTheme="majorHAnsi" w:hAnsiTheme="majorHAnsi" w:cs="Times New Roman"/>
          <w:bCs/>
          <w:sz w:val="20"/>
          <w:szCs w:val="20"/>
        </w:rPr>
        <w:t>, %), irreversible fouling ratio (</w:t>
      </w:r>
      <w:proofErr w:type="spellStart"/>
      <w:r w:rsidRPr="00C512BE">
        <w:rPr>
          <w:rFonts w:asciiTheme="majorHAnsi" w:hAnsiTheme="majorHAnsi" w:cs="Times New Roman"/>
          <w:bCs/>
          <w:sz w:val="20"/>
          <w:szCs w:val="20"/>
        </w:rPr>
        <w:t>R</w:t>
      </w:r>
      <w:r w:rsidRPr="000C4F36">
        <w:rPr>
          <w:rFonts w:asciiTheme="majorHAnsi" w:hAnsiTheme="majorHAnsi" w:cs="Times New Roman"/>
          <w:bCs/>
          <w:sz w:val="20"/>
          <w:szCs w:val="20"/>
          <w:vertAlign w:val="subscript"/>
        </w:rPr>
        <w:t>ir</w:t>
      </w:r>
      <w:proofErr w:type="spellEnd"/>
      <w:r w:rsidRPr="00C512BE">
        <w:rPr>
          <w:rFonts w:asciiTheme="majorHAnsi" w:hAnsiTheme="majorHAnsi" w:cs="Times New Roman"/>
          <w:bCs/>
          <w:sz w:val="20"/>
          <w:szCs w:val="20"/>
        </w:rPr>
        <w:t>, %), and recovery flux ratio (F</w:t>
      </w:r>
      <w:r w:rsidRPr="000C4F36">
        <w:rPr>
          <w:rFonts w:asciiTheme="majorHAnsi" w:hAnsiTheme="majorHAnsi" w:cs="Times New Roman"/>
          <w:bCs/>
          <w:sz w:val="20"/>
          <w:szCs w:val="20"/>
          <w:vertAlign w:val="subscript"/>
        </w:rPr>
        <w:t>RR</w:t>
      </w:r>
      <w:r w:rsidRPr="00C512BE">
        <w:rPr>
          <w:rFonts w:asciiTheme="majorHAnsi" w:hAnsiTheme="majorHAnsi" w:cs="Times New Roman"/>
          <w:bCs/>
          <w:sz w:val="20"/>
          <w:szCs w:val="20"/>
        </w:rPr>
        <w:t xml:space="preserve">, %) using the following formula </w:t>
      </w:r>
      <w:r w:rsidR="000C4F36">
        <w:rPr>
          <w:rFonts w:asciiTheme="majorHAnsi" w:hAnsiTheme="majorHAnsi" w:cs="Times New Roman"/>
          <w:bCs/>
          <w:sz w:val="20"/>
          <w:szCs w:val="20"/>
        </w:rPr>
        <w:fldChar w:fldCharType="begin"/>
      </w:r>
      <w:r w:rsidR="000C4F36">
        <w:rPr>
          <w:rFonts w:asciiTheme="majorHAnsi" w:hAnsiTheme="majorHAnsi" w:cs="Times New Roman"/>
          <w:bCs/>
          <w:sz w:val="20"/>
          <w:szCs w:val="20"/>
        </w:rPr>
        <w:instrText xml:space="preserve"> ADDIN ZOTERO_ITEM CSL_CITATION {"citationID":"GeYyi0wN","properties":{"formattedCitation":"(Tutuk Djoko Kusworo et al., 2021)","plainCitation":"(Tutuk Djoko Kusworo et al., 2021)","noteIndex":0},"citationItems":[{"id":1017,"uris":["http://zotero.org/users/local/8H0XTJlS/items/4NSE7EBG"],"itemData":{"id":1017,"type":"article-journal","abstract":"The fouling formation on the membrane’s surface has limited the membrane-based separation in industrial ac­ tivities such as wastewater reclamation and seawater desalination. The nanomaterials’ incorporation has been developed to enhance membrane performance. In this study, the combination of graphene oxide (GO) and zinc oxide (ZnO) nanoparticles to PSf membrane to improve the membrane performances to treat the petroleum refinery wastewater (PRW) was performed. The SEM-EDX result shows the presence of both GO and ZnO nanoparticles on the membrane’s surface. They also produced the porosity of 83.00 ± 1.18 % for PSf/GO/ZnO, which was higher than the neat PSf with 52.20 ± 0.28 %. The FTIR and XRD result has confirmed the presence of GO and ZnO in the membrane that caused the increment in hydrophilicity and mechanical strength. The addition of GO and ZnO nanoparticles has reduced the water contact angle from 80◦ to 52◦ and increased water uptake ability from 16 % to 75 % compared to the neat PSf. It has also resulted in the highest permeate flux and pollutant removal compared to the other membranes with a maximum permeate flux of 35.03 L.m− 2.h− 1 and a rejection value 70.21 ± 2.33 % for total dissolved solids (TDS) and 74.68 ± 0.88 % for chemical oxygen demand (COD). The fouling resistance evaluation showed the addition of GO and ZnO nanoparticles successfully reduced the resistance during filtration, indicating a reduction in fouling tendency on the membrane’s surface. These phenomena are proven by the antifouling potential analysis at the addition of GO and ZnO nanoparticles was exhibited the highest flux recovery ratio up to 90.44 ± 1.22 %.","container-title":"Journal of Water Process Engineering","DOI":"10.1016/j.jwpe.2021.102030","ISSN":"22147144","journalAbbreviation":"Journal of Water Process Engineering","language":"en","page":"102030","source":"DOI.org (Crossref)","title":"Intensifying separation and antifouling performance of PSf membrane incorporated by GO and ZnO nanoparticles for petroleum refinery wastewater treatment","volume":"41","author":[{"family":"Kusworo","given":"Tutuk Djoko"},{"family":"Dalanta","given":"Febio"},{"family":"Aryanti","given":"Nita"},{"family":"Othman","given":"Nur Hidayati"}],"issued":{"date-parts":[["2021",6]]}}}],"schema":"https://github.com/citation-style-language/schema/raw/master/csl-citation.json"} </w:instrText>
      </w:r>
      <w:r w:rsidR="000C4F36">
        <w:rPr>
          <w:rFonts w:asciiTheme="majorHAnsi" w:hAnsiTheme="majorHAnsi" w:cs="Times New Roman"/>
          <w:bCs/>
          <w:sz w:val="20"/>
          <w:szCs w:val="20"/>
        </w:rPr>
        <w:fldChar w:fldCharType="separate"/>
      </w:r>
      <w:r w:rsidR="000C4F36" w:rsidRPr="000C4F36">
        <w:rPr>
          <w:rFonts w:ascii="Cambria" w:hAnsi="Cambria"/>
          <w:sz w:val="20"/>
        </w:rPr>
        <w:t>(Kusworo et al., 2021</w:t>
      </w:r>
      <w:r w:rsidR="000C4F36">
        <w:rPr>
          <w:rFonts w:ascii="Cambria" w:hAnsi="Cambria"/>
          <w:sz w:val="20"/>
        </w:rPr>
        <w:t>b</w:t>
      </w:r>
      <w:r w:rsidR="000C4F36" w:rsidRPr="000C4F36">
        <w:rPr>
          <w:rFonts w:ascii="Cambria" w:hAnsi="Cambria"/>
          <w:sz w:val="20"/>
        </w:rPr>
        <w:t>)</w:t>
      </w:r>
      <w:r w:rsidR="000C4F36">
        <w:rPr>
          <w:rFonts w:asciiTheme="majorHAnsi" w:hAnsiTheme="majorHAnsi" w:cs="Times New Roman"/>
          <w:bCs/>
          <w:sz w:val="20"/>
          <w:szCs w:val="20"/>
        </w:rPr>
        <w:fldChar w:fldCharType="end"/>
      </w:r>
      <w:r w:rsidR="000C4F36">
        <w:rPr>
          <w:rFonts w:asciiTheme="majorHAnsi" w:hAnsiTheme="majorHAnsi" w:cs="Times New Roman"/>
          <w:bCs/>
          <w:sz w:val="20"/>
          <w:szCs w:val="20"/>
        </w:rPr>
        <w:t>.</w:t>
      </w:r>
    </w:p>
    <w:p w14:paraId="3715C651" w14:textId="76657F34" w:rsidR="00C512BE" w:rsidRPr="00C512BE" w:rsidRDefault="00C512BE" w:rsidP="000C4F36">
      <w:pPr>
        <w:jc w:val="both"/>
        <w:rPr>
          <w:rFonts w:asciiTheme="majorHAnsi" w:hAnsiTheme="majorHAnsi" w:cs="Times New Roman"/>
          <w:sz w:val="20"/>
          <w:szCs w:val="20"/>
        </w:rPr>
      </w:pPr>
      <w:r w:rsidRPr="00C512BE">
        <w:rPr>
          <w:rFonts w:asciiTheme="majorHAnsi" w:hAnsiTheme="majorHAnsi"/>
          <w:position w:val="-26"/>
          <w:sz w:val="20"/>
          <w:szCs w:val="20"/>
        </w:rPr>
        <w:object w:dxaOrig="2060" w:dyaOrig="639" w14:anchorId="25AEDF0F">
          <v:shape id="_x0000_i1030" type="#_x0000_t75" style="width:103.5pt;height:32.25pt" o:ole="">
            <v:imagedata r:id="rId23" o:title=""/>
          </v:shape>
          <o:OLEObject Type="Embed" ProgID="Equation.DSMT4" ShapeID="_x0000_i1030" DrawAspect="Content" ObjectID="_1733572954" r:id="rId24"/>
        </w:object>
      </w:r>
      <w:r w:rsidR="000C4F36">
        <w:rPr>
          <w:rFonts w:asciiTheme="majorHAnsi" w:hAnsiTheme="majorHAnsi"/>
          <w:sz w:val="20"/>
          <w:szCs w:val="20"/>
        </w:rPr>
        <w:tab/>
      </w:r>
      <w:r w:rsidR="000C4F36">
        <w:rPr>
          <w:rFonts w:asciiTheme="majorHAnsi" w:hAnsiTheme="majorHAnsi"/>
          <w:sz w:val="20"/>
          <w:szCs w:val="20"/>
        </w:rPr>
        <w:tab/>
      </w:r>
      <w:r w:rsidR="000C4F36">
        <w:rPr>
          <w:rFonts w:asciiTheme="majorHAnsi" w:hAnsiTheme="majorHAnsi"/>
          <w:sz w:val="20"/>
          <w:szCs w:val="20"/>
        </w:rPr>
        <w:tab/>
      </w:r>
      <w:r w:rsidRPr="00C512BE">
        <w:rPr>
          <w:rFonts w:asciiTheme="majorHAnsi" w:hAnsiTheme="majorHAnsi" w:cs="Times New Roman"/>
          <w:sz w:val="20"/>
          <w:szCs w:val="20"/>
        </w:rPr>
        <w:t>(6)</w:t>
      </w:r>
    </w:p>
    <w:p w14:paraId="5965EE8F" w14:textId="13125E7B" w:rsidR="00C512BE" w:rsidRPr="00C512BE" w:rsidRDefault="00C512BE" w:rsidP="000C4F36">
      <w:pPr>
        <w:jc w:val="both"/>
        <w:rPr>
          <w:rFonts w:asciiTheme="majorHAnsi" w:hAnsiTheme="majorHAnsi" w:cs="Times New Roman"/>
          <w:sz w:val="20"/>
          <w:szCs w:val="20"/>
        </w:rPr>
      </w:pPr>
      <w:r w:rsidRPr="00C512BE">
        <w:rPr>
          <w:rFonts w:asciiTheme="majorHAnsi" w:hAnsiTheme="majorHAnsi" w:cs="Times New Roman"/>
          <w:position w:val="-26"/>
          <w:sz w:val="20"/>
          <w:szCs w:val="20"/>
        </w:rPr>
        <w:object w:dxaOrig="2060" w:dyaOrig="639" w14:anchorId="40AFFDB8">
          <v:shape id="_x0000_i1031" type="#_x0000_t75" style="width:103.5pt;height:32.25pt" o:ole="">
            <v:imagedata r:id="rId25" o:title=""/>
          </v:shape>
          <o:OLEObject Type="Embed" ProgID="Equation.DSMT4" ShapeID="_x0000_i1031" DrawAspect="Content" ObjectID="_1733572955" r:id="rId26"/>
        </w:object>
      </w:r>
      <w:r w:rsidR="000C4F36">
        <w:rPr>
          <w:rFonts w:asciiTheme="majorHAnsi" w:hAnsiTheme="majorHAnsi" w:cs="Times New Roman"/>
          <w:sz w:val="20"/>
          <w:szCs w:val="20"/>
        </w:rPr>
        <w:tab/>
      </w:r>
      <w:r w:rsidR="000C4F36">
        <w:rPr>
          <w:rFonts w:asciiTheme="majorHAnsi" w:hAnsiTheme="majorHAnsi" w:cs="Times New Roman"/>
          <w:sz w:val="20"/>
          <w:szCs w:val="20"/>
        </w:rPr>
        <w:tab/>
      </w:r>
      <w:r w:rsidR="000C4F36">
        <w:rPr>
          <w:rFonts w:asciiTheme="majorHAnsi" w:hAnsiTheme="majorHAnsi" w:cs="Times New Roman"/>
          <w:sz w:val="20"/>
          <w:szCs w:val="20"/>
        </w:rPr>
        <w:tab/>
      </w:r>
      <w:r w:rsidRPr="00C512BE">
        <w:rPr>
          <w:rFonts w:asciiTheme="majorHAnsi" w:hAnsiTheme="majorHAnsi" w:cs="Times New Roman"/>
          <w:sz w:val="20"/>
          <w:szCs w:val="20"/>
        </w:rPr>
        <w:t>(7)</w:t>
      </w:r>
    </w:p>
    <w:p w14:paraId="367DDBAF" w14:textId="79E973BC" w:rsidR="00C512BE" w:rsidRPr="00C512BE" w:rsidRDefault="00C512BE" w:rsidP="000C4F36">
      <w:pPr>
        <w:jc w:val="both"/>
        <w:rPr>
          <w:rFonts w:asciiTheme="majorHAnsi" w:hAnsiTheme="majorHAnsi" w:cs="Times New Roman"/>
          <w:sz w:val="20"/>
          <w:szCs w:val="20"/>
        </w:rPr>
      </w:pPr>
      <w:r w:rsidRPr="00C512BE">
        <w:rPr>
          <w:rFonts w:asciiTheme="majorHAnsi" w:hAnsiTheme="majorHAnsi" w:cs="Times New Roman"/>
          <w:position w:val="-26"/>
          <w:sz w:val="20"/>
          <w:szCs w:val="20"/>
        </w:rPr>
        <w:object w:dxaOrig="2120" w:dyaOrig="639" w14:anchorId="3AA54952">
          <v:shape id="_x0000_i1032" type="#_x0000_t75" style="width:105.75pt;height:32.25pt" o:ole="">
            <v:imagedata r:id="rId27" o:title=""/>
          </v:shape>
          <o:OLEObject Type="Embed" ProgID="Equation.DSMT4" ShapeID="_x0000_i1032" DrawAspect="Content" ObjectID="_1733572956" r:id="rId28"/>
        </w:object>
      </w:r>
      <w:r w:rsidR="000C4F36">
        <w:rPr>
          <w:rFonts w:asciiTheme="majorHAnsi" w:hAnsiTheme="majorHAnsi" w:cs="Times New Roman"/>
          <w:sz w:val="20"/>
          <w:szCs w:val="20"/>
        </w:rPr>
        <w:tab/>
      </w:r>
      <w:r w:rsidR="000C4F36">
        <w:rPr>
          <w:rFonts w:asciiTheme="majorHAnsi" w:hAnsiTheme="majorHAnsi" w:cs="Times New Roman"/>
          <w:sz w:val="20"/>
          <w:szCs w:val="20"/>
        </w:rPr>
        <w:tab/>
      </w:r>
      <w:r w:rsidR="000C4F36">
        <w:rPr>
          <w:rFonts w:asciiTheme="majorHAnsi" w:hAnsiTheme="majorHAnsi" w:cs="Times New Roman"/>
          <w:sz w:val="20"/>
          <w:szCs w:val="20"/>
        </w:rPr>
        <w:tab/>
      </w:r>
      <w:r w:rsidRPr="00C512BE">
        <w:rPr>
          <w:rFonts w:asciiTheme="majorHAnsi" w:hAnsiTheme="majorHAnsi" w:cs="Times New Roman"/>
          <w:sz w:val="20"/>
          <w:szCs w:val="20"/>
        </w:rPr>
        <w:t>(8)</w:t>
      </w:r>
    </w:p>
    <w:p w14:paraId="1561AC75" w14:textId="542D3331" w:rsidR="00C512BE" w:rsidRDefault="00C512BE" w:rsidP="000C4F36">
      <w:pPr>
        <w:pStyle w:val="ListParagraph"/>
        <w:spacing w:line="240" w:lineRule="auto"/>
        <w:ind w:left="0"/>
        <w:jc w:val="both"/>
        <w:rPr>
          <w:rFonts w:asciiTheme="majorHAnsi" w:hAnsiTheme="majorHAnsi" w:cs="Times New Roman"/>
          <w:sz w:val="20"/>
          <w:szCs w:val="20"/>
        </w:rPr>
      </w:pPr>
      <w:r w:rsidRPr="00C512BE">
        <w:rPr>
          <w:rFonts w:asciiTheme="majorHAnsi" w:hAnsiTheme="majorHAnsi"/>
          <w:position w:val="-26"/>
          <w:sz w:val="20"/>
          <w:szCs w:val="20"/>
        </w:rPr>
        <w:object w:dxaOrig="1719" w:dyaOrig="639" w14:anchorId="71FAA195">
          <v:shape id="_x0000_i1033" type="#_x0000_t75" style="width:85.5pt;height:32.25pt" o:ole="">
            <v:imagedata r:id="rId29" o:title=""/>
          </v:shape>
          <o:OLEObject Type="Embed" ProgID="Equation.DSMT4" ShapeID="_x0000_i1033" DrawAspect="Content" ObjectID="_1733572957" r:id="rId30"/>
        </w:object>
      </w:r>
      <w:r w:rsidR="000C4F36">
        <w:rPr>
          <w:rFonts w:asciiTheme="majorHAnsi" w:hAnsiTheme="majorHAnsi" w:cs="Times New Roman"/>
          <w:sz w:val="20"/>
          <w:szCs w:val="20"/>
        </w:rPr>
        <w:tab/>
      </w:r>
      <w:r w:rsidR="000C4F36">
        <w:rPr>
          <w:rFonts w:asciiTheme="majorHAnsi" w:hAnsiTheme="majorHAnsi" w:cs="Times New Roman"/>
          <w:sz w:val="20"/>
          <w:szCs w:val="20"/>
        </w:rPr>
        <w:tab/>
      </w:r>
      <w:r w:rsidR="000C4F36">
        <w:rPr>
          <w:rFonts w:asciiTheme="majorHAnsi" w:hAnsiTheme="majorHAnsi" w:cs="Times New Roman"/>
          <w:sz w:val="20"/>
          <w:szCs w:val="20"/>
        </w:rPr>
        <w:tab/>
      </w:r>
      <w:r w:rsidRPr="00C512BE">
        <w:rPr>
          <w:rFonts w:asciiTheme="majorHAnsi" w:hAnsiTheme="majorHAnsi" w:cs="Times New Roman"/>
          <w:sz w:val="20"/>
          <w:szCs w:val="20"/>
        </w:rPr>
        <w:t>(9)</w:t>
      </w:r>
    </w:p>
    <w:p w14:paraId="2FCBE025" w14:textId="77777777" w:rsidR="00C512BE" w:rsidRPr="00C512BE" w:rsidRDefault="00C512BE" w:rsidP="00C512BE">
      <w:pPr>
        <w:pStyle w:val="ListParagraph"/>
        <w:spacing w:line="240" w:lineRule="auto"/>
        <w:ind w:left="0"/>
        <w:jc w:val="both"/>
        <w:rPr>
          <w:rFonts w:asciiTheme="majorHAnsi" w:hAnsiTheme="majorHAnsi" w:cs="Times New Roman"/>
          <w:sz w:val="20"/>
          <w:szCs w:val="20"/>
        </w:rPr>
      </w:pPr>
      <w:r w:rsidRPr="00C512BE">
        <w:rPr>
          <w:rFonts w:asciiTheme="majorHAnsi" w:hAnsiTheme="majorHAnsi" w:cs="Times New Roman"/>
          <w:sz w:val="20"/>
          <w:szCs w:val="20"/>
        </w:rPr>
        <w:t>Where J</w:t>
      </w:r>
      <w:r w:rsidRPr="00C512BE">
        <w:rPr>
          <w:rFonts w:asciiTheme="majorHAnsi" w:hAnsiTheme="majorHAnsi" w:cs="Times New Roman"/>
          <w:sz w:val="20"/>
          <w:szCs w:val="20"/>
          <w:vertAlign w:val="subscript"/>
        </w:rPr>
        <w:t>pw0</w:t>
      </w:r>
      <w:r w:rsidRPr="00C512BE">
        <w:rPr>
          <w:rFonts w:asciiTheme="majorHAnsi" w:hAnsiTheme="majorHAnsi" w:cs="Times New Roman"/>
          <w:sz w:val="20"/>
          <w:szCs w:val="20"/>
        </w:rPr>
        <w:t xml:space="preserve">, </w:t>
      </w:r>
      <w:proofErr w:type="spellStart"/>
      <w:r w:rsidRPr="00C512BE">
        <w:rPr>
          <w:rFonts w:asciiTheme="majorHAnsi" w:hAnsiTheme="majorHAnsi" w:cs="Times New Roman"/>
          <w:sz w:val="20"/>
          <w:szCs w:val="20"/>
        </w:rPr>
        <w:t>J</w:t>
      </w:r>
      <w:r w:rsidRPr="00C512BE">
        <w:rPr>
          <w:rFonts w:asciiTheme="majorHAnsi" w:hAnsiTheme="majorHAnsi" w:cs="Times New Roman"/>
          <w:sz w:val="20"/>
          <w:szCs w:val="20"/>
          <w:vertAlign w:val="subscript"/>
        </w:rPr>
        <w:t>ww</w:t>
      </w:r>
      <w:proofErr w:type="spellEnd"/>
      <w:r w:rsidRPr="00C512BE">
        <w:rPr>
          <w:rFonts w:asciiTheme="majorHAnsi" w:hAnsiTheme="majorHAnsi" w:cs="Times New Roman"/>
          <w:sz w:val="20"/>
          <w:szCs w:val="20"/>
        </w:rPr>
        <w:t>, and J</w:t>
      </w:r>
      <w:r w:rsidRPr="00C512BE">
        <w:rPr>
          <w:rFonts w:asciiTheme="majorHAnsi" w:hAnsiTheme="majorHAnsi" w:cs="Times New Roman"/>
          <w:sz w:val="20"/>
          <w:szCs w:val="20"/>
          <w:vertAlign w:val="subscript"/>
        </w:rPr>
        <w:t>pw1</w:t>
      </w:r>
      <w:r w:rsidRPr="00C512BE">
        <w:rPr>
          <w:rFonts w:asciiTheme="majorHAnsi" w:hAnsiTheme="majorHAnsi" w:cs="Times New Roman"/>
          <w:sz w:val="20"/>
          <w:szCs w:val="20"/>
        </w:rPr>
        <w:t xml:space="preserve"> is initial PWF, permeate flux of batik wastewater, and PWF after cleaning, respectively.</w:t>
      </w:r>
    </w:p>
    <w:p w14:paraId="4EF5A1FF" w14:textId="61652669" w:rsidR="00C512BE" w:rsidRDefault="00C512BE" w:rsidP="00C512BE">
      <w:pPr>
        <w:pStyle w:val="ListParagraph"/>
        <w:spacing w:line="240" w:lineRule="auto"/>
        <w:ind w:left="0" w:firstLine="426"/>
        <w:jc w:val="both"/>
        <w:rPr>
          <w:rFonts w:asciiTheme="majorHAnsi" w:hAnsiTheme="majorHAnsi" w:cs="Times New Roman"/>
          <w:sz w:val="20"/>
          <w:szCs w:val="20"/>
        </w:rPr>
      </w:pPr>
      <w:r w:rsidRPr="00C512BE">
        <w:rPr>
          <w:rFonts w:asciiTheme="majorHAnsi" w:hAnsiTheme="majorHAnsi" w:cs="Times New Roman"/>
          <w:sz w:val="20"/>
          <w:szCs w:val="20"/>
        </w:rPr>
        <w:t>Moreover, the membrane resistance during the filtration process was evaluated using the resistance-in-series model. This model involves each type of resistance such as intrinsic resistance (R</w:t>
      </w:r>
      <w:r w:rsidRPr="00C512BE">
        <w:rPr>
          <w:rFonts w:asciiTheme="majorHAnsi" w:hAnsiTheme="majorHAnsi" w:cs="Times New Roman"/>
          <w:sz w:val="20"/>
          <w:szCs w:val="20"/>
          <w:vertAlign w:val="subscript"/>
        </w:rPr>
        <w:t>m</w:t>
      </w:r>
      <w:r w:rsidRPr="00C512BE">
        <w:rPr>
          <w:rFonts w:asciiTheme="majorHAnsi" w:hAnsiTheme="majorHAnsi" w:cs="Times New Roman"/>
          <w:sz w:val="20"/>
          <w:szCs w:val="20"/>
        </w:rPr>
        <w:t>), adsorptive fouling (R</w:t>
      </w:r>
      <w:r w:rsidRPr="00C512BE">
        <w:rPr>
          <w:rFonts w:asciiTheme="majorHAnsi" w:hAnsiTheme="majorHAnsi" w:cs="Times New Roman"/>
          <w:sz w:val="20"/>
          <w:szCs w:val="20"/>
          <w:vertAlign w:val="subscript"/>
        </w:rPr>
        <w:t>a</w:t>
      </w:r>
      <w:r w:rsidRPr="00C512BE">
        <w:rPr>
          <w:rFonts w:asciiTheme="majorHAnsi" w:hAnsiTheme="majorHAnsi" w:cs="Times New Roman"/>
          <w:sz w:val="20"/>
          <w:szCs w:val="20"/>
        </w:rPr>
        <w:t>), deposition fouling (R</w:t>
      </w:r>
      <w:r w:rsidRPr="00C512BE">
        <w:rPr>
          <w:rFonts w:asciiTheme="majorHAnsi" w:hAnsiTheme="majorHAnsi" w:cs="Times New Roman"/>
          <w:sz w:val="20"/>
          <w:szCs w:val="20"/>
          <w:vertAlign w:val="subscript"/>
        </w:rPr>
        <w:t>d</w:t>
      </w:r>
      <w:r w:rsidRPr="00C512BE">
        <w:rPr>
          <w:rFonts w:asciiTheme="majorHAnsi" w:hAnsiTheme="majorHAnsi" w:cs="Times New Roman"/>
          <w:sz w:val="20"/>
          <w:szCs w:val="20"/>
        </w:rPr>
        <w:t>), and concentration polarization (</w:t>
      </w:r>
      <w:proofErr w:type="spellStart"/>
      <w:r w:rsidRPr="00C512BE">
        <w:rPr>
          <w:rFonts w:asciiTheme="majorHAnsi" w:hAnsiTheme="majorHAnsi" w:cs="Times New Roman"/>
          <w:sz w:val="20"/>
          <w:szCs w:val="20"/>
        </w:rPr>
        <w:t>R</w:t>
      </w:r>
      <w:r w:rsidRPr="00C512BE">
        <w:rPr>
          <w:rFonts w:asciiTheme="majorHAnsi" w:hAnsiTheme="majorHAnsi" w:cs="Times New Roman"/>
          <w:sz w:val="20"/>
          <w:szCs w:val="20"/>
          <w:vertAlign w:val="subscript"/>
        </w:rPr>
        <w:t>cp</w:t>
      </w:r>
      <w:proofErr w:type="spellEnd"/>
      <w:r w:rsidRPr="00C512BE">
        <w:rPr>
          <w:rFonts w:asciiTheme="majorHAnsi" w:hAnsiTheme="majorHAnsi" w:cs="Times New Roman"/>
          <w:sz w:val="20"/>
          <w:szCs w:val="20"/>
        </w:rPr>
        <w:t xml:space="preserve">)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{"citationID":"alOqC7VC","properties":{"formattedCitation":"(Younas et al., 2019)","plainCitation":"(Younas et al., 2019)","noteIndex":0},"citationItems":[{"id":938,"uris":["http://zotero.org/users/local/8H0XTJlS/items/NPQYLY2S"],"itemData":{"id":938,"type":"article-journal","abstract":"To overcome the fouling issue of membrane, hydrophilic membrane fabrication is a rich research domain. In this study, hydrophilic membrane was fabricated by incorporating the hydrophilic polymer into dope solution. Polymethyl methacrylate (PMMA) was blended with polyvinylidene fluoride (PVDF) (12%), polyethylene glycol (PEG) (2%), and N,N dimethyl acetamide (DMAc) solution and membranes were prepared by non-solvent induced phase separation process (NIPS). The synthesized membranes were characterized for their surface and cross-sectional morphology, crystallinity, chemical composition, hydrophilicity, pore size, porosity, permeability, pollutant retention, and fouling resistance. The addition of only PEG to PVDF and PMMA to PVDF increased the porosity, pore size and hydrophilicity of the membrane. Whereas, a combination of both PEG (2%) and PMMA (1%) into PVDF further increased the hydrophilicity (contact angle 60°) and porosity (90%) of the membrane. The maximum pure water flux (PWF) (565 LMH) was also recorded with PVDF-PEG-PMMA membrane without compromising the humic acid (HA) retention rate (80%). Moreover, flux recovery ratio of PVDF-PEG-PMMA membrane was more than 80% with hydraulic flushing. The combination of PEG and PMMA proved to be very effective for improving the properties of PVDF membrane resulting in better flux and antifouling potential of the membrane.","container-title":"Polymer","DOI":"https://doi.org/10.1016/j.polymer.2019.121593","ISSN":"0032-3861","page":"121593","title":"Fabrication of high flux and fouling resistant membrane: A unique hydrophilic blend of polyvinylidene fluoride/polyethylene glycol/polymethyl methacrylate","volume":"179","author":[{"family":"Younas","given":"Hassan"},{"family":"Zhou","given":"Yue"},{"family":"Li","given":"Xiaogang"},{"family":"Li","given":"Xue"},{"family":"Sun","given":"Qianyun"},{"family":"Cui","given":"Zhaoliang"},{"family":"Wang","given":"Zhaohui"}],"issued":{"date-parts":[["2019"]]}}}],"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(Younas et al., 2019)</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w:t>
      </w:r>
    </w:p>
    <w:p w14:paraId="4E0ECF22" w14:textId="7A431CC0" w:rsidR="00C512BE" w:rsidRPr="00C512BE" w:rsidRDefault="00C512BE" w:rsidP="000C4F36">
      <w:pPr>
        <w:pStyle w:val="ListParagraph"/>
        <w:ind w:left="0"/>
        <w:jc w:val="both"/>
        <w:rPr>
          <w:rFonts w:asciiTheme="majorHAnsi" w:hAnsiTheme="majorHAnsi" w:cs="Times New Roman"/>
          <w:sz w:val="20"/>
          <w:szCs w:val="20"/>
        </w:rPr>
      </w:pPr>
      <w:r w:rsidRPr="00C512BE">
        <w:rPr>
          <w:rFonts w:asciiTheme="majorHAnsi" w:hAnsiTheme="majorHAnsi" w:cs="Times New Roman"/>
          <w:position w:val="-28"/>
          <w:sz w:val="20"/>
          <w:szCs w:val="20"/>
        </w:rPr>
        <w:object w:dxaOrig="960" w:dyaOrig="660" w14:anchorId="35F5C441">
          <v:shape id="_x0000_i1034" type="#_x0000_t75" style="width:47.25pt;height:33pt" o:ole="">
            <v:imagedata r:id="rId31" o:title=""/>
          </v:shape>
          <o:OLEObject Type="Embed" ProgID="Equation.DSMT4" ShapeID="_x0000_i1034" DrawAspect="Content" ObjectID="_1733572958" r:id="rId32"/>
        </w:object>
      </w:r>
      <w:r w:rsidR="000C4F36">
        <w:rPr>
          <w:rFonts w:asciiTheme="majorHAnsi" w:hAnsiTheme="majorHAnsi" w:cs="Times New Roman"/>
          <w:sz w:val="20"/>
          <w:szCs w:val="20"/>
        </w:rPr>
        <w:tab/>
      </w:r>
      <w:r w:rsidR="000C4F36">
        <w:rPr>
          <w:rFonts w:asciiTheme="majorHAnsi" w:hAnsiTheme="majorHAnsi" w:cs="Times New Roman"/>
          <w:sz w:val="20"/>
          <w:szCs w:val="20"/>
        </w:rPr>
        <w:tab/>
      </w:r>
      <w:r w:rsidR="000C4F36">
        <w:rPr>
          <w:rFonts w:asciiTheme="majorHAnsi" w:hAnsiTheme="majorHAnsi" w:cs="Times New Roman"/>
          <w:sz w:val="20"/>
          <w:szCs w:val="20"/>
        </w:rPr>
        <w:tab/>
      </w:r>
      <w:r w:rsidR="000C4F36">
        <w:rPr>
          <w:rFonts w:asciiTheme="majorHAnsi" w:hAnsiTheme="majorHAnsi" w:cs="Times New Roman"/>
          <w:sz w:val="20"/>
          <w:szCs w:val="20"/>
        </w:rPr>
        <w:tab/>
      </w:r>
      <w:r w:rsidRPr="00C512BE">
        <w:rPr>
          <w:rFonts w:asciiTheme="majorHAnsi" w:hAnsiTheme="majorHAnsi" w:cs="Times New Roman"/>
          <w:sz w:val="20"/>
          <w:szCs w:val="20"/>
        </w:rPr>
        <w:t>(10)</w:t>
      </w:r>
    </w:p>
    <w:p w14:paraId="292D23B2" w14:textId="1F16DC6E" w:rsidR="00C512BE" w:rsidRPr="00C512BE" w:rsidRDefault="00C512BE" w:rsidP="000C4F36">
      <w:pPr>
        <w:pStyle w:val="ListParagraph"/>
        <w:ind w:left="0"/>
        <w:jc w:val="both"/>
        <w:rPr>
          <w:rFonts w:asciiTheme="majorHAnsi" w:hAnsiTheme="majorHAnsi" w:cs="Times New Roman"/>
          <w:sz w:val="20"/>
          <w:szCs w:val="20"/>
        </w:rPr>
      </w:pPr>
      <w:r w:rsidRPr="00C512BE">
        <w:rPr>
          <w:rFonts w:asciiTheme="majorHAnsi" w:hAnsiTheme="majorHAnsi" w:cs="Times New Roman"/>
          <w:position w:val="-28"/>
          <w:sz w:val="20"/>
          <w:szCs w:val="20"/>
        </w:rPr>
        <w:object w:dxaOrig="1359" w:dyaOrig="660" w14:anchorId="3076B799">
          <v:shape id="_x0000_i1035" type="#_x0000_t75" style="width:67.5pt;height:33pt" o:ole="">
            <v:imagedata r:id="rId33" o:title=""/>
          </v:shape>
          <o:OLEObject Type="Embed" ProgID="Equation.DSMT4" ShapeID="_x0000_i1035" DrawAspect="Content" ObjectID="_1733572959" r:id="rId34"/>
        </w:object>
      </w:r>
      <w:r w:rsidR="000C4F36">
        <w:rPr>
          <w:rFonts w:asciiTheme="majorHAnsi" w:hAnsiTheme="majorHAnsi" w:cs="Times New Roman"/>
          <w:sz w:val="20"/>
          <w:szCs w:val="20"/>
        </w:rPr>
        <w:tab/>
      </w:r>
      <w:r w:rsidR="000C4F36">
        <w:rPr>
          <w:rFonts w:asciiTheme="majorHAnsi" w:hAnsiTheme="majorHAnsi" w:cs="Times New Roman"/>
          <w:sz w:val="20"/>
          <w:szCs w:val="20"/>
        </w:rPr>
        <w:tab/>
      </w:r>
      <w:r w:rsidR="000C4F36">
        <w:rPr>
          <w:rFonts w:asciiTheme="majorHAnsi" w:hAnsiTheme="majorHAnsi" w:cs="Times New Roman"/>
          <w:sz w:val="20"/>
          <w:szCs w:val="20"/>
        </w:rPr>
        <w:tab/>
      </w:r>
      <w:r w:rsidRPr="00C512BE">
        <w:rPr>
          <w:rFonts w:asciiTheme="majorHAnsi" w:hAnsiTheme="majorHAnsi" w:cs="Times New Roman"/>
          <w:sz w:val="20"/>
          <w:szCs w:val="20"/>
        </w:rPr>
        <w:t>(11)</w:t>
      </w:r>
    </w:p>
    <w:p w14:paraId="43BF1D0F" w14:textId="22545FAF" w:rsidR="00C512BE" w:rsidRPr="00C512BE" w:rsidRDefault="00C512BE" w:rsidP="000C4F36">
      <w:pPr>
        <w:pStyle w:val="ListParagraph"/>
        <w:ind w:left="0"/>
        <w:jc w:val="both"/>
        <w:rPr>
          <w:rFonts w:asciiTheme="majorHAnsi" w:hAnsiTheme="majorHAnsi" w:cs="Times New Roman"/>
          <w:sz w:val="20"/>
          <w:szCs w:val="20"/>
        </w:rPr>
      </w:pPr>
      <w:r w:rsidRPr="00C512BE">
        <w:rPr>
          <w:rFonts w:asciiTheme="majorHAnsi" w:hAnsiTheme="majorHAnsi" w:cs="Times New Roman"/>
          <w:position w:val="-28"/>
          <w:sz w:val="20"/>
          <w:szCs w:val="20"/>
        </w:rPr>
        <w:object w:dxaOrig="1700" w:dyaOrig="660" w14:anchorId="556E3515">
          <v:shape id="_x0000_i1036" type="#_x0000_t75" style="width:84.75pt;height:33pt" o:ole="">
            <v:imagedata r:id="rId35" o:title=""/>
          </v:shape>
          <o:OLEObject Type="Embed" ProgID="Equation.DSMT4" ShapeID="_x0000_i1036" DrawAspect="Content" ObjectID="_1733572960" r:id="rId36"/>
        </w:object>
      </w:r>
      <w:r w:rsidR="000C4F36">
        <w:rPr>
          <w:rFonts w:asciiTheme="majorHAnsi" w:hAnsiTheme="majorHAnsi" w:cs="Times New Roman"/>
          <w:sz w:val="20"/>
          <w:szCs w:val="20"/>
        </w:rPr>
        <w:tab/>
      </w:r>
      <w:r w:rsidR="000C4F36">
        <w:rPr>
          <w:rFonts w:asciiTheme="majorHAnsi" w:hAnsiTheme="majorHAnsi" w:cs="Times New Roman"/>
          <w:sz w:val="20"/>
          <w:szCs w:val="20"/>
        </w:rPr>
        <w:tab/>
      </w:r>
      <w:r w:rsidRPr="00C512BE">
        <w:rPr>
          <w:rFonts w:asciiTheme="majorHAnsi" w:hAnsiTheme="majorHAnsi" w:cs="Times New Roman"/>
          <w:sz w:val="20"/>
          <w:szCs w:val="20"/>
        </w:rPr>
        <w:t>(12)</w:t>
      </w:r>
    </w:p>
    <w:p w14:paraId="32AA9B0F" w14:textId="080DF4FC" w:rsidR="00C512BE" w:rsidRPr="00C512BE" w:rsidRDefault="00C512BE" w:rsidP="000C4F36">
      <w:pPr>
        <w:pStyle w:val="ListParagraph"/>
        <w:spacing w:line="240" w:lineRule="auto"/>
        <w:ind w:left="0"/>
        <w:jc w:val="both"/>
        <w:rPr>
          <w:rFonts w:asciiTheme="majorHAnsi" w:hAnsiTheme="majorHAnsi" w:cs="Times New Roman"/>
          <w:sz w:val="16"/>
          <w:szCs w:val="16"/>
        </w:rPr>
      </w:pPr>
      <w:r w:rsidRPr="00C512BE">
        <w:rPr>
          <w:rFonts w:asciiTheme="majorHAnsi" w:hAnsiTheme="majorHAnsi" w:cs="Times New Roman"/>
          <w:position w:val="-28"/>
          <w:sz w:val="20"/>
          <w:szCs w:val="20"/>
        </w:rPr>
        <w:object w:dxaOrig="2060" w:dyaOrig="660" w14:anchorId="7FF751EC">
          <v:shape id="_x0000_i1037" type="#_x0000_t75" style="width:103.5pt;height:33pt" o:ole="">
            <v:imagedata r:id="rId37" o:title=""/>
          </v:shape>
          <o:OLEObject Type="Embed" ProgID="Equation.DSMT4" ShapeID="_x0000_i1037" DrawAspect="Content" ObjectID="_1733572961" r:id="rId38"/>
        </w:object>
      </w:r>
      <w:r w:rsidR="000C4F36">
        <w:rPr>
          <w:rFonts w:asciiTheme="majorHAnsi" w:hAnsiTheme="majorHAnsi" w:cs="Times New Roman"/>
          <w:sz w:val="20"/>
          <w:szCs w:val="20"/>
        </w:rPr>
        <w:tab/>
      </w:r>
      <w:r w:rsidR="000C4F36">
        <w:rPr>
          <w:rFonts w:asciiTheme="majorHAnsi" w:hAnsiTheme="majorHAnsi" w:cs="Times New Roman"/>
          <w:sz w:val="20"/>
          <w:szCs w:val="20"/>
        </w:rPr>
        <w:tab/>
      </w:r>
      <w:r w:rsidRPr="00C512BE">
        <w:rPr>
          <w:rFonts w:asciiTheme="majorHAnsi" w:hAnsiTheme="majorHAnsi" w:cs="Times New Roman"/>
          <w:sz w:val="20"/>
          <w:szCs w:val="20"/>
        </w:rPr>
        <w:t>(13)</w:t>
      </w:r>
    </w:p>
    <w:p w14:paraId="09FF9EBB" w14:textId="55FF040A" w:rsidR="00C512BE" w:rsidRDefault="00C512BE" w:rsidP="00C512BE">
      <w:pPr>
        <w:spacing w:after="0" w:line="240" w:lineRule="auto"/>
        <w:contextualSpacing/>
        <w:jc w:val="both"/>
        <w:rPr>
          <w:rFonts w:asciiTheme="majorHAnsi" w:hAnsiTheme="majorHAnsi" w:cs="Times New Roman"/>
          <w:bCs/>
          <w:sz w:val="20"/>
          <w:szCs w:val="20"/>
        </w:rPr>
      </w:pPr>
      <w:r w:rsidRPr="00C512BE">
        <w:rPr>
          <w:rFonts w:asciiTheme="majorHAnsi" w:hAnsiTheme="majorHAnsi" w:cs="Times New Roman"/>
          <w:bCs/>
          <w:sz w:val="20"/>
          <w:szCs w:val="20"/>
        </w:rPr>
        <w:t>Where ΔP is the trans-membrane pressure (Pa), is the viscosity of pure water (</w:t>
      </w:r>
      <w:proofErr w:type="spellStart"/>
      <w:r w:rsidRPr="00C512BE">
        <w:rPr>
          <w:rFonts w:asciiTheme="majorHAnsi" w:hAnsiTheme="majorHAnsi" w:cs="Times New Roman"/>
          <w:bCs/>
          <w:sz w:val="20"/>
          <w:szCs w:val="20"/>
        </w:rPr>
        <w:t>Pa.s</w:t>
      </w:r>
      <w:proofErr w:type="spellEnd"/>
      <w:r w:rsidRPr="00C512BE">
        <w:rPr>
          <w:rFonts w:asciiTheme="majorHAnsi" w:hAnsiTheme="majorHAnsi" w:cs="Times New Roman"/>
          <w:bCs/>
          <w:sz w:val="20"/>
          <w:szCs w:val="20"/>
        </w:rPr>
        <w:t>), J</w:t>
      </w:r>
      <w:r w:rsidRPr="00C512BE">
        <w:rPr>
          <w:rFonts w:asciiTheme="majorHAnsi" w:hAnsiTheme="majorHAnsi" w:cs="Times New Roman"/>
          <w:bCs/>
          <w:sz w:val="20"/>
          <w:szCs w:val="20"/>
          <w:vertAlign w:val="subscript"/>
        </w:rPr>
        <w:t>i</w:t>
      </w:r>
      <w:r w:rsidRPr="00C512BE">
        <w:rPr>
          <w:rFonts w:asciiTheme="majorHAnsi" w:hAnsiTheme="majorHAnsi" w:cs="Times New Roman"/>
          <w:bCs/>
          <w:sz w:val="20"/>
          <w:szCs w:val="20"/>
        </w:rPr>
        <w:t>, J</w:t>
      </w:r>
      <w:r w:rsidRPr="00C512BE">
        <w:rPr>
          <w:rFonts w:asciiTheme="majorHAnsi" w:hAnsiTheme="majorHAnsi" w:cs="Times New Roman"/>
          <w:bCs/>
          <w:sz w:val="20"/>
          <w:szCs w:val="20"/>
          <w:vertAlign w:val="subscript"/>
        </w:rPr>
        <w:t>a</w:t>
      </w:r>
      <w:r w:rsidRPr="00C512BE">
        <w:rPr>
          <w:rFonts w:asciiTheme="majorHAnsi" w:hAnsiTheme="majorHAnsi" w:cs="Times New Roman"/>
          <w:bCs/>
          <w:sz w:val="20"/>
          <w:szCs w:val="20"/>
        </w:rPr>
        <w:t xml:space="preserve">, </w:t>
      </w:r>
      <w:proofErr w:type="spellStart"/>
      <w:r w:rsidRPr="00C512BE">
        <w:rPr>
          <w:rFonts w:asciiTheme="majorHAnsi" w:hAnsiTheme="majorHAnsi" w:cs="Times New Roman"/>
          <w:bCs/>
          <w:sz w:val="20"/>
          <w:szCs w:val="20"/>
        </w:rPr>
        <w:t>J</w:t>
      </w:r>
      <w:r w:rsidRPr="00C512BE">
        <w:rPr>
          <w:rFonts w:asciiTheme="majorHAnsi" w:hAnsiTheme="majorHAnsi" w:cs="Times New Roman"/>
          <w:bCs/>
          <w:sz w:val="20"/>
          <w:szCs w:val="20"/>
          <w:vertAlign w:val="subscript"/>
        </w:rPr>
        <w:t>f</w:t>
      </w:r>
      <w:proofErr w:type="spellEnd"/>
      <w:r w:rsidRPr="00C512BE">
        <w:rPr>
          <w:rFonts w:asciiTheme="majorHAnsi" w:hAnsiTheme="majorHAnsi" w:cs="Times New Roman"/>
          <w:bCs/>
          <w:sz w:val="20"/>
          <w:szCs w:val="20"/>
        </w:rPr>
        <w:t xml:space="preserve">, </w:t>
      </w:r>
      <w:proofErr w:type="spellStart"/>
      <w:r w:rsidRPr="00C512BE">
        <w:rPr>
          <w:rFonts w:asciiTheme="majorHAnsi" w:hAnsiTheme="majorHAnsi" w:cs="Times New Roman"/>
          <w:bCs/>
          <w:sz w:val="20"/>
          <w:szCs w:val="20"/>
        </w:rPr>
        <w:t>J</w:t>
      </w:r>
      <w:r w:rsidRPr="00C512BE">
        <w:rPr>
          <w:rFonts w:asciiTheme="majorHAnsi" w:hAnsiTheme="majorHAnsi" w:cs="Times New Roman"/>
          <w:bCs/>
          <w:sz w:val="20"/>
          <w:szCs w:val="20"/>
          <w:vertAlign w:val="subscript"/>
        </w:rPr>
        <w:t>v</w:t>
      </w:r>
      <w:proofErr w:type="spellEnd"/>
      <w:r w:rsidRPr="00C512BE">
        <w:rPr>
          <w:rFonts w:asciiTheme="majorHAnsi" w:hAnsiTheme="majorHAnsi" w:cs="Times New Roman"/>
          <w:bCs/>
          <w:sz w:val="20"/>
          <w:szCs w:val="20"/>
        </w:rPr>
        <w:t xml:space="preserve"> are the initial membrane PWF, the measured PWF after fouled by static adsorption, PWF after fouled by the actual batik wastewater, and the measured flux during the batik wastewater filtration operation, respectively.</w:t>
      </w:r>
    </w:p>
    <w:p w14:paraId="334ADDA8" w14:textId="77777777" w:rsidR="00C512BE" w:rsidRPr="00C512BE" w:rsidRDefault="00C512BE" w:rsidP="00C512BE">
      <w:pPr>
        <w:spacing w:after="0" w:line="240" w:lineRule="auto"/>
        <w:contextualSpacing/>
        <w:jc w:val="both"/>
        <w:rPr>
          <w:rFonts w:asciiTheme="majorHAnsi" w:hAnsiTheme="majorHAnsi" w:cs="Times New Roman"/>
          <w:bCs/>
          <w:sz w:val="20"/>
          <w:szCs w:val="20"/>
        </w:rPr>
      </w:pPr>
    </w:p>
    <w:p w14:paraId="7338941E" w14:textId="77777777" w:rsidR="002F6B50" w:rsidRDefault="002F6B50" w:rsidP="002F6B50">
      <w:pPr>
        <w:spacing w:after="0" w:line="240" w:lineRule="auto"/>
        <w:contextualSpacing/>
        <w:jc w:val="both"/>
        <w:rPr>
          <w:rFonts w:asciiTheme="majorHAnsi" w:eastAsia="MS PGothic" w:hAnsiTheme="majorHAnsi" w:cs="Times New Roman"/>
          <w:b/>
          <w:color w:val="000000" w:themeColor="text1"/>
          <w:sz w:val="20"/>
          <w:szCs w:val="20"/>
        </w:rPr>
      </w:pPr>
      <w:r>
        <w:rPr>
          <w:rFonts w:asciiTheme="majorHAnsi" w:eastAsia="MS PGothic" w:hAnsiTheme="majorHAnsi" w:cs="Times New Roman"/>
          <w:b/>
          <w:color w:val="000000" w:themeColor="text1"/>
          <w:sz w:val="20"/>
          <w:szCs w:val="20"/>
        </w:rPr>
        <w:t xml:space="preserve">3. </w:t>
      </w:r>
      <w:r w:rsidR="00FE018F" w:rsidRPr="00FE018F">
        <w:rPr>
          <w:rFonts w:asciiTheme="majorHAnsi" w:eastAsia="MS PGothic" w:hAnsiTheme="majorHAnsi" w:cs="Times New Roman"/>
          <w:b/>
          <w:color w:val="000000" w:themeColor="text1"/>
          <w:sz w:val="20"/>
          <w:szCs w:val="20"/>
        </w:rPr>
        <w:t>Results</w:t>
      </w:r>
      <w:r w:rsidR="004D1A89">
        <w:rPr>
          <w:rFonts w:asciiTheme="majorHAnsi" w:eastAsia="MS PGothic" w:hAnsiTheme="majorHAnsi" w:cs="Times New Roman"/>
          <w:b/>
          <w:color w:val="000000" w:themeColor="text1"/>
          <w:sz w:val="20"/>
          <w:szCs w:val="20"/>
        </w:rPr>
        <w:t xml:space="preserve"> and Discussion</w:t>
      </w:r>
    </w:p>
    <w:p w14:paraId="5C973F47" w14:textId="4D400B27" w:rsidR="004D1A89" w:rsidRDefault="004D1A89" w:rsidP="002F6B50">
      <w:pPr>
        <w:spacing w:after="0" w:line="240" w:lineRule="auto"/>
        <w:contextualSpacing/>
        <w:jc w:val="both"/>
        <w:rPr>
          <w:rFonts w:asciiTheme="majorHAnsi" w:eastAsia="MS PGothic" w:hAnsiTheme="majorHAnsi" w:cs="Times New Roman"/>
          <w:b/>
          <w:color w:val="000000" w:themeColor="text1"/>
          <w:sz w:val="20"/>
          <w:szCs w:val="20"/>
        </w:rPr>
      </w:pPr>
      <w:r>
        <w:rPr>
          <w:rFonts w:asciiTheme="majorHAnsi" w:eastAsia="MS PGothic" w:hAnsiTheme="majorHAnsi" w:cs="Times New Roman"/>
          <w:b/>
          <w:color w:val="000000" w:themeColor="text1"/>
          <w:sz w:val="20"/>
          <w:szCs w:val="20"/>
        </w:rPr>
        <w:t>3</w:t>
      </w:r>
      <w:r w:rsidRPr="004D1A89">
        <w:rPr>
          <w:rFonts w:asciiTheme="majorHAnsi" w:eastAsia="MS PGothic" w:hAnsiTheme="majorHAnsi" w:cs="Times New Roman"/>
          <w:b/>
          <w:color w:val="000000" w:themeColor="text1"/>
          <w:sz w:val="20"/>
          <w:szCs w:val="20"/>
        </w:rPr>
        <w:t xml:space="preserve">.1 </w:t>
      </w:r>
      <w:r w:rsidR="0092252B">
        <w:rPr>
          <w:rFonts w:asciiTheme="majorHAnsi" w:eastAsia="MS PGothic" w:hAnsiTheme="majorHAnsi" w:cs="Times New Roman"/>
          <w:b/>
          <w:color w:val="000000" w:themeColor="text1"/>
          <w:sz w:val="20"/>
          <w:szCs w:val="20"/>
        </w:rPr>
        <w:t>Membrane characterization</w:t>
      </w:r>
    </w:p>
    <w:p w14:paraId="2CF8B953" w14:textId="6A5E0AA5" w:rsidR="0092252B" w:rsidRDefault="0092252B" w:rsidP="002F6B50">
      <w:pPr>
        <w:spacing w:after="0" w:line="240" w:lineRule="auto"/>
        <w:contextualSpacing/>
        <w:jc w:val="both"/>
        <w:rPr>
          <w:rFonts w:asciiTheme="majorHAnsi" w:eastAsia="MS PGothic" w:hAnsiTheme="majorHAnsi" w:cs="Times New Roman"/>
          <w:b/>
          <w:color w:val="000000" w:themeColor="text1"/>
          <w:sz w:val="20"/>
          <w:szCs w:val="20"/>
        </w:rPr>
      </w:pPr>
      <w:r w:rsidRPr="0092252B">
        <w:rPr>
          <w:rFonts w:asciiTheme="majorHAnsi" w:eastAsia="MS PGothic" w:hAnsiTheme="majorHAnsi" w:cs="Times New Roman"/>
          <w:b/>
          <w:color w:val="000000" w:themeColor="text1"/>
          <w:sz w:val="20"/>
          <w:szCs w:val="20"/>
        </w:rPr>
        <w:t>3.1.1 Surface morphological and chemical composition analysis</w:t>
      </w:r>
    </w:p>
    <w:p w14:paraId="316374B7" w14:textId="2EBA7236" w:rsidR="004D1A89" w:rsidRPr="004D1A89" w:rsidRDefault="0092252B" w:rsidP="004D1A89">
      <w:pPr>
        <w:spacing w:after="0" w:line="240" w:lineRule="auto"/>
        <w:ind w:firstLine="426"/>
        <w:contextualSpacing/>
        <w:jc w:val="both"/>
        <w:rPr>
          <w:rFonts w:asciiTheme="majorHAnsi" w:hAnsiTheme="majorHAnsi" w:cs="Times New Roman"/>
          <w:sz w:val="20"/>
          <w:szCs w:val="20"/>
        </w:rPr>
      </w:pPr>
      <w:r w:rsidRPr="0092252B">
        <w:rPr>
          <w:rFonts w:asciiTheme="majorHAnsi" w:hAnsiTheme="majorHAnsi" w:cs="Times New Roman"/>
          <w:sz w:val="20"/>
          <w:szCs w:val="20"/>
        </w:rPr>
        <w:t xml:space="preserve">The investigation of the effect of adding graphene oxide (GO) advanced material on the morphological and elemental characteristics of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membranes was studied using scanning electron microscopy – energy dispersive x-ray (SEM-EDX). Based on Figure 2A, it can be seen that the surface of the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membrane tends to be smooth with some defects. This shows that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has a low level of permeability and selectivity. The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membrane consists of 83.45% carbon (C), 11.09% oxygen (O), and 5.46% Sulfur (S). Morphological differences emerged after GO incorporation. From Figure 2B, it can be seen that the surface of the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-GO membrane tends to be smooth, but with larger pores and minimal defects. The incorporation of GO nanoparticles into the polymer matrix is able to break the thermodynamic stability of the system and produce a faster coagulation rate resulting in a perfectly smooth surface and minimal defects</w:t>
      </w:r>
      <w:r w:rsidR="000C4F36">
        <w:rPr>
          <w:rFonts w:asciiTheme="majorHAnsi" w:hAnsiTheme="majorHAnsi" w:cs="Times New Roman"/>
          <w:sz w:val="20"/>
          <w:szCs w:val="20"/>
        </w:rPr>
        <w:t xml:space="preserve">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{"citationID":"CUeN9OJ4","properties":{"formattedCitation":"(Mamah et al., 2021)","plainCitation":"(Mamah et al., 2021)","noteIndex":0},"citationItems":[{"id":736,"uris":["http://zotero.org/users/local/8H0XTJlS/items/VB9ZGSCR"],"itemData":{"id":736,"type":"article-journal","abstract":"Polysulfone (PSF) membranes have been widely used for wastewater treatment due to their desired properties like stability, high mechanical strength and ease of modification. The modification of PSF membranes presents a great opportunity in improving their performance in the field of wastewater treatment. This review presents a comprehensive review of PSF ultrafiltration (UF) and microfiltration (MF) membranes modification via various techniques as well as novel modifiers for water purification by paying attention to various issues inherent in the modification process. Recent studies on nanomaterial as well as hydrophilic macromolecules used for the modifications of PSF UF/MF membranes for water treatment application have been comprehensively analysed. These modified membranes exhibited a remarkable improvement with regards to water permeability, salt rejection and anti-fouling features of PSF modified membranes when compared to the neat PSF membranes. The modification techniques such as coating, grafting/blending, layer by layer and deposition are discussed. Besides, the impacts of these modifiers on the performance of the membranes for wastewater treatment as well as their environmental impacts are discussed. Based on the literature review, it is obvious that nanomaterial/hydrophilic macromolecules modified PSF membranes have unique features that can contribute to the advancement of innovative nanocomposite membranes with enhanced capacities for wastewater treatment.","container-title":"Journal of Water Process Engineering","DOI":"10.1016/j.jwpe.2020.101835","ISSN":"22147144","note":"publisher: Elsevier Ltd","title":"Recent development in modification of polysulfone membrane for water treatment application","volume":"40","author":[{"family":"Mamah","given":"Stanley Chinedu"},{"family":"Goh","given":"Pei Sean"},{"family":"Ismail","given":"Ahmad Fauzi"},{"family":"Suzaimi","given":"Nor Diyana"},{"family":"Yogarathinam","given":"Lukka Thuyavan"},{"family":"Raji","given":"Yusuf Olabode"},{"family":"El-badawy","given":"Tijjani Hassan"}],"issued":{"date-parts":[["2021",4,1]]}}}],"schema":"https://github.com/citation-style-language/schema/raw/master/csl-citation.json"}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(Mamah et al., 2021)</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 xml:space="preserve">. </w:t>
      </w:r>
      <w:r w:rsidRPr="0092252B">
        <w:rPr>
          <w:rFonts w:asciiTheme="majorHAnsi" w:hAnsiTheme="majorHAnsi" w:cs="Times New Roman"/>
          <w:sz w:val="20"/>
          <w:szCs w:val="20"/>
        </w:rPr>
        <w:t xml:space="preserve">Figure 2B also shows a slight GO bump on the membrane surface which indicates that most of the GO have been embedded in the membrane sub-layer. The chemical composition of the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membrane was recorded as consisting of 79.76 carbon (C), 16.96 oxygen (O), and 3.29 sulfur (S). The decrease in carbon composition compared to the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membrane is due to the increase in oxygen carried by GO in the polymer matrix. This phenomenon indicates an increase in the hydrophilicity of the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membrane which is characterized by a larger surface pore morphology that is expected to increase the permeate flux productivity.</w:t>
      </w:r>
    </w:p>
    <w:p w14:paraId="4F8155DD" w14:textId="552BC49F" w:rsidR="004D1A89" w:rsidRPr="004D1A89" w:rsidRDefault="0092252B" w:rsidP="004D1A89">
      <w:pPr>
        <w:spacing w:after="0" w:line="240" w:lineRule="auto"/>
        <w:contextualSpacing/>
        <w:jc w:val="both"/>
        <w:rPr>
          <w:rFonts w:asciiTheme="majorHAnsi" w:hAnsiTheme="majorHAnsi" w:cs="Times New Roman"/>
          <w:sz w:val="20"/>
          <w:szCs w:val="20"/>
        </w:rPr>
      </w:pPr>
      <w:r>
        <w:rPr>
          <w:rFonts w:asciiTheme="majorHAnsi" w:hAnsiTheme="majorHAnsi" w:cs="Times New Roman"/>
          <w:noProof/>
          <w:sz w:val="20"/>
          <w:szCs w:val="20"/>
        </w:rPr>
        <w:drawing>
          <wp:inline distT="0" distB="0" distL="0" distR="0" wp14:anchorId="0B22F29D" wp14:editId="64B511A2">
            <wp:extent cx="3246120" cy="4652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 mem.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6120" cy="4652645"/>
                    </a:xfrm>
                    <a:prstGeom prst="rect">
                      <a:avLst/>
                    </a:prstGeom>
                  </pic:spPr>
                </pic:pic>
              </a:graphicData>
            </a:graphic>
          </wp:inline>
        </w:drawing>
      </w:r>
    </w:p>
    <w:p w14:paraId="66C340EA" w14:textId="1E411763" w:rsidR="0092252B" w:rsidRDefault="0092252B" w:rsidP="004D1A89">
      <w:pPr>
        <w:spacing w:after="0" w:line="240" w:lineRule="auto"/>
        <w:contextualSpacing/>
        <w:jc w:val="center"/>
        <w:rPr>
          <w:rFonts w:asciiTheme="majorHAnsi" w:hAnsiTheme="majorHAnsi" w:cs="Times New Roman"/>
          <w:sz w:val="20"/>
          <w:szCs w:val="20"/>
        </w:rPr>
      </w:pPr>
      <w:r w:rsidRPr="0092252B">
        <w:rPr>
          <w:rFonts w:asciiTheme="majorHAnsi" w:hAnsiTheme="majorHAnsi" w:cs="Times New Roman"/>
          <w:sz w:val="20"/>
          <w:szCs w:val="20"/>
        </w:rPr>
        <w:t xml:space="preserve">Figure 2. SEM-EDX analysis of (A)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and (B)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/GO membranes</w:t>
      </w:r>
    </w:p>
    <w:p w14:paraId="0848BABD" w14:textId="452E3212" w:rsidR="0092252B" w:rsidRPr="0092252B" w:rsidRDefault="0092252B" w:rsidP="0092252B">
      <w:pPr>
        <w:spacing w:after="0" w:line="240" w:lineRule="auto"/>
        <w:contextualSpacing/>
        <w:jc w:val="both"/>
        <w:rPr>
          <w:rFonts w:asciiTheme="majorHAnsi" w:hAnsiTheme="majorHAnsi" w:cs="Times New Roman"/>
          <w:b/>
          <w:bCs/>
          <w:sz w:val="20"/>
          <w:szCs w:val="20"/>
        </w:rPr>
      </w:pPr>
      <w:r w:rsidRPr="0092252B">
        <w:rPr>
          <w:rFonts w:asciiTheme="majorHAnsi" w:hAnsiTheme="majorHAnsi" w:cs="Times New Roman"/>
          <w:b/>
          <w:bCs/>
          <w:sz w:val="20"/>
          <w:szCs w:val="20"/>
        </w:rPr>
        <w:t>3.1.2 FTIR analysis</w:t>
      </w:r>
    </w:p>
    <w:p w14:paraId="2206A51C" w14:textId="2EA83ED6" w:rsidR="004D1A89" w:rsidRPr="004D1A89" w:rsidRDefault="0092252B" w:rsidP="004D1A89">
      <w:pPr>
        <w:spacing w:after="0" w:line="240" w:lineRule="auto"/>
        <w:ind w:firstLine="426"/>
        <w:contextualSpacing/>
        <w:jc w:val="both"/>
        <w:rPr>
          <w:rFonts w:asciiTheme="majorHAnsi" w:hAnsiTheme="majorHAnsi" w:cs="Times New Roman"/>
          <w:sz w:val="20"/>
          <w:szCs w:val="20"/>
        </w:rPr>
      </w:pPr>
      <w:r w:rsidRPr="0092252B">
        <w:rPr>
          <w:rFonts w:asciiTheme="majorHAnsi" w:hAnsiTheme="majorHAnsi" w:cs="Times New Roman"/>
          <w:sz w:val="20"/>
          <w:szCs w:val="20"/>
        </w:rPr>
        <w:t xml:space="preserve">FTIR analysis was carried out to determine changes in functional groups on the fabricated membrane due to the addition of GO nanoparticles. Fig. 3 shows the FTIR spectra of pure GO NPs,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and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membranes. In the pure GO NPs spectrum, there is a wide valley at a wavelength of around 3400-3300 cm</w:t>
      </w:r>
      <w:r w:rsidRPr="000C4F36">
        <w:rPr>
          <w:rFonts w:asciiTheme="majorHAnsi" w:hAnsiTheme="majorHAnsi" w:cs="Times New Roman"/>
          <w:sz w:val="20"/>
          <w:szCs w:val="20"/>
          <w:vertAlign w:val="superscript"/>
        </w:rPr>
        <w:t>-1</w:t>
      </w:r>
      <w:r w:rsidRPr="0092252B">
        <w:rPr>
          <w:rFonts w:asciiTheme="majorHAnsi" w:hAnsiTheme="majorHAnsi" w:cs="Times New Roman"/>
          <w:sz w:val="20"/>
          <w:szCs w:val="20"/>
        </w:rPr>
        <w:t xml:space="preserve"> which reflects the presence of O-H stretching vibration groups. This demonstrates the versatility of GO as a hydrophilic enhancer in various fields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{"citationID":"Ia7nsDn8","properties":{"formattedCitation":"(Ningaraju et al., 2019)","plainCitation":"(Ningaraju et al., 2019)","noteIndex":0},"citationItems":[{"id":855,"uris":["http://zotero.org/users/local/8H0XTJlS/items/MZE5FFGJ"],"itemData":{"id":855,"type":"article-journal","abstract":"Graphite oxide (GO) nanoparticles were synthesized by modiﬁed Hummer method. DLS results suggest that the average size of GO nanoparticles is 140 nm. EDX study conﬁrms the presence of oxygen containing functional groups in GO sheet. Polysulfone (PSF/GO) and Poly (styrene co-acrylonitrile) (PSAN/GO) polymer nanocomposites were prepared by solution casting technique. The ionic and electronic conductivity behaviors of PSF/ GO and PSAN/GO polymer nanocomposites were measured. The increased conductivity with increasing GO nanoparticles loading is due to the conductivity chain formation and increased mobility of charge carriers. The eﬀect of crystallinity and free volume on electrical conductivity of PSF/GO and PSAN/GO polymer nanocomposites is explored. PSF/GO and PSAN/GO nanocomposites exhibit high electrical conductivity with low amount of (0.6 wt% and 1.0 wt%) GO loading is due to the formation of GO networks by the strong chemical interaction induced crystallinity of the polymer matrix. This is evident from FTIR and Raman spectroscopy studies.","container-title":"Materials Science and Engineering: B","DOI":"10.1016/j.mseb.2019.06.002","ISSN":"09215107","journalAbbreviation":"Materials Science and Engineering: B","language":"en","page":"62-75","source":"DOI.org (Crossref)","title":"Synthesis of graphite oxide nanoparticles and conductivity studies of PSF/GO and PSAN/GO polymer nanocomposites","volume":"246","author":[{"family":"Ningaraju","given":"S."},{"family":"Jagadish","given":"K."},{"family":"Srikantaswamy","given":"S."},{"family":"Gnana Prakash","given":"A.P."},{"family":"Ravikumar","given":"H.B."}],"issued":{"date-parts":[["2019",7]]}}}],"schema":"https://github.com/citation-style-language/schema/raw/master/csl-citation.json"}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(Ningaraju et al., 2019)</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 xml:space="preserve">. </w:t>
      </w:r>
      <w:r w:rsidRPr="0092252B">
        <w:rPr>
          <w:rFonts w:asciiTheme="majorHAnsi" w:hAnsiTheme="majorHAnsi" w:cs="Times New Roman"/>
          <w:sz w:val="20"/>
          <w:szCs w:val="20"/>
        </w:rPr>
        <w:t xml:space="preserve">The FTIR spectrum of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membranes has a similar pattern to the original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membranes; showed that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membranes were composed of the same supporting polymer, namely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Both membranes showed a significant valley consistency of the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chemical group, such as at the wave number 1241 cm</w:t>
      </w:r>
      <w:r w:rsidRPr="000C4F36">
        <w:rPr>
          <w:rFonts w:asciiTheme="majorHAnsi" w:hAnsiTheme="majorHAnsi" w:cs="Times New Roman"/>
          <w:sz w:val="20"/>
          <w:szCs w:val="20"/>
          <w:vertAlign w:val="superscript"/>
        </w:rPr>
        <w:t>-1</w:t>
      </w:r>
      <w:r w:rsidRPr="0092252B">
        <w:rPr>
          <w:rFonts w:asciiTheme="majorHAnsi" w:hAnsiTheme="majorHAnsi" w:cs="Times New Roman"/>
          <w:sz w:val="20"/>
          <w:szCs w:val="20"/>
        </w:rPr>
        <w:t xml:space="preserve"> which is the strain valley and the absorption of the O=S=O group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{"citationID":"0jDgxNCV","properties":{"formattedCitation":"(Lemos et al., 2021)","plainCitation":"(Lemos et al., 2021)","noteIndex":0},"citationItems":[{"id":858,"uris":["http://zotero.org/users/local/8H0XTJlS/items/48VCDUGN"],"itemData":{"id":858,"type":"article-journal","abstract":"Membrane bioreactors show promising features for the co-treatment process of landfill leachate (LFL) and wastewater. However, the high fouling potential of the membranes is still a challenge for treating LFL. A promising approach for membranes fouling mitigation is the incorporation of hydrophilic nanostructures such as graphene oxide (GO) in the structure of polymeric membranes. Nonetheless, long-term tests with GO-incorporated membranes for the treatment of high-strength wastewater under practical conditions are still missing. Thus, in the present study, membranes of polyethersulfone (PES) and PES-GO were synthesized by phase inversion method and successfully implemented in a lab-scale MBR system for LFL and synthetic wastewater co-treatment. Preliminary membrane characterization revealed that the addition of GO resulted in a more restrictive and hydrophilic superficial layer. These properties contributed for PES-GO to obtain high rejection and antifouling properties for humic acid (HA) and bovine serum albumin (BSA) in model solutions. However, no significant differences in the performance of PES-GO and PES membranes for organic removal were observed during the MBR operation. PES-GO exhibited enhanced adsorptive anti-fouling potential which resulted in an increase of the reversible fouling ratio when compared to PES. Though, the incorporation of GO had a low impact on the external anti-fouling potential, which could be resulted from the complex characteristics of LFL. Regarding membranes stability after long exposure to sodium hypochlorite solution, PES-GO exhibited loss of hydrophilicity and presented significant indication of pitting-like damage on the active layer, which could be associated with the GO oxidation by chlorine. Thereby, the findings of this study can be used to develop future strategies involving the use of GO-incorporated membranes in MBRs for the treatment of LFL and complex wastewater.","container-title":"Chemical Engineering Journal","DOI":"https://doi.org/10.1016/j.cej.2021.131772","ISSN":"1385-8947","page":"131772","title":"Assessment of mixed matrix membranes (MMMs) incorporated with graphene oxide (GO) for co-treatment of wastewater and landfill leachate (LFL) in a membrane bioreactor (MBR)","volume":"425","author":[{"family":"Lemos","given":"Hugo G."},{"family":"Ragio","given":"Rodrigo Almeria"},{"family":"Conceição","given":"Ana Carolina Santana"},{"family":"Venancio","given":"Everaldo C."},{"family":"Mierzwa","given":"José Carlos"},{"family":"Subtil","given":"Eduardo Lucas"}],"issued":{"date-parts":[["2021"]]}}}],"schema":"https://github.com/citation-style-language/schema/raw/master/csl-citation.json"}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(Lemos et al., 2021)</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 xml:space="preserve">. </w:t>
      </w:r>
      <w:r w:rsidRPr="0092252B">
        <w:rPr>
          <w:rFonts w:asciiTheme="majorHAnsi" w:hAnsiTheme="majorHAnsi" w:cs="Times New Roman"/>
          <w:sz w:val="20"/>
          <w:szCs w:val="20"/>
        </w:rPr>
        <w:t>The absorption valley at 1681 cm</w:t>
      </w:r>
      <w:r w:rsidRPr="000C4F36">
        <w:rPr>
          <w:rFonts w:asciiTheme="majorHAnsi" w:hAnsiTheme="majorHAnsi" w:cs="Times New Roman"/>
          <w:sz w:val="20"/>
          <w:szCs w:val="20"/>
          <w:vertAlign w:val="superscript"/>
        </w:rPr>
        <w:t>-1</w:t>
      </w:r>
      <w:r w:rsidRPr="0092252B">
        <w:rPr>
          <w:rFonts w:asciiTheme="majorHAnsi" w:hAnsiTheme="majorHAnsi" w:cs="Times New Roman"/>
          <w:sz w:val="20"/>
          <w:szCs w:val="20"/>
        </w:rPr>
        <w:t xml:space="preserve"> corresponds to the C=O stretch. The band 1238 cm</w:t>
      </w:r>
      <w:r w:rsidRPr="000C4F36">
        <w:rPr>
          <w:rFonts w:asciiTheme="majorHAnsi" w:hAnsiTheme="majorHAnsi" w:cs="Times New Roman"/>
          <w:sz w:val="20"/>
          <w:szCs w:val="20"/>
          <w:vertAlign w:val="superscript"/>
        </w:rPr>
        <w:t>-1</w:t>
      </w:r>
      <w:r w:rsidRPr="0092252B">
        <w:rPr>
          <w:rFonts w:asciiTheme="majorHAnsi" w:hAnsiTheme="majorHAnsi" w:cs="Times New Roman"/>
          <w:sz w:val="20"/>
          <w:szCs w:val="20"/>
        </w:rPr>
        <w:t xml:space="preserve"> also shows a good agreement with the asymmetric strain of the C-O-C aryl-ether group. The C-H group appears in the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/GO FTIR spectrum pattern, namely at wave numbers 2970 and 2872 cm</w:t>
      </w:r>
      <w:r w:rsidRPr="000C4F36">
        <w:rPr>
          <w:rFonts w:asciiTheme="majorHAnsi" w:hAnsiTheme="majorHAnsi" w:cs="Times New Roman"/>
          <w:sz w:val="20"/>
          <w:szCs w:val="20"/>
          <w:vertAlign w:val="superscript"/>
        </w:rPr>
        <w:t>-1</w:t>
      </w:r>
      <w:r w:rsidRPr="0092252B">
        <w:rPr>
          <w:rFonts w:asciiTheme="majorHAnsi" w:hAnsiTheme="majorHAnsi" w:cs="Times New Roman"/>
          <w:sz w:val="20"/>
          <w:szCs w:val="20"/>
        </w:rPr>
        <w:t xml:space="preserve">. The presence of the C-H group was contributed by GO which was successfully embedded in the membrane matrix. The </w:t>
      </w:r>
      <w:r w:rsidRPr="0092252B">
        <w:rPr>
          <w:rFonts w:asciiTheme="majorHAnsi" w:hAnsiTheme="majorHAnsi" w:cs="Times New Roman"/>
          <w:sz w:val="20"/>
          <w:szCs w:val="20"/>
        </w:rPr>
        <w:lastRenderedPageBreak/>
        <w:t>existence of a small valley at 1910 cm</w:t>
      </w:r>
      <w:r w:rsidRPr="000C4F36">
        <w:rPr>
          <w:rFonts w:asciiTheme="majorHAnsi" w:hAnsiTheme="majorHAnsi" w:cs="Times New Roman"/>
          <w:sz w:val="20"/>
          <w:szCs w:val="20"/>
          <w:vertAlign w:val="superscript"/>
        </w:rPr>
        <w:t>-1</w:t>
      </w:r>
      <w:r w:rsidRPr="0092252B">
        <w:rPr>
          <w:rFonts w:asciiTheme="majorHAnsi" w:hAnsiTheme="majorHAnsi" w:cs="Times New Roman"/>
          <w:sz w:val="20"/>
          <w:szCs w:val="20"/>
        </w:rPr>
        <w:t xml:space="preserve"> indicating the presence of C=O and -OH groups on the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membrane was also found, whose presence was initiated by the GO layer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{"citationID":"Y7dHdcx0","properties":{"formattedCitation":"(Lemos et al., 2021)","plainCitation":"(Lemos et al., 2021)","noteIndex":0},"citationItems":[{"id":858,"uris":["http://zotero.org/users/local/8H0XTJlS/items/48VCDUGN"],"itemData":{"id":858,"type":"article-journal","abstract":"Membrane bioreactors show promising features for the co-treatment process of landfill leachate (LFL) and wastewater. However, the high fouling potential of the membranes is still a challenge for treating LFL. A promising approach for membranes fouling mitigation is the incorporation of hydrophilic nanostructures such as graphene oxide (GO) in the structure of polymeric membranes. Nonetheless, long-term tests with GO-incorporated membranes for the treatment of high-strength wastewater under practical conditions are still missing. Thus, in the present study, membranes of polyethersulfone (PES) and PES-GO were synthesized by phase inversion method and successfully implemented in a lab-scale MBR system for LFL and synthetic wastewater co-treatment. Preliminary membrane characterization revealed that the addition of GO resulted in a more restrictive and hydrophilic superficial layer. These properties contributed for PES-GO to obtain high rejection and antifouling properties for humic acid (HA) and bovine serum albumin (BSA) in model solutions. However, no significant differences in the performance of PES-GO and PES membranes for organic removal were observed during the MBR operation. PES-GO exhibited enhanced adsorptive anti-fouling potential which resulted in an increase of the reversible fouling ratio when compared to PES. Though, the incorporation of GO had a low impact on the external anti-fouling potential, which could be resulted from the complex characteristics of LFL. Regarding membranes stability after long exposure to sodium hypochlorite solution, PES-GO exhibited loss of hydrophilicity and presented significant indication of pitting-like damage on the active layer, which could be associated with the GO oxidation by chlorine. Thereby, the findings of this study can be used to develop future strategies involving the use of GO-incorporated membranes in MBRs for the treatment of LFL and complex wastewater.","container-title":"Chemical Engineering Journal","DOI":"https://doi.org/10.1016/j.cej.2021.131772","ISSN":"1385-8947","page":"131772","title":"Assessment of mixed matrix membranes (MMMs) incorporated with graphene oxide (GO) for co-treatment of wastewater and landfill leachate (LFL) in a membrane bioreactor (MBR)","volume":"425","author":[{"family":"Lemos","given":"Hugo G."},{"family":"Ragio","given":"Rodrigo Almeria"},{"family":"Conceição","given":"Ana Carolina Santana"},{"family":"Venancio","given":"Everaldo C."},{"family":"Mierzwa","given":"José Carlos"},{"family":"Subtil","given":"Eduardo Lucas"}],"issued":{"date-parts":[["2021"]]}}}],"schema":"https://github.com/citation-style-language/schema/raw/master/csl-citation.json"}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(Lemos et al., 2021)</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 xml:space="preserve">. </w:t>
      </w:r>
      <w:r w:rsidRPr="0092252B">
        <w:rPr>
          <w:rFonts w:asciiTheme="majorHAnsi" w:hAnsiTheme="majorHAnsi" w:cs="Times New Roman"/>
          <w:sz w:val="20"/>
          <w:szCs w:val="20"/>
        </w:rPr>
        <w:t xml:space="preserve">The addition of the GO chemical functional group on the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membrane is expected to contribute to hydrophilic sites that can increase the wettability of the membrane.</w:t>
      </w:r>
    </w:p>
    <w:p w14:paraId="73F8D7D8" w14:textId="3D698BF6" w:rsidR="004D1A89" w:rsidRPr="004D1A89" w:rsidRDefault="0092252B" w:rsidP="0092252B">
      <w:pPr>
        <w:spacing w:after="0" w:line="240" w:lineRule="auto"/>
        <w:contextualSpacing/>
        <w:jc w:val="center"/>
        <w:rPr>
          <w:rFonts w:asciiTheme="majorHAnsi" w:hAnsiTheme="majorHAnsi" w:cs="Times New Roman"/>
          <w:sz w:val="20"/>
          <w:szCs w:val="20"/>
        </w:rPr>
      </w:pPr>
      <w:r>
        <w:rPr>
          <w:noProof/>
          <w:lang w:val="id-ID"/>
        </w:rPr>
        <w:drawing>
          <wp:inline distT="0" distB="0" distL="0" distR="0" wp14:anchorId="152B28DF" wp14:editId="2A31C7EE">
            <wp:extent cx="3246120" cy="25985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TIRfix.jpg"/>
                    <pic:cNvPicPr/>
                  </pic:nvPicPr>
                  <pic:blipFill rotWithShape="1">
                    <a:blip r:embed="rId40" cstate="print">
                      <a:extLst>
                        <a:ext uri="{28A0092B-C50C-407E-A947-70E740481C1C}">
                          <a14:useLocalDpi xmlns:a14="http://schemas.microsoft.com/office/drawing/2010/main" val="0"/>
                        </a:ext>
                      </a:extLst>
                    </a:blip>
                    <a:srcRect l="9132" t="3409" r="8285" b="1950"/>
                    <a:stretch/>
                  </pic:blipFill>
                  <pic:spPr bwMode="auto">
                    <a:xfrm>
                      <a:off x="0" y="0"/>
                      <a:ext cx="3246120" cy="2598506"/>
                    </a:xfrm>
                    <a:prstGeom prst="rect">
                      <a:avLst/>
                    </a:prstGeom>
                    <a:ln>
                      <a:noFill/>
                    </a:ln>
                    <a:extLst>
                      <a:ext uri="{53640926-AAD7-44D8-BBD7-CCE9431645EC}">
                        <a14:shadowObscured xmlns:a14="http://schemas.microsoft.com/office/drawing/2010/main"/>
                      </a:ext>
                    </a:extLst>
                  </pic:spPr>
                </pic:pic>
              </a:graphicData>
            </a:graphic>
          </wp:inline>
        </w:drawing>
      </w:r>
    </w:p>
    <w:p w14:paraId="1B40C4B8" w14:textId="422AFD3E" w:rsidR="0092252B" w:rsidRDefault="0092252B" w:rsidP="004D1A89">
      <w:pPr>
        <w:spacing w:after="0" w:line="240" w:lineRule="auto"/>
        <w:contextualSpacing/>
        <w:jc w:val="center"/>
        <w:rPr>
          <w:rFonts w:asciiTheme="majorHAnsi" w:hAnsiTheme="majorHAnsi" w:cs="Times New Roman"/>
          <w:sz w:val="20"/>
          <w:szCs w:val="20"/>
        </w:rPr>
      </w:pPr>
      <w:r w:rsidRPr="0092252B">
        <w:rPr>
          <w:rFonts w:asciiTheme="majorHAnsi" w:hAnsiTheme="majorHAnsi" w:cs="Times New Roman"/>
          <w:sz w:val="20"/>
          <w:szCs w:val="20"/>
        </w:rPr>
        <w:t xml:space="preserve">Figure 3. FTIR spectra of pure GO NPs,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and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membranes</w:t>
      </w:r>
    </w:p>
    <w:p w14:paraId="62EE419C" w14:textId="6040E209" w:rsidR="004D1A89" w:rsidRDefault="0092252B" w:rsidP="0092252B">
      <w:pPr>
        <w:spacing w:after="0" w:line="240" w:lineRule="auto"/>
        <w:contextualSpacing/>
        <w:jc w:val="both"/>
        <w:rPr>
          <w:rFonts w:asciiTheme="majorHAnsi" w:hAnsiTheme="majorHAnsi" w:cs="Times New Roman"/>
          <w:b/>
          <w:bCs/>
          <w:sz w:val="20"/>
          <w:szCs w:val="20"/>
        </w:rPr>
      </w:pPr>
      <w:r w:rsidRPr="0092252B">
        <w:rPr>
          <w:rFonts w:asciiTheme="majorHAnsi" w:hAnsiTheme="majorHAnsi" w:cs="Times New Roman"/>
          <w:b/>
          <w:bCs/>
          <w:sz w:val="20"/>
          <w:szCs w:val="20"/>
        </w:rPr>
        <w:t>3.1.3 XRD analysis</w:t>
      </w:r>
    </w:p>
    <w:p w14:paraId="342C520E" w14:textId="2D04AABE" w:rsidR="0092252B" w:rsidRDefault="0092252B" w:rsidP="0092252B">
      <w:pPr>
        <w:spacing w:after="0" w:line="240" w:lineRule="auto"/>
        <w:ind w:firstLine="426"/>
        <w:contextualSpacing/>
        <w:jc w:val="both"/>
        <w:rPr>
          <w:rFonts w:asciiTheme="majorHAnsi" w:hAnsiTheme="majorHAnsi" w:cs="Times New Roman"/>
          <w:sz w:val="20"/>
          <w:szCs w:val="20"/>
        </w:rPr>
      </w:pPr>
      <w:r w:rsidRPr="0092252B">
        <w:rPr>
          <w:rFonts w:asciiTheme="majorHAnsi" w:hAnsiTheme="majorHAnsi" w:cs="Times New Roman"/>
          <w:sz w:val="20"/>
          <w:szCs w:val="20"/>
        </w:rPr>
        <w:t xml:space="preserve">XRD analysis was carried out to ensure the attainment of embedding GO NPs on the membrane matrix and to determine the degree of crystallinity of a material. Fig. 4 displays the x-ray diffraction patterns of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and GO NPs membranes. Based on the results obtained, the original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has a wide peak at 2θ 19.82° which is a characteristic peak of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{"citationID":"ccqGc2Ss","properties":{"formattedCitation":"(Ningaraju et al., 2019)","plainCitation":"(Ningaraju et al., 2019)","noteIndex":0},"citationItems":[{"id":855,"uris":["http://zotero.org/users/local/8H0XTJlS/items/MZE5FFGJ"],"itemData":{"id":855,"type":"article-journal","abstract":"Graphite oxide (GO) nanoparticles were synthesized by modiﬁed Hummer method. DLS results suggest that the average size of GO nanoparticles is 140 nm. EDX study conﬁrms the presence of oxygen containing functional groups in GO sheet. Polysulfone (PSF/GO) and Poly (styrene co-acrylonitrile) (PSAN/GO) polymer nanocomposites were prepared by solution casting technique. The ionic and electronic conductivity behaviors of PSF/ GO and PSAN/GO polymer nanocomposites were measured. The increased conductivity with increasing GO nanoparticles loading is due to the conductivity chain formation and increased mobility of charge carriers. The eﬀect of crystallinity and free volume on electrical conductivity of PSF/GO and PSAN/GO polymer nanocomposites is explored. PSF/GO and PSAN/GO nanocomposites exhibit high electrical conductivity with low amount of (0.6 wt% and 1.0 wt%) GO loading is due to the formation of GO networks by the strong chemical interaction induced crystallinity of the polymer matrix. This is evident from FTIR and Raman spectroscopy studies.","container-title":"Materials Science and Engineering: B","DOI":"10.1016/j.mseb.2019.06.002","ISSN":"09215107","journalAbbreviation":"Materials Science and Engineering: B","language":"en","page":"62-75","source":"DOI.org (Crossref)","title":"Synthesis of graphite oxide nanoparticles and conductivity studies of PSF/GO and PSAN/GO polymer nanocomposites","volume":"246","author":[{"family":"Ningaraju","given":"S."},{"family":"Jagadish","given":"K."},{"family":"Srikantaswamy","given":"S."},{"family":"Gnana Prakash","given":"A.P."},{"family":"Ravikumar","given":"H.B."}],"issued":{"date-parts":[["2019",7]]}}}],"schema":"https://github.com/citation-style-language/schema/raw/master/csl-citation.json"}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w:t>
      </w:r>
      <w:proofErr w:type="spellStart"/>
      <w:r w:rsidR="000C4F36" w:rsidRPr="000C4F36">
        <w:rPr>
          <w:rFonts w:ascii="Cambria" w:hAnsi="Cambria"/>
          <w:sz w:val="20"/>
        </w:rPr>
        <w:t>Ningaraju</w:t>
      </w:r>
      <w:proofErr w:type="spellEnd"/>
      <w:r w:rsidR="000C4F36" w:rsidRPr="000C4F36">
        <w:rPr>
          <w:rFonts w:ascii="Cambria" w:hAnsi="Cambria"/>
          <w:sz w:val="20"/>
        </w:rPr>
        <w:t xml:space="preserve"> et al., 2019)</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 xml:space="preserve">. </w:t>
      </w:r>
      <w:r w:rsidRPr="0092252B">
        <w:rPr>
          <w:rFonts w:asciiTheme="majorHAnsi" w:hAnsiTheme="majorHAnsi" w:cs="Times New Roman"/>
          <w:sz w:val="20"/>
          <w:szCs w:val="20"/>
        </w:rPr>
        <w:t xml:space="preserve">There is no sharp peak there, this indicates the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has an amorphous structure. The GO NPs diffractogram pattern shows a GO-specific peak at 2θ around 11°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{"citationID":"YOkkESlY","properties":{"formattedCitation":"(Ganesh et al., 2013)","plainCitation":"(Ganesh et al., 2013)","noteIndex":0},"citationItems":[{"id":749,"uris":["http://zotero.org/users/local/8H0XTJlS/items/9P5RJGCW"],"itemData":{"id":749,"type":"article-journal","abstract":"Graphene oxide (GO) dispersed polysulfone (PSf) mixed matrix membranes were prepared by wet phase inversion method. The morphology of membranes was studied using scanning electron microscope (SEM) images. The variation in hydrophilicity was studied by measuring surface wettability and water swelling experiments. The performance of membranes in terms of pure water flux and salt rejection was studied. SEM images depict enhanced macrovoids, while the contact angle data reveals that, GO incorporated membrane surface is moderately hydrophilic. Membranes exhibited improved salt rejection after GO doping. Membrane with 2000ppm GO loading has exhibited maximum of 72% Na2SO4 rejection at 4bar applied pressure. The salt rejection seems to depend on pH of the feed solution and it has been witnessed that the salt rejection showed an increasing trend with increase in the pH. © 2012 Elsevier B.V.","container-title":"Desalination","DOI":"10.1016/j.desal.2012.11.037","ISSN":"00119164","page":"199-207","title":"Enhanced hydrophilicity and salt rejection study of graphene oxide-polysulfone mixed matrix membrane","volume":"313","author":[{"family":"Ganesh","given":"B. M."},{"family":"Isloor","given":"Arun M."},{"family":"Ismail","given":"A. F."}],"issued":{"date-parts":[["2013",3,5]]}}}],"schema":"https://github.com/citation-style-language/schema/raw/master/csl-citation.json"}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(Ganesh et al., 2013)</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 xml:space="preserve">, </w:t>
      </w:r>
      <w:r w:rsidRPr="0092252B">
        <w:rPr>
          <w:rFonts w:asciiTheme="majorHAnsi" w:hAnsiTheme="majorHAnsi" w:cs="Times New Roman"/>
          <w:sz w:val="20"/>
          <w:szCs w:val="20"/>
        </w:rPr>
        <w:t xml:space="preserve">followed by a broad peak at 2θ 23.48° and additional peaks at 2θ 31.25° and 43°. The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membrane showed a diffraction pattern that was not much different from the original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this confirmed that the modified membrane was composed of a similar backbone, namely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The incorporation of GO NPs into the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matrix showed significant structural changes. It appears that there are sharp peaks at 2θ 37.8°, 43.97°, 64.4°, and 77.57° which are partly the same as the peaks of GO NPs. The presence of several non-identical peaks occurs might be due to the presence of contaminants with similar ionic sizes so that they can replace and occupy the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lattice structure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{"citationID":"XXMNgjCk","properties":{"formattedCitation":"(Qamar et al., 2021)","plainCitation":"(Qamar et al., 2021)","noteIndex":0},"citationItems":[{"id":256,"uris":["http://zotero.org/users/local/8H0XTJlS/items/BRZ48EEK"],"itemData":{"id":256,"type":"article-journal","container-title":"Colloids and Surfaces A: Physicochemical and Engineering Aspects","DOI":"10.1016/j.colsurfa.2021.126176","ISSN":"09277757","language":"en","page":"126176","title":"Designing of highly active g-C3N4/Ni-ZnO photocatalyst nanocomposite for the disinfection and degradation of the organic dye under sunlight radiations","volume":"614","author":[{"family":"Qamar","given":"Muhammad Azam"},{"family":"Shahid","given":"Sammia"},{"family":"Javed","given":"Mohsin"},{"family":"Iqbal","given":"Shahid"},{"family":"Sher","given":"Mudassar"},{"family":"Bahadur","given":"Ali"},{"family":"AL-Anazy","given":"Murefah Mana"},{"family":"Laref","given":"A."},{"family":"Li","given":"Dongxiang"}],"issued":{"date-parts":[["2021",4]]}}}],"schema":"https://github.com/citation-style-language/schema/raw/master/csl-citation.json"}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(Qamar et al., 2021)</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 xml:space="preserve">. </w:t>
      </w:r>
      <w:r w:rsidRPr="0092252B">
        <w:rPr>
          <w:rFonts w:asciiTheme="majorHAnsi" w:hAnsiTheme="majorHAnsi" w:cs="Times New Roman"/>
          <w:sz w:val="20"/>
          <w:szCs w:val="20"/>
        </w:rPr>
        <w:t xml:space="preserve">However, this is not a problem because there are only a few. The alteration in the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membrane structure from amorphous to semi-crystalline due to the incorporation of GO NPs was supported by the results of the Peak Fit calculation which showed a crystallinity index of about 31.28%. In summary, </w:t>
      </w:r>
      <w:r w:rsidRPr="0092252B">
        <w:rPr>
          <w:rFonts w:asciiTheme="majorHAnsi" w:hAnsiTheme="majorHAnsi" w:cs="Times New Roman"/>
          <w:sz w:val="20"/>
          <w:szCs w:val="20"/>
        </w:rPr>
        <w:t xml:space="preserve">the addition of GO NPs into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membrane has been successfully carried out.</w:t>
      </w:r>
    </w:p>
    <w:p w14:paraId="40B68125" w14:textId="1A9FCCF1" w:rsidR="0092252B" w:rsidRDefault="0092252B" w:rsidP="0092252B">
      <w:pPr>
        <w:spacing w:after="0" w:line="240" w:lineRule="auto"/>
        <w:contextualSpacing/>
        <w:jc w:val="center"/>
        <w:rPr>
          <w:rFonts w:asciiTheme="majorHAnsi" w:hAnsiTheme="majorHAnsi" w:cs="Times New Roman"/>
          <w:sz w:val="20"/>
          <w:szCs w:val="20"/>
        </w:rPr>
      </w:pPr>
      <w:r w:rsidRPr="00A13096">
        <w:rPr>
          <w:noProof/>
          <w:sz w:val="24"/>
          <w:szCs w:val="24"/>
        </w:rPr>
        <w:drawing>
          <wp:inline distT="0" distB="0" distL="0" distR="0" wp14:anchorId="7597A97C" wp14:editId="7A0C0557">
            <wp:extent cx="3246120" cy="25568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RD.jpg"/>
                    <pic:cNvPicPr/>
                  </pic:nvPicPr>
                  <pic:blipFill rotWithShape="1">
                    <a:blip r:embed="rId41" cstate="print">
                      <a:extLst>
                        <a:ext uri="{28A0092B-C50C-407E-A947-70E740481C1C}">
                          <a14:useLocalDpi xmlns:a14="http://schemas.microsoft.com/office/drawing/2010/main" val="0"/>
                        </a:ext>
                      </a:extLst>
                    </a:blip>
                    <a:srcRect l="9276" t="2656" r="6874" b="2787"/>
                    <a:stretch/>
                  </pic:blipFill>
                  <pic:spPr bwMode="auto">
                    <a:xfrm>
                      <a:off x="0" y="0"/>
                      <a:ext cx="3246120" cy="2556865"/>
                    </a:xfrm>
                    <a:prstGeom prst="rect">
                      <a:avLst/>
                    </a:prstGeom>
                    <a:ln>
                      <a:noFill/>
                    </a:ln>
                    <a:extLst>
                      <a:ext uri="{53640926-AAD7-44D8-BBD7-CCE9431645EC}">
                        <a14:shadowObscured xmlns:a14="http://schemas.microsoft.com/office/drawing/2010/main"/>
                      </a:ext>
                    </a:extLst>
                  </pic:spPr>
                </pic:pic>
              </a:graphicData>
            </a:graphic>
          </wp:inline>
        </w:drawing>
      </w:r>
    </w:p>
    <w:p w14:paraId="6275D902" w14:textId="064209EB" w:rsidR="0092252B" w:rsidRPr="0092252B" w:rsidRDefault="0092252B" w:rsidP="0092252B">
      <w:pPr>
        <w:spacing w:after="0" w:line="240" w:lineRule="auto"/>
        <w:contextualSpacing/>
        <w:jc w:val="center"/>
        <w:rPr>
          <w:rFonts w:asciiTheme="majorHAnsi" w:hAnsiTheme="majorHAnsi" w:cs="Times New Roman"/>
          <w:sz w:val="20"/>
          <w:szCs w:val="20"/>
        </w:rPr>
      </w:pPr>
      <w:r w:rsidRPr="0092252B">
        <w:rPr>
          <w:rFonts w:asciiTheme="majorHAnsi" w:hAnsiTheme="majorHAnsi" w:cs="Times New Roman"/>
          <w:sz w:val="20"/>
          <w:szCs w:val="20"/>
        </w:rPr>
        <w:t xml:space="preserve">Figure 4. XRD spectra of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/GO, and GO NPs</w:t>
      </w:r>
    </w:p>
    <w:p w14:paraId="6957DFD3" w14:textId="58425AF7" w:rsidR="004D1A89" w:rsidRDefault="003D4D3C" w:rsidP="004D1A89">
      <w:pPr>
        <w:spacing w:after="0" w:line="240" w:lineRule="auto"/>
        <w:contextualSpacing/>
        <w:jc w:val="both"/>
        <w:rPr>
          <w:rFonts w:asciiTheme="majorHAnsi" w:eastAsia="MS PGothic" w:hAnsiTheme="majorHAnsi" w:cs="Times New Roman"/>
          <w:b/>
          <w:color w:val="000000" w:themeColor="text1"/>
          <w:sz w:val="20"/>
          <w:szCs w:val="20"/>
        </w:rPr>
      </w:pPr>
      <w:r>
        <w:rPr>
          <w:rFonts w:asciiTheme="majorHAnsi" w:eastAsia="MS PGothic" w:hAnsiTheme="majorHAnsi" w:cs="Times New Roman"/>
          <w:b/>
          <w:color w:val="000000" w:themeColor="text1"/>
          <w:sz w:val="20"/>
          <w:szCs w:val="20"/>
        </w:rPr>
        <w:t>3</w:t>
      </w:r>
      <w:r w:rsidRPr="004D1A89">
        <w:rPr>
          <w:rFonts w:asciiTheme="majorHAnsi" w:eastAsia="MS PGothic" w:hAnsiTheme="majorHAnsi" w:cs="Times New Roman"/>
          <w:b/>
          <w:color w:val="000000" w:themeColor="text1"/>
          <w:sz w:val="20"/>
          <w:szCs w:val="20"/>
        </w:rPr>
        <w:t>.</w:t>
      </w:r>
      <w:r w:rsidR="0092252B">
        <w:rPr>
          <w:rFonts w:asciiTheme="majorHAnsi" w:eastAsia="MS PGothic" w:hAnsiTheme="majorHAnsi" w:cs="Times New Roman"/>
          <w:b/>
          <w:color w:val="000000" w:themeColor="text1"/>
          <w:sz w:val="20"/>
          <w:szCs w:val="20"/>
        </w:rPr>
        <w:t>1.4</w:t>
      </w:r>
      <w:r w:rsidRPr="004D1A89">
        <w:rPr>
          <w:rFonts w:asciiTheme="majorHAnsi" w:eastAsia="MS PGothic" w:hAnsiTheme="majorHAnsi" w:cs="Times New Roman"/>
          <w:b/>
          <w:color w:val="000000" w:themeColor="text1"/>
          <w:sz w:val="20"/>
          <w:szCs w:val="20"/>
        </w:rPr>
        <w:t xml:space="preserve"> </w:t>
      </w:r>
      <w:r w:rsidR="0092252B" w:rsidRPr="0092252B">
        <w:rPr>
          <w:rFonts w:asciiTheme="majorHAnsi" w:eastAsia="MS PGothic" w:hAnsiTheme="majorHAnsi" w:cs="Times New Roman"/>
          <w:b/>
          <w:color w:val="000000" w:themeColor="text1"/>
          <w:sz w:val="20"/>
          <w:szCs w:val="20"/>
        </w:rPr>
        <w:t>Hydrophilicity analysis</w:t>
      </w:r>
    </w:p>
    <w:p w14:paraId="04A89C16" w14:textId="5E7C6CF0" w:rsidR="0092252B" w:rsidRDefault="0092252B" w:rsidP="0092252B">
      <w:pPr>
        <w:spacing w:after="0" w:line="240" w:lineRule="auto"/>
        <w:ind w:firstLine="426"/>
        <w:contextualSpacing/>
        <w:jc w:val="both"/>
        <w:rPr>
          <w:rFonts w:asciiTheme="majorHAnsi" w:hAnsiTheme="majorHAnsi" w:cs="Times New Roman"/>
          <w:sz w:val="20"/>
          <w:szCs w:val="20"/>
        </w:rPr>
      </w:pPr>
      <w:r w:rsidRPr="0092252B">
        <w:rPr>
          <w:rFonts w:asciiTheme="majorHAnsi" w:hAnsiTheme="majorHAnsi" w:cs="Times New Roman"/>
          <w:sz w:val="20"/>
          <w:szCs w:val="20"/>
        </w:rPr>
        <w:t xml:space="preserve">In its application as a wastewater treatment technology, the basic parameter that must be encountered by the membrane is its ability to pass water. The hydrophilicity of the membrane can be determined by measuring the water contact angle and water uptake ability. The water contact angle is the angle formed between the water droplet and the membrane surface. Meanwhile, water uptake is the percentage of the membrane's ability to absorb water. Fig. 5A combines the results of the water contact angle and the water uptake measurement of the fabricated membrane. Incorporation of GO NPs into the polymer matrix was shown to significantly reduce the water contact angle by almost half, i.e. 80° and 55° for the original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and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membranes, respectively. The smaller the contact angle, the greater the tendency of the membrane surface to attract water so that the hydrophilicity increases. This was also validated by the results of the FTIR analysis which stated that the addition of GO NPs was able to increase the number of hydrophilic groups (O-H) in the composition of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chemical functional groups. On the other hand, the results of the measurement of water uptake ability showed an increase of more than 3 times after the incorporation of GO NPs in the polymer matrix, namely 18% and 60% for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and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membranes, respectively. The measurement of water uptake ability is strengthened by the theoretical model of Flory-Huggins (FH) which describes the level of affinity of the membrane to water. Qualitatively, the interaction parameter FH (χ) describes the affinity of the polymer to the solvent. The lower the value, the higher the affinity of the polymer to the solvent so that more solvent can be absorbed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{"citationID":"tYTQgQS4","properties":{"formattedCitation":"(Ganesh et al., 2013)","plainCitation":"(Ganesh et al., 2013)","noteIndex":0},"citationItems":[{"id":749,"uris":["http://zotero.org/users/local/8H0XTJlS/items/9P5RJGCW"],"itemData":{"id":749,"type":"article-journal","abstract":"Graphene oxide (GO) dispersed polysulfone (PSf) mixed matrix membranes were prepared by wet phase inversion method. The morphology of membranes was studied using scanning electron microscope (SEM) images. The variation in hydrophilicity was studied by measuring surface wettability and water swelling experiments. The performance of membranes in terms of pure water flux and salt rejection was studied. SEM images depict enhanced macrovoids, while the contact angle data reveals that, GO incorporated membrane surface is moderately hydrophilic. Membranes exhibited improved salt rejection after GO doping. Membrane with 2000ppm GO loading has exhibited maximum of 72% Na2SO4 rejection at 4bar applied pressure. The salt rejection seems to depend on pH of the feed solution and it has been witnessed that the salt rejection showed an increasing trend with increase in the pH. © 2012 Elsevier B.V.","container-title":"Desalination","DOI":"10.1016/j.desal.2012.11.037","ISSN":"00119164","page":"199-207","title":"Enhanced hydrophilicity and salt rejection study of graphene oxide-polysulfone mixed matrix membrane","volume":"313","author":[{"family":"Ganesh","given":"B. M."},{"family":"Isloor","given":"Arun M."},{"family":"Ismail","given":"A. F."}],"issued":{"date-parts":[["2013",3,5]]}}}],"schema":"https://github.com/citation-style-language/schema/raw/master/csl-citation.json"}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(Ganesh et al., 2013)</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 xml:space="preserve">. </w:t>
      </w:r>
      <w:r w:rsidRPr="0092252B">
        <w:rPr>
          <w:rFonts w:asciiTheme="majorHAnsi" w:hAnsiTheme="majorHAnsi" w:cs="Times New Roman"/>
          <w:sz w:val="20"/>
          <w:szCs w:val="20"/>
        </w:rPr>
        <w:t xml:space="preserve">Table 2. shows the results of the calculation of the volume fraction (φ) and the FH interaction parameter (χ). Based on the data, it can be seen that the native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χ value is far above the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membrane. This indicates that the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membrane </w:t>
      </w:r>
      <w:r w:rsidRPr="0092252B">
        <w:rPr>
          <w:rFonts w:asciiTheme="majorHAnsi" w:hAnsiTheme="majorHAnsi" w:cs="Times New Roman"/>
          <w:sz w:val="20"/>
          <w:szCs w:val="20"/>
        </w:rPr>
        <w:lastRenderedPageBreak/>
        <w:t xml:space="preserve">affinity increases in the presence of GO NP doping. Besides to the addition of hydrophilic sites, the increase in water uptake was also caused by the presence of </w:t>
      </w:r>
      <w:proofErr w:type="spellStart"/>
      <w:r w:rsidRPr="0092252B">
        <w:rPr>
          <w:rFonts w:asciiTheme="majorHAnsi" w:hAnsiTheme="majorHAnsi" w:cs="Times New Roman"/>
          <w:sz w:val="20"/>
          <w:szCs w:val="20"/>
        </w:rPr>
        <w:t>macrovoids</w:t>
      </w:r>
      <w:proofErr w:type="spellEnd"/>
      <w:r w:rsidRPr="0092252B">
        <w:rPr>
          <w:rFonts w:asciiTheme="majorHAnsi" w:hAnsiTheme="majorHAnsi" w:cs="Times New Roman"/>
          <w:sz w:val="20"/>
          <w:szCs w:val="20"/>
        </w:rPr>
        <w:t xml:space="preserve"> in the membrane sublayer whose appearance was caused by organic-inorganic interactions between polymers and GO NPs</w:t>
      </w:r>
      <w:r w:rsidR="000C4F36">
        <w:rPr>
          <w:rFonts w:asciiTheme="majorHAnsi" w:hAnsiTheme="majorHAnsi" w:cs="Times New Roman"/>
          <w:sz w:val="20"/>
          <w:szCs w:val="20"/>
        </w:rPr>
        <w:t xml:space="preserve">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{"citationID":"fAq0KcZJ","properties":{"formattedCitation":"(Kusworo et al., 2017; Miao et al., 2020)","plainCitation":"(Kusworo et al., 2017; Miao et al., 2020)","noteIndex":0},"citationItems":[{"id":759,"uris":["http://zotero.org/users/local/8H0XTJlS/items/NX2CLAHU"],"itemData":{"id":759,"type":"article-journal","abstract":"The current problems in membrane separation are mostly related the low permeability and high foulant deposition of the membranes. Polyethersulfone-nano silica membrane was developed to produce membranes with high permeation. However, it reduced the selectivity of the membrane due to microvoid formation between the inorganic filler and polymer. UV irradiation and thermal annealing treatments were synergistically applied to Polyethersulfone-nano silica membrane to overcome the mentioned problem. The nano-sized silica was incorporated in the polyethersulfone as an inorganic filler using solution-casting dry/wet phase inversion technique. After exposing the membrane film under the UV ray, the thermal annealing was applied at varying temperatures and annealing time. Produced water treatment experiments showed that the combination of UV irradiation and thermal annealing on the membrane improved water permeability and selectivity due to the synergistic effect of the both treatments. The longer thermal annealing treatment slightly reduced the permeability, but increased the selectivity. Separation performance of the UV irradiated and thermal annealed PES-nano silica membrane was better than the existing membranes. The UV irradiation and thermal annealing process are beneficial for improving the permeability and selectivity of the PES-nano silica membrane.","container-title":"Journal of Environmental Chemical Engineering","DOI":"10.1016/j.jece.2017.06.035","ISSN":"22133437","issue":"4","note":"publisher: Elsevier Ltd","page":"3290-3301","title":"Synergistic effect of UV irradiation and thermal annealing to develop high performance polyethersulfone-nano silica membrane for produced water treatment","volume":"5","author":[{"family":"Kusworo","given":"Tutuk Djoko"},{"family":"Utomo","given":"D. P."},{"family":"Aryanti","given":"N."},{"literal":"Qudratun"}],"issued":{"date-parts":[["2017",8,1]]}}},{"id":859,"uris":["http://zotero.org/users/local/8H0XTJlS/items/A8ZRQR5Y"],"itemData":{"id":859,"type":"article-journal","abstract":"There has been an argument on the influence of membrane hydrophilicity on permeability between experimental and simulation works. Theoretical work finds that the membranes have a characteristic called a threshold pressure drop (ΔPT). Strongly hydrophobic membranes exhibit extremely high ΔPT, making membranes less wettable and consequently less permeable. In order to experimentally investigate the influence of wetting states of membranes, determined by membrane hydrophilicity, on permeability, we prepared a series of membranes with progressively changing hydrophilicities by atomic layer deposition (ALD) of TiO2 on polytetrafluoroethylene membranes while keeping the pore size unchanged. In addition, adding ethanol into the water and raising the operating pressure drops are also selected to improve the wetting degrees. The experimental results verify the presence of ΔPT for all membranes and the hydrophobic membranes having higher ΔPT. Since the hydrophilic membranes have better wetting degrees but higher transport resistance, there should be an optimized hydrophilicity, which is found to be determined by the feed solution and the operating ΔP. The optimized hydrophilic modification is the one when the membrane can be just adequately wetted by the feed solution at the target operating pressure drops. Highest water permeability is expected to be obtained at a moderate hydrophilicity, neither at the extreme hydrophilicity nor at the extreme hydrophobicity.","container-title":"Journal of Membrane Science","DOI":"https://doi.org/10.1016/j.memsci.2020.118087","ISSN":"0376-7388","page":"118087","title":"Influence of membrane hydrophilicity on water permeability: An experimental study bridging simulations","volume":"604","author":[{"family":"Miao","given":"Aoze"},{"family":"Wei","given":"Mingjie"},{"family":"Xu","given":"Fang"},{"family":"Wang","given":"Yong"}],"issued":{"date-parts":[["2020"]]}}}],"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(Kusworo et al., 2017; Miao et al., 2020)</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w:t>
      </w:r>
    </w:p>
    <w:p w14:paraId="49C8EEEA" w14:textId="3DD9F9F0" w:rsidR="0092252B" w:rsidRDefault="0092252B" w:rsidP="0092252B">
      <w:pPr>
        <w:spacing w:after="0" w:line="240" w:lineRule="auto"/>
        <w:contextualSpacing/>
        <w:jc w:val="center"/>
        <w:rPr>
          <w:rFonts w:asciiTheme="majorHAnsi" w:hAnsiTheme="majorHAnsi" w:cs="Times New Roman"/>
          <w:sz w:val="20"/>
          <w:szCs w:val="20"/>
        </w:rPr>
      </w:pPr>
      <w:r w:rsidRPr="0092252B">
        <w:rPr>
          <w:rFonts w:asciiTheme="majorHAnsi" w:hAnsiTheme="majorHAnsi" w:cs="Times New Roman"/>
          <w:sz w:val="20"/>
          <w:szCs w:val="20"/>
        </w:rPr>
        <w:t>Table 2. The calculation result of volume fraction (φ) and FH interaction (χ) of fabricated membranes.</w:t>
      </w:r>
    </w:p>
    <w:tbl>
      <w:tblPr>
        <w:tblStyle w:val="TableGrid"/>
        <w:tblW w:w="449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693"/>
        <w:gridCol w:w="1745"/>
      </w:tblGrid>
      <w:tr w:rsidR="0092252B" w:rsidRPr="003D4D3C" w14:paraId="0CF97A89" w14:textId="77777777" w:rsidTr="0092252B">
        <w:trPr>
          <w:jc w:val="center"/>
        </w:trPr>
        <w:tc>
          <w:tcPr>
            <w:tcW w:w="2350" w:type="pct"/>
            <w:tcBorders>
              <w:top w:val="single" w:sz="4" w:space="0" w:color="auto"/>
              <w:bottom w:val="single" w:sz="4" w:space="0" w:color="auto"/>
            </w:tcBorders>
          </w:tcPr>
          <w:p w14:paraId="056A64C8" w14:textId="3C465DF9" w:rsidR="0092252B" w:rsidRPr="0092252B" w:rsidRDefault="0092252B" w:rsidP="0092252B">
            <w:pPr>
              <w:contextualSpacing/>
              <w:jc w:val="center"/>
              <w:rPr>
                <w:rFonts w:asciiTheme="majorHAnsi" w:hAnsiTheme="majorHAnsi" w:cs="Times New Roman"/>
                <w:sz w:val="20"/>
                <w:szCs w:val="20"/>
              </w:rPr>
            </w:pPr>
            <w:r w:rsidRPr="0092252B">
              <w:rPr>
                <w:rFonts w:asciiTheme="majorHAnsi" w:hAnsiTheme="majorHAnsi"/>
                <w:sz w:val="20"/>
                <w:szCs w:val="20"/>
              </w:rPr>
              <w:t>Membrane</w:t>
            </w:r>
          </w:p>
        </w:tc>
        <w:tc>
          <w:tcPr>
            <w:tcW w:w="753" w:type="pct"/>
            <w:tcBorders>
              <w:top w:val="single" w:sz="4" w:space="0" w:color="auto"/>
              <w:bottom w:val="single" w:sz="4" w:space="0" w:color="auto"/>
            </w:tcBorders>
          </w:tcPr>
          <w:p w14:paraId="5DA9114A" w14:textId="1866F16C" w:rsidR="0092252B" w:rsidRPr="0092252B" w:rsidRDefault="0092252B" w:rsidP="0092252B">
            <w:pPr>
              <w:contextualSpacing/>
              <w:jc w:val="center"/>
              <w:rPr>
                <w:rFonts w:asciiTheme="majorHAnsi" w:hAnsiTheme="majorHAnsi" w:cs="Times New Roman"/>
                <w:sz w:val="20"/>
                <w:szCs w:val="20"/>
              </w:rPr>
            </w:pPr>
            <w:r w:rsidRPr="0092252B">
              <w:rPr>
                <w:rFonts w:asciiTheme="majorHAnsi" w:hAnsiTheme="majorHAnsi"/>
                <w:sz w:val="20"/>
                <w:szCs w:val="20"/>
              </w:rPr>
              <w:t>φ</w:t>
            </w:r>
          </w:p>
        </w:tc>
        <w:tc>
          <w:tcPr>
            <w:tcW w:w="1897" w:type="pct"/>
            <w:tcBorders>
              <w:top w:val="single" w:sz="4" w:space="0" w:color="auto"/>
              <w:bottom w:val="single" w:sz="4" w:space="0" w:color="auto"/>
            </w:tcBorders>
          </w:tcPr>
          <w:p w14:paraId="3A092C69" w14:textId="35C46CDC" w:rsidR="0092252B" w:rsidRPr="0092252B" w:rsidRDefault="0092252B" w:rsidP="0092252B">
            <w:pPr>
              <w:contextualSpacing/>
              <w:jc w:val="center"/>
              <w:rPr>
                <w:rFonts w:asciiTheme="majorHAnsi" w:hAnsiTheme="majorHAnsi" w:cs="Times New Roman"/>
                <w:sz w:val="20"/>
                <w:szCs w:val="20"/>
              </w:rPr>
            </w:pPr>
            <w:r w:rsidRPr="0092252B">
              <w:rPr>
                <w:rFonts w:asciiTheme="majorHAnsi" w:hAnsiTheme="majorHAnsi"/>
                <w:sz w:val="20"/>
                <w:szCs w:val="20"/>
              </w:rPr>
              <w:t>Χ</w:t>
            </w:r>
          </w:p>
        </w:tc>
      </w:tr>
      <w:tr w:rsidR="0092252B" w:rsidRPr="003D4D3C" w14:paraId="57DD5D96" w14:textId="77777777" w:rsidTr="0092252B">
        <w:trPr>
          <w:jc w:val="center"/>
        </w:trPr>
        <w:tc>
          <w:tcPr>
            <w:tcW w:w="2350" w:type="pct"/>
            <w:tcBorders>
              <w:top w:val="single" w:sz="4" w:space="0" w:color="auto"/>
              <w:bottom w:val="nil"/>
            </w:tcBorders>
          </w:tcPr>
          <w:p w14:paraId="497BBFF5" w14:textId="151A96EA" w:rsidR="0092252B" w:rsidRPr="0092252B" w:rsidRDefault="0092252B" w:rsidP="0092252B">
            <w:pPr>
              <w:contextualSpacing/>
              <w:jc w:val="center"/>
              <w:rPr>
                <w:rFonts w:asciiTheme="majorHAnsi" w:hAnsiTheme="majorHAnsi" w:cs="Times New Roman"/>
                <w:sz w:val="20"/>
                <w:szCs w:val="20"/>
              </w:rPr>
            </w:pPr>
            <w:r w:rsidRPr="0092252B">
              <w:rPr>
                <w:rFonts w:asciiTheme="majorHAnsi" w:hAnsiTheme="majorHAnsi"/>
                <w:sz w:val="20"/>
                <w:szCs w:val="20"/>
              </w:rPr>
              <w:t xml:space="preserve">Native </w:t>
            </w:r>
            <w:proofErr w:type="spellStart"/>
            <w:r w:rsidRPr="0092252B">
              <w:rPr>
                <w:rFonts w:asciiTheme="majorHAnsi" w:hAnsiTheme="majorHAnsi"/>
                <w:sz w:val="20"/>
                <w:szCs w:val="20"/>
              </w:rPr>
              <w:t>PSf</w:t>
            </w:r>
            <w:proofErr w:type="spellEnd"/>
          </w:p>
        </w:tc>
        <w:tc>
          <w:tcPr>
            <w:tcW w:w="753" w:type="pct"/>
            <w:tcBorders>
              <w:top w:val="single" w:sz="4" w:space="0" w:color="auto"/>
              <w:bottom w:val="nil"/>
            </w:tcBorders>
          </w:tcPr>
          <w:p w14:paraId="2B7FE60F" w14:textId="2FC4D9FF" w:rsidR="0092252B" w:rsidRPr="0092252B" w:rsidRDefault="0092252B" w:rsidP="0092252B">
            <w:pPr>
              <w:contextualSpacing/>
              <w:jc w:val="center"/>
              <w:rPr>
                <w:rFonts w:asciiTheme="majorHAnsi" w:hAnsiTheme="majorHAnsi" w:cs="Times New Roman"/>
                <w:sz w:val="20"/>
                <w:szCs w:val="20"/>
              </w:rPr>
            </w:pPr>
            <w:r w:rsidRPr="0092252B">
              <w:rPr>
                <w:rFonts w:asciiTheme="majorHAnsi" w:hAnsiTheme="majorHAnsi"/>
                <w:sz w:val="20"/>
                <w:szCs w:val="20"/>
              </w:rPr>
              <w:t>0.21</w:t>
            </w:r>
          </w:p>
        </w:tc>
        <w:tc>
          <w:tcPr>
            <w:tcW w:w="1897" w:type="pct"/>
            <w:tcBorders>
              <w:top w:val="single" w:sz="4" w:space="0" w:color="auto"/>
              <w:bottom w:val="nil"/>
            </w:tcBorders>
          </w:tcPr>
          <w:p w14:paraId="64A98EEF" w14:textId="4A5FB291" w:rsidR="0092252B" w:rsidRPr="0092252B" w:rsidRDefault="0092252B" w:rsidP="0092252B">
            <w:pPr>
              <w:contextualSpacing/>
              <w:jc w:val="center"/>
              <w:rPr>
                <w:rFonts w:asciiTheme="majorHAnsi" w:hAnsiTheme="majorHAnsi" w:cs="Times New Roman"/>
                <w:sz w:val="20"/>
                <w:szCs w:val="20"/>
              </w:rPr>
            </w:pPr>
            <w:r w:rsidRPr="0092252B">
              <w:rPr>
                <w:rFonts w:asciiTheme="majorHAnsi" w:hAnsiTheme="majorHAnsi"/>
                <w:sz w:val="20"/>
                <w:szCs w:val="20"/>
              </w:rPr>
              <w:t>1.24</w:t>
            </w:r>
          </w:p>
        </w:tc>
      </w:tr>
      <w:tr w:rsidR="0092252B" w:rsidRPr="003D4D3C" w14:paraId="786AA346" w14:textId="77777777" w:rsidTr="0092252B">
        <w:trPr>
          <w:jc w:val="center"/>
        </w:trPr>
        <w:tc>
          <w:tcPr>
            <w:tcW w:w="2350" w:type="pct"/>
            <w:tcBorders>
              <w:top w:val="nil"/>
              <w:bottom w:val="single" w:sz="4" w:space="0" w:color="auto"/>
            </w:tcBorders>
          </w:tcPr>
          <w:p w14:paraId="024B7E27" w14:textId="716628EF" w:rsidR="0092252B" w:rsidRPr="0092252B" w:rsidRDefault="0092252B" w:rsidP="0092252B">
            <w:pPr>
              <w:contextualSpacing/>
              <w:jc w:val="center"/>
              <w:rPr>
                <w:rFonts w:asciiTheme="majorHAnsi" w:hAnsiTheme="majorHAnsi" w:cs="Times New Roman"/>
                <w:sz w:val="20"/>
                <w:szCs w:val="20"/>
              </w:rPr>
            </w:pPr>
            <w:proofErr w:type="spellStart"/>
            <w:r w:rsidRPr="0092252B">
              <w:rPr>
                <w:rFonts w:asciiTheme="majorHAnsi" w:hAnsiTheme="majorHAnsi"/>
                <w:sz w:val="20"/>
                <w:szCs w:val="20"/>
              </w:rPr>
              <w:t>PSf</w:t>
            </w:r>
            <w:proofErr w:type="spellEnd"/>
            <w:r w:rsidRPr="0092252B">
              <w:rPr>
                <w:rFonts w:asciiTheme="majorHAnsi" w:hAnsiTheme="majorHAnsi"/>
                <w:sz w:val="20"/>
                <w:szCs w:val="20"/>
              </w:rPr>
              <w:t>/GO</w:t>
            </w:r>
          </w:p>
        </w:tc>
        <w:tc>
          <w:tcPr>
            <w:tcW w:w="753" w:type="pct"/>
            <w:tcBorders>
              <w:top w:val="nil"/>
              <w:bottom w:val="single" w:sz="4" w:space="0" w:color="auto"/>
            </w:tcBorders>
          </w:tcPr>
          <w:p w14:paraId="25333D31" w14:textId="05F505A8" w:rsidR="0092252B" w:rsidRPr="0092252B" w:rsidRDefault="0092252B" w:rsidP="0092252B">
            <w:pPr>
              <w:contextualSpacing/>
              <w:jc w:val="center"/>
              <w:rPr>
                <w:rFonts w:asciiTheme="majorHAnsi" w:hAnsiTheme="majorHAnsi" w:cs="Times New Roman"/>
                <w:sz w:val="20"/>
                <w:szCs w:val="20"/>
              </w:rPr>
            </w:pPr>
            <w:r w:rsidRPr="0092252B">
              <w:rPr>
                <w:rFonts w:asciiTheme="majorHAnsi" w:hAnsiTheme="majorHAnsi"/>
                <w:sz w:val="20"/>
                <w:szCs w:val="20"/>
              </w:rPr>
              <w:t>3.04</w:t>
            </w:r>
          </w:p>
        </w:tc>
        <w:tc>
          <w:tcPr>
            <w:tcW w:w="1897" w:type="pct"/>
            <w:tcBorders>
              <w:top w:val="nil"/>
              <w:bottom w:val="single" w:sz="4" w:space="0" w:color="auto"/>
            </w:tcBorders>
          </w:tcPr>
          <w:p w14:paraId="39BF3BEC" w14:textId="66A73DB4" w:rsidR="0092252B" w:rsidRPr="0092252B" w:rsidRDefault="0092252B" w:rsidP="0092252B">
            <w:pPr>
              <w:contextualSpacing/>
              <w:jc w:val="center"/>
              <w:rPr>
                <w:rFonts w:asciiTheme="majorHAnsi" w:hAnsiTheme="majorHAnsi" w:cs="Times New Roman"/>
                <w:sz w:val="20"/>
                <w:szCs w:val="20"/>
              </w:rPr>
            </w:pPr>
            <w:r w:rsidRPr="0092252B">
              <w:rPr>
                <w:rFonts w:asciiTheme="majorHAnsi" w:hAnsiTheme="majorHAnsi"/>
                <w:sz w:val="20"/>
                <w:szCs w:val="20"/>
              </w:rPr>
              <w:t>0.22</w:t>
            </w:r>
          </w:p>
        </w:tc>
      </w:tr>
    </w:tbl>
    <w:p w14:paraId="2D525CFD" w14:textId="262BCA25" w:rsidR="0092252B" w:rsidRDefault="0092252B" w:rsidP="0092252B">
      <w:pPr>
        <w:spacing w:after="0" w:line="240" w:lineRule="auto"/>
        <w:ind w:firstLine="426"/>
        <w:contextualSpacing/>
        <w:jc w:val="both"/>
        <w:rPr>
          <w:rFonts w:asciiTheme="majorHAnsi" w:hAnsiTheme="majorHAnsi" w:cs="Times New Roman"/>
          <w:sz w:val="20"/>
          <w:szCs w:val="20"/>
        </w:rPr>
      </w:pPr>
      <w:r w:rsidRPr="0092252B">
        <w:rPr>
          <w:rFonts w:asciiTheme="majorHAnsi" w:hAnsiTheme="majorHAnsi" w:cs="Times New Roman"/>
          <w:sz w:val="20"/>
          <w:szCs w:val="20"/>
        </w:rPr>
        <w:t xml:space="preserve">Another discussion point that can be evaluated in this regard is the ability of the fabricated membrane to produce water flux. Fig. 5B shows the effect of adding GO in producing pure water flux. A striking difference was seen between the original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and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membranes, under the same operating conditions, the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membrane was able to produce a pure water flux of 6.2 LMH, which was 400% greater than the original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This very significant change is again due to the large number of hydrophilic sites on the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/GO nanohybrid membrane compared to the original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which is hydrophobic </w:t>
      </w:r>
      <w:r w:rsidR="000C4F36">
        <w:rPr>
          <w:rFonts w:asciiTheme="majorHAnsi" w:hAnsiTheme="majorHAnsi" w:cs="Times New Roman"/>
          <w:sz w:val="20"/>
          <w:szCs w:val="20"/>
        </w:rPr>
        <w:fldChar w:fldCharType="begin"/>
      </w:r>
      <w:r w:rsidR="000C4F36">
        <w:rPr>
          <w:rFonts w:asciiTheme="majorHAnsi" w:hAnsiTheme="majorHAnsi" w:cs="Times New Roman"/>
          <w:sz w:val="20"/>
          <w:szCs w:val="20"/>
        </w:rPr>
        <w:instrText xml:space="preserve"> ADDIN ZOTERO_ITEM CSL_CITATION {"citationID":"XFq5HEd8","properties":{"formattedCitation":"(Mamah et al., 2021)","plainCitation":"(Mamah et al., 2021)","noteIndex":0},"citationItems":[{"id":736,"uris":["http://zotero.org/users/local/8H0XTJlS/items/VB9ZGSCR"],"itemData":{"id":736,"type":"article-journal","abstract":"Polysulfone (PSF) membranes have been widely used for wastewater treatment due to their desired properties like stability, high mechanical strength and ease of modification. The modification of PSF membranes presents a great opportunity in improving their performance in the field of wastewater treatment. This review presents a comprehensive review of PSF ultrafiltration (UF) and microfiltration (MF) membranes modification via various techniques as well as novel modifiers for water purification by paying attention to various issues inherent in the modification process. Recent studies on nanomaterial as well as hydrophilic macromolecules used for the modifications of PSF UF/MF membranes for water treatment application have been comprehensively analysed. These modified membranes exhibited a remarkable improvement with regards to water permeability, salt rejection and anti-fouling features of PSF modified membranes when compared to the neat PSF membranes. The modification techniques such as coating, grafting/blending, layer by layer and deposition are discussed. Besides, the impacts of these modifiers on the performance of the membranes for wastewater treatment as well as their environmental impacts are discussed. Based on the literature review, it is obvious that nanomaterial/hydrophilic macromolecules modified PSF membranes have unique features that can contribute to the advancement of innovative nanocomposite membranes with enhanced capacities for wastewater treatment.","container-title":"Journal of Water Process Engineering","DOI":"10.1016/j.jwpe.2020.101835","ISSN":"22147144","note":"publisher: Elsevier Ltd","title":"Recent development in modification of polysulfone membrane for water treatment application","volume":"40","author":[{"family":"Mamah","given":"Stanley Chinedu"},{"family":"Goh","given":"Pei Sean"},{"family":"Ismail","given":"Ahmad Fauzi"},{"family":"Suzaimi","given":"Nor Diyana"},{"family":"Yogarathinam","given":"Lukka Thuyavan"},{"family":"Raji","given":"Yusuf Olabode"},{"family":"El-badawy","given":"Tijjani Hassan"}],"issued":{"date-parts":[["2021",4,1]]}}}],"schema":"https://github.com/citation-style-language/schema/raw/master/csl-citation.json"} </w:instrText>
      </w:r>
      <w:r w:rsidR="000C4F36">
        <w:rPr>
          <w:rFonts w:asciiTheme="majorHAnsi" w:hAnsiTheme="majorHAnsi" w:cs="Times New Roman"/>
          <w:sz w:val="20"/>
          <w:szCs w:val="20"/>
        </w:rPr>
        <w:fldChar w:fldCharType="separate"/>
      </w:r>
      <w:r w:rsidR="000C4F36" w:rsidRPr="000C4F36">
        <w:rPr>
          <w:rFonts w:ascii="Cambria" w:hAnsi="Cambria"/>
          <w:sz w:val="20"/>
        </w:rPr>
        <w:t>(Mamah et al., 2021)</w:t>
      </w:r>
      <w:r w:rsidR="000C4F36">
        <w:rPr>
          <w:rFonts w:asciiTheme="majorHAnsi" w:hAnsiTheme="majorHAnsi" w:cs="Times New Roman"/>
          <w:sz w:val="20"/>
          <w:szCs w:val="20"/>
        </w:rPr>
        <w:fldChar w:fldCharType="end"/>
      </w:r>
      <w:r w:rsidR="000C4F36">
        <w:rPr>
          <w:rFonts w:asciiTheme="majorHAnsi" w:hAnsiTheme="majorHAnsi" w:cs="Times New Roman"/>
          <w:sz w:val="20"/>
          <w:szCs w:val="20"/>
        </w:rPr>
        <w:t xml:space="preserve">. </w:t>
      </w:r>
      <w:r w:rsidRPr="0092252B">
        <w:rPr>
          <w:rFonts w:asciiTheme="majorHAnsi" w:hAnsiTheme="majorHAnsi" w:cs="Times New Roman"/>
          <w:sz w:val="20"/>
          <w:szCs w:val="20"/>
        </w:rPr>
        <w:t xml:space="preserve">Thus, from the results of this study, it can be concluded that the addition of GO NPs proved to be successful in increasing the hydrophilicity of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membranes.</w:t>
      </w:r>
    </w:p>
    <w:p w14:paraId="2678478E" w14:textId="7C1C7EA0" w:rsidR="0092252B" w:rsidRDefault="0092252B" w:rsidP="0092252B">
      <w:pPr>
        <w:spacing w:after="0" w:line="240" w:lineRule="auto"/>
        <w:contextualSpacing/>
        <w:jc w:val="center"/>
        <w:rPr>
          <w:rFonts w:asciiTheme="majorHAnsi" w:hAnsiTheme="majorHAnsi" w:cs="Times New Roman"/>
          <w:sz w:val="20"/>
          <w:szCs w:val="20"/>
        </w:rPr>
      </w:pPr>
      <w:r>
        <w:rPr>
          <w:rFonts w:asciiTheme="majorHAnsi" w:hAnsiTheme="majorHAnsi" w:cs="Times New Roman"/>
          <w:noProof/>
          <w:sz w:val="20"/>
          <w:szCs w:val="20"/>
        </w:rPr>
        <w:drawing>
          <wp:inline distT="0" distB="0" distL="0" distR="0" wp14:anchorId="6C32CBB7" wp14:editId="0A7229C7">
            <wp:extent cx="3069490" cy="42950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drophilicit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8926" cy="4322211"/>
                    </a:xfrm>
                    <a:prstGeom prst="rect">
                      <a:avLst/>
                    </a:prstGeom>
                  </pic:spPr>
                </pic:pic>
              </a:graphicData>
            </a:graphic>
          </wp:inline>
        </w:drawing>
      </w:r>
    </w:p>
    <w:p w14:paraId="7E69FF3E" w14:textId="77777777" w:rsidR="0092252B" w:rsidRDefault="0092252B" w:rsidP="0092252B">
      <w:pPr>
        <w:spacing w:after="0" w:line="240" w:lineRule="auto"/>
        <w:contextualSpacing/>
        <w:jc w:val="center"/>
        <w:rPr>
          <w:rFonts w:asciiTheme="majorHAnsi" w:hAnsiTheme="majorHAnsi" w:cs="Times New Roman"/>
          <w:sz w:val="20"/>
          <w:szCs w:val="20"/>
        </w:rPr>
      </w:pPr>
      <w:r w:rsidRPr="0092252B">
        <w:rPr>
          <w:rFonts w:asciiTheme="majorHAnsi" w:hAnsiTheme="majorHAnsi" w:cs="Times New Roman"/>
          <w:sz w:val="20"/>
          <w:szCs w:val="20"/>
        </w:rPr>
        <w:t>Figure 5. (A) Combination of water contact angle and water uptake ability and (B) effect of GO NPs incorporation on passing water flux.</w:t>
      </w:r>
    </w:p>
    <w:p w14:paraId="3DBE9E51" w14:textId="77777777" w:rsidR="0092252B" w:rsidRDefault="0092252B" w:rsidP="003D4D3C">
      <w:pPr>
        <w:spacing w:after="0" w:line="240" w:lineRule="auto"/>
        <w:contextualSpacing/>
        <w:jc w:val="both"/>
        <w:rPr>
          <w:rFonts w:asciiTheme="majorHAnsi" w:hAnsiTheme="majorHAnsi" w:cs="Times New Roman"/>
          <w:b/>
          <w:bCs/>
          <w:sz w:val="20"/>
          <w:szCs w:val="20"/>
        </w:rPr>
      </w:pPr>
      <w:r w:rsidRPr="0092252B">
        <w:rPr>
          <w:rFonts w:asciiTheme="majorHAnsi" w:hAnsiTheme="majorHAnsi" w:cs="Times New Roman"/>
          <w:b/>
          <w:bCs/>
          <w:sz w:val="20"/>
          <w:szCs w:val="20"/>
        </w:rPr>
        <w:t xml:space="preserve">3.1.5 Mechanical strength analysis </w:t>
      </w:r>
    </w:p>
    <w:p w14:paraId="1D8988E4" w14:textId="5C1DB3AE" w:rsidR="003D4D3C" w:rsidRPr="003D4D3C" w:rsidRDefault="0092252B" w:rsidP="003D4D3C">
      <w:pPr>
        <w:spacing w:after="0" w:line="240" w:lineRule="auto"/>
        <w:contextualSpacing/>
        <w:jc w:val="both"/>
        <w:rPr>
          <w:rFonts w:asciiTheme="majorHAnsi" w:eastAsia="MS PGothic" w:hAnsiTheme="majorHAnsi" w:cs="Times New Roman"/>
          <w:color w:val="000000" w:themeColor="text1"/>
          <w:sz w:val="20"/>
          <w:szCs w:val="20"/>
        </w:rPr>
      </w:pPr>
      <w:r w:rsidRPr="0092252B">
        <w:rPr>
          <w:rFonts w:asciiTheme="majorHAnsi" w:eastAsia="MS PGothic" w:hAnsiTheme="majorHAnsi" w:cs="Times New Roman"/>
          <w:color w:val="000000" w:themeColor="text1"/>
          <w:sz w:val="20"/>
          <w:szCs w:val="20"/>
        </w:rPr>
        <w:t xml:space="preserve">Analysis of the membrane’s mechanical strength is important to evaluate to determine the resistance of the membrane in pressurized filtration operations. In this regard, the tensile strength and elongation at break of the fabricated membranes will be discussed in more detail. Fig. 6. shows the combined bar chart of the tensile strength and the elongation at break in the fabricated membranes. As is well known,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is a polymer with superior mechanical properties </w:t>
      </w:r>
      <w:r w:rsidR="000C4F36">
        <w:rPr>
          <w:rFonts w:asciiTheme="majorHAnsi" w:eastAsia="MS PGothic" w:hAnsiTheme="majorHAnsi" w:cs="Times New Roman"/>
          <w:color w:val="000000" w:themeColor="text1"/>
          <w:sz w:val="20"/>
          <w:szCs w:val="20"/>
        </w:rPr>
        <w:fldChar w:fldCharType="begin"/>
      </w:r>
      <w:r w:rsidR="000C4F36">
        <w:rPr>
          <w:rFonts w:asciiTheme="majorHAnsi" w:eastAsia="MS PGothic" w:hAnsiTheme="majorHAnsi" w:cs="Times New Roman"/>
          <w:color w:val="000000" w:themeColor="text1"/>
          <w:sz w:val="20"/>
          <w:szCs w:val="20"/>
        </w:rPr>
        <w:instrText xml:space="preserve"> ADDIN ZOTERO_ITEM CSL_CITATION {"citationID":"KiRJYvoy","properties":{"formattedCitation":"(Mamah et al., 2021)","plainCitation":"(Mamah et al., 2021)","noteIndex":0},"citationItems":[{"id":736,"uris":["http://zotero.org/users/local/8H0XTJlS/items/VB9ZGSCR"],"itemData":{"id":736,"type":"article-journal","abstract":"Polysulfone (PSF) membranes have been widely used for wastewater treatment due to their desired properties like stability, high mechanical strength and ease of modification. The modification of PSF membranes presents a great opportunity in improving their performance in the field of wastewater treatment. This review presents a comprehensive review of PSF ultrafiltration (UF) and microfiltration (MF) membranes modification via various techniques as well as novel modifiers for water purification by paying attention to various issues inherent in the modification process. Recent studies on nanomaterial as well as hydrophilic macromolecules used for the modifications of PSF UF/MF membranes for water treatment application have been comprehensively analysed. These modified membranes exhibited a remarkable improvement with regards to water permeability, salt rejection and anti-fouling features of PSF modified membranes when compared to the neat PSF membranes. The modification techniques such as coating, grafting/blending, layer by layer and deposition are discussed. Besides, the impacts of these modifiers on the performance of the membranes for wastewater treatment as well as their environmental impacts are discussed. Based on the literature review, it is obvious that nanomaterial/hydrophilic macromolecules modified PSF membranes have unique features that can contribute to the advancement of innovative nanocomposite membranes with enhanced capacities for wastewater treatment.","container-title":"Journal of Water Process Engineering","DOI":"10.1016/j.jwpe.2020.101835","ISSN":"22147144","note":"publisher: Elsevier Ltd","title":"Recent development in modification of polysulfone membrane for water treatment application","volume":"40","author":[{"family":"Mamah","given":"Stanley Chinedu"},{"family":"Goh","given":"Pei Sean"},{"family":"Ismail","given":"Ahmad Fauzi"},{"family":"Suzaimi","given":"Nor Diyana"},{"family":"Yogarathinam","given":"Lukka Thuyavan"},{"family":"Raji","given":"Yusuf Olabode"},{"family":"El-badawy","given":"Tijjani Hassan"}],"issued":{"date-parts":[["2021",4,1]]}}}],"schema":"https://github.com/citation-style-language/schema/raw/master/csl-citation.json"} </w:instrText>
      </w:r>
      <w:r w:rsidR="000C4F36">
        <w:rPr>
          <w:rFonts w:asciiTheme="majorHAnsi" w:eastAsia="MS PGothic" w:hAnsiTheme="majorHAnsi" w:cs="Times New Roman"/>
          <w:color w:val="000000" w:themeColor="text1"/>
          <w:sz w:val="20"/>
          <w:szCs w:val="20"/>
        </w:rPr>
        <w:fldChar w:fldCharType="separate"/>
      </w:r>
      <w:r w:rsidR="000C4F36" w:rsidRPr="000C4F36">
        <w:rPr>
          <w:rFonts w:ascii="Cambria" w:hAnsi="Cambria"/>
          <w:sz w:val="20"/>
        </w:rPr>
        <w:t>(Mamah et al., 2021)</w:t>
      </w:r>
      <w:r w:rsidR="000C4F36">
        <w:rPr>
          <w:rFonts w:asciiTheme="majorHAnsi" w:eastAsia="MS PGothic" w:hAnsiTheme="majorHAnsi" w:cs="Times New Roman"/>
          <w:color w:val="000000" w:themeColor="text1"/>
          <w:sz w:val="20"/>
          <w:szCs w:val="20"/>
        </w:rPr>
        <w:fldChar w:fldCharType="end"/>
      </w:r>
      <w:r w:rsidR="000C4F36">
        <w:rPr>
          <w:rFonts w:asciiTheme="majorHAnsi" w:eastAsia="MS PGothic" w:hAnsiTheme="majorHAnsi" w:cs="Times New Roman"/>
          <w:color w:val="000000" w:themeColor="text1"/>
          <w:sz w:val="20"/>
          <w:szCs w:val="20"/>
        </w:rPr>
        <w:t xml:space="preserve">, </w:t>
      </w:r>
      <w:r w:rsidRPr="0092252B">
        <w:rPr>
          <w:rFonts w:asciiTheme="majorHAnsi" w:eastAsia="MS PGothic" w:hAnsiTheme="majorHAnsi" w:cs="Times New Roman"/>
          <w:color w:val="000000" w:themeColor="text1"/>
          <w:sz w:val="20"/>
          <w:szCs w:val="20"/>
        </w:rPr>
        <w:t xml:space="preserve">so it is not surprising that the original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in this study had tensile strength and elongation at break of 3.8 MPa and 18%, respectively. The incorporation of GO NPs on the polymer matrix succeeded in increasing the tensile strength and elongation at break up to 4.2 MPa and 13.9%, respectively. This indicates that the incorporation of GO NPs in the polymer matrix initiates an increase in the membrane force load, so that the membrane is not easily broken in high-pressure applications </w:t>
      </w:r>
      <w:r w:rsidR="000C4F36">
        <w:rPr>
          <w:rFonts w:asciiTheme="majorHAnsi" w:eastAsia="MS PGothic" w:hAnsiTheme="majorHAnsi" w:cs="Times New Roman"/>
          <w:color w:val="000000" w:themeColor="text1"/>
          <w:sz w:val="20"/>
          <w:szCs w:val="20"/>
        </w:rPr>
        <w:fldChar w:fldCharType="begin"/>
      </w:r>
      <w:r w:rsidR="000C4F36">
        <w:rPr>
          <w:rFonts w:asciiTheme="majorHAnsi" w:eastAsia="MS PGothic" w:hAnsiTheme="majorHAnsi" w:cs="Times New Roman"/>
          <w:color w:val="000000" w:themeColor="text1"/>
          <w:sz w:val="20"/>
          <w:szCs w:val="20"/>
        </w:rPr>
        <w:instrText xml:space="preserve"> ADDIN ZOTERO_ITEM CSL_CITATION {"citationID":"2gZqDKLn","properties":{"formattedCitation":"(Dlamini et al., 2019)","plainCitation":"(Dlamini et al., 2019)","noteIndex":0},"citationItems":[{"id":806,"uris":["http://zotero.org/users/local/8H0XTJlS/items/HIZ4BU6R"],"itemData":{"id":806,"type":"article-journal","abstract":"This review looks into the efforts made towards commercializing nano-enable flat sheet membranes as well as the challenges that need to be overcome. There is a question mark on the argument that the nano-pores of the fillers play a significant role in the performance of the membrane. Non porous nanomaterials have been reported to cause in increase in water flux, yet there are still articles that credit the nano-pores of the nanomaterials for improved membrane performance. There are two points that are important to highlight: (1) the nanoparticles, e.g. zeolites, are smaller in diameter compared to the thickness, (2) the loading rate of the filler phase is significantly small in relation to continuous phase. Therefore, it cannot be correct to assume that the nanomaterials provide continuous flow channels in the selective layer. There is no dispute here that the addition of NP enhances the performance of a membrane, but it is the perception that the nano-pores are the reason that we disagree with.","container-title":"Science of the Total Environment","DOI":"10.1016/j.scitotenv.2018.11.421","ISSN":"18791026","note":"PMID: 30530142\npublisher: Elsevier B.V.","page":"723-731","title":"The role of nanoparticles in the performance of nano-enabled composite membranes – A critical scientific perspective","volume":"656","author":[{"family":"Dlamini","given":"Derrick S."},{"family":"Mamba","given":"Bhekie B."},{"family":"Li","given":"Jianxin"}],"issued":{"date-parts":[["2019",3,15]]}}}],"schema":"https://github.com/citation-style-language/schema/raw/master/csl-citation.json"} </w:instrText>
      </w:r>
      <w:r w:rsidR="000C4F36">
        <w:rPr>
          <w:rFonts w:asciiTheme="majorHAnsi" w:eastAsia="MS PGothic" w:hAnsiTheme="majorHAnsi" w:cs="Times New Roman"/>
          <w:color w:val="000000" w:themeColor="text1"/>
          <w:sz w:val="20"/>
          <w:szCs w:val="20"/>
        </w:rPr>
        <w:fldChar w:fldCharType="separate"/>
      </w:r>
      <w:r w:rsidR="000C4F36" w:rsidRPr="000C4F36">
        <w:rPr>
          <w:rFonts w:ascii="Cambria" w:hAnsi="Cambria"/>
          <w:sz w:val="20"/>
        </w:rPr>
        <w:t>(Dlamini et al., 2019)</w:t>
      </w:r>
      <w:r w:rsidR="000C4F36">
        <w:rPr>
          <w:rFonts w:asciiTheme="majorHAnsi" w:eastAsia="MS PGothic" w:hAnsiTheme="majorHAnsi" w:cs="Times New Roman"/>
          <w:color w:val="000000" w:themeColor="text1"/>
          <w:sz w:val="20"/>
          <w:szCs w:val="20"/>
        </w:rPr>
        <w:fldChar w:fldCharType="end"/>
      </w:r>
      <w:r w:rsidR="000C4F36">
        <w:rPr>
          <w:rFonts w:asciiTheme="majorHAnsi" w:eastAsia="MS PGothic" w:hAnsiTheme="majorHAnsi" w:cs="Times New Roman"/>
          <w:color w:val="000000" w:themeColor="text1"/>
          <w:sz w:val="20"/>
          <w:szCs w:val="20"/>
        </w:rPr>
        <w:t xml:space="preserve">. </w:t>
      </w:r>
      <w:r w:rsidRPr="0092252B">
        <w:rPr>
          <w:rFonts w:asciiTheme="majorHAnsi" w:eastAsia="MS PGothic" w:hAnsiTheme="majorHAnsi" w:cs="Times New Roman"/>
          <w:color w:val="000000" w:themeColor="text1"/>
          <w:sz w:val="20"/>
          <w:szCs w:val="20"/>
        </w:rPr>
        <w:t xml:space="preserve">This increase in mechanical strength was also supported by XRD analysis of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/GO membranes which showed an increase in the crystallinity index of the original membrane, resulting in a modified membrane with superior durability.</w:t>
      </w:r>
    </w:p>
    <w:p w14:paraId="40556327" w14:textId="10494927" w:rsidR="003D4D3C" w:rsidRPr="003D4D3C" w:rsidRDefault="0092252B" w:rsidP="003D4D3C">
      <w:pPr>
        <w:spacing w:after="0" w:line="240" w:lineRule="auto"/>
        <w:contextualSpacing/>
        <w:jc w:val="both"/>
        <w:rPr>
          <w:rFonts w:asciiTheme="majorHAnsi" w:eastAsia="MS PGothic" w:hAnsiTheme="majorHAnsi" w:cs="Times New Roman"/>
          <w:color w:val="000000" w:themeColor="text1"/>
          <w:sz w:val="20"/>
          <w:szCs w:val="20"/>
        </w:rPr>
      </w:pPr>
      <w:r w:rsidRPr="00A13096">
        <w:rPr>
          <w:noProof/>
          <w:sz w:val="24"/>
          <w:szCs w:val="24"/>
        </w:rPr>
        <w:drawing>
          <wp:inline distT="0" distB="0" distL="0" distR="0" wp14:anchorId="668822C6" wp14:editId="748DED54">
            <wp:extent cx="3246120" cy="23274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cstrength.jpg"/>
                    <pic:cNvPicPr/>
                  </pic:nvPicPr>
                  <pic:blipFill rotWithShape="1">
                    <a:blip r:embed="rId43" cstate="print">
                      <a:extLst>
                        <a:ext uri="{28A0092B-C50C-407E-A947-70E740481C1C}">
                          <a14:useLocalDpi xmlns:a14="http://schemas.microsoft.com/office/drawing/2010/main" val="0"/>
                        </a:ext>
                      </a:extLst>
                    </a:blip>
                    <a:srcRect l="10309" t="9621" r="5130" b="11149"/>
                    <a:stretch/>
                  </pic:blipFill>
                  <pic:spPr bwMode="auto">
                    <a:xfrm>
                      <a:off x="0" y="0"/>
                      <a:ext cx="3246120" cy="2327427"/>
                    </a:xfrm>
                    <a:prstGeom prst="rect">
                      <a:avLst/>
                    </a:prstGeom>
                    <a:ln>
                      <a:noFill/>
                    </a:ln>
                    <a:extLst>
                      <a:ext uri="{53640926-AAD7-44D8-BBD7-CCE9431645EC}">
                        <a14:shadowObscured xmlns:a14="http://schemas.microsoft.com/office/drawing/2010/main"/>
                      </a:ext>
                    </a:extLst>
                  </pic:spPr>
                </pic:pic>
              </a:graphicData>
            </a:graphic>
          </wp:inline>
        </w:drawing>
      </w:r>
    </w:p>
    <w:p w14:paraId="26C99E38" w14:textId="2DC8043C" w:rsidR="003D4D3C" w:rsidRPr="003D4D3C" w:rsidRDefault="0092252B" w:rsidP="003D4D3C">
      <w:pPr>
        <w:spacing w:after="0" w:line="240" w:lineRule="auto"/>
        <w:contextualSpacing/>
        <w:jc w:val="center"/>
        <w:rPr>
          <w:rFonts w:asciiTheme="majorHAnsi" w:eastAsia="MS PGothic" w:hAnsiTheme="majorHAnsi" w:cs="Times New Roman"/>
          <w:color w:val="000000" w:themeColor="text1"/>
          <w:sz w:val="20"/>
          <w:szCs w:val="20"/>
        </w:rPr>
      </w:pPr>
      <w:r w:rsidRPr="0092252B">
        <w:rPr>
          <w:rFonts w:asciiTheme="majorHAnsi" w:eastAsia="MS PGothic" w:hAnsiTheme="majorHAnsi" w:cs="Times New Roman"/>
          <w:color w:val="000000" w:themeColor="text1"/>
          <w:sz w:val="20"/>
          <w:szCs w:val="20"/>
        </w:rPr>
        <w:t>Figure 6. Mechanical strength of fabricated membranes</w:t>
      </w:r>
    </w:p>
    <w:p w14:paraId="4714D3DF" w14:textId="77777777" w:rsidR="0092252B" w:rsidRDefault="0092252B" w:rsidP="003D4D3C">
      <w:pPr>
        <w:spacing w:after="0" w:line="240" w:lineRule="auto"/>
        <w:ind w:firstLine="426"/>
        <w:contextualSpacing/>
        <w:jc w:val="both"/>
        <w:rPr>
          <w:rFonts w:asciiTheme="majorHAnsi" w:eastAsia="MS PGothic" w:hAnsiTheme="majorHAnsi" w:cs="Times New Roman"/>
          <w:color w:val="000000" w:themeColor="text1"/>
          <w:sz w:val="20"/>
          <w:szCs w:val="20"/>
        </w:rPr>
      </w:pPr>
    </w:p>
    <w:p w14:paraId="76A4CB4F" w14:textId="44968366" w:rsidR="0092252B" w:rsidRPr="0092252B" w:rsidRDefault="0092252B" w:rsidP="0092252B">
      <w:pPr>
        <w:spacing w:after="0" w:line="240" w:lineRule="auto"/>
        <w:contextualSpacing/>
        <w:jc w:val="both"/>
        <w:rPr>
          <w:rFonts w:asciiTheme="majorHAnsi" w:eastAsia="MS PGothic" w:hAnsiTheme="majorHAnsi" w:cs="Times New Roman"/>
          <w:b/>
          <w:bCs/>
          <w:color w:val="000000" w:themeColor="text1"/>
          <w:sz w:val="20"/>
          <w:szCs w:val="20"/>
        </w:rPr>
      </w:pPr>
      <w:r w:rsidRPr="0092252B">
        <w:rPr>
          <w:rFonts w:asciiTheme="majorHAnsi" w:eastAsia="MS PGothic" w:hAnsiTheme="majorHAnsi" w:cs="Times New Roman"/>
          <w:b/>
          <w:bCs/>
          <w:color w:val="000000" w:themeColor="text1"/>
          <w:sz w:val="20"/>
          <w:szCs w:val="20"/>
        </w:rPr>
        <w:t>3.2 Membrane’s performance study evaluation</w:t>
      </w:r>
    </w:p>
    <w:p w14:paraId="5D3BB15A" w14:textId="7C350321" w:rsidR="0092252B" w:rsidRDefault="0092252B" w:rsidP="0092252B">
      <w:pPr>
        <w:spacing w:after="0" w:line="240" w:lineRule="auto"/>
        <w:contextualSpacing/>
        <w:jc w:val="both"/>
        <w:rPr>
          <w:rFonts w:asciiTheme="majorHAnsi" w:eastAsia="MS PGothic" w:hAnsiTheme="majorHAnsi" w:cs="Times New Roman"/>
          <w:b/>
          <w:bCs/>
          <w:color w:val="000000" w:themeColor="text1"/>
          <w:sz w:val="20"/>
          <w:szCs w:val="20"/>
        </w:rPr>
      </w:pPr>
      <w:r w:rsidRPr="0092252B">
        <w:rPr>
          <w:rFonts w:asciiTheme="majorHAnsi" w:eastAsia="MS PGothic" w:hAnsiTheme="majorHAnsi" w:cs="Times New Roman"/>
          <w:b/>
          <w:bCs/>
          <w:color w:val="000000" w:themeColor="text1"/>
          <w:sz w:val="20"/>
          <w:szCs w:val="20"/>
        </w:rPr>
        <w:t>3.2.1 Permeate flux</w:t>
      </w:r>
    </w:p>
    <w:p w14:paraId="18C60F30" w14:textId="6190B05A" w:rsidR="0092252B" w:rsidRDefault="0092252B" w:rsidP="0092252B">
      <w:pPr>
        <w:spacing w:after="0" w:line="240" w:lineRule="auto"/>
        <w:ind w:firstLine="426"/>
        <w:contextualSpacing/>
        <w:jc w:val="both"/>
        <w:rPr>
          <w:rFonts w:asciiTheme="majorHAnsi" w:eastAsia="MS PGothic" w:hAnsiTheme="majorHAnsi" w:cs="Times New Roman"/>
          <w:color w:val="000000" w:themeColor="text1"/>
          <w:sz w:val="20"/>
          <w:szCs w:val="20"/>
        </w:rPr>
      </w:pPr>
      <w:r w:rsidRPr="0092252B">
        <w:rPr>
          <w:rFonts w:asciiTheme="majorHAnsi" w:eastAsia="MS PGothic" w:hAnsiTheme="majorHAnsi" w:cs="Times New Roman"/>
          <w:color w:val="000000" w:themeColor="text1"/>
          <w:sz w:val="20"/>
          <w:szCs w:val="20"/>
        </w:rPr>
        <w:t xml:space="preserve">Permeate flux is one of the main factors which determine the level of membrane performance. Fig. 7 shows the measured flux trend of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and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/GO membranes in performing batik wastewater filtration operations. From Fig. 7A it can be seen that the GO embedded membrane is able to produce 3 times more permeate flux than the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membrane, which is 2.8 LMH. This phenomenon is based on the presence of hydrogen bonds between </w:t>
      </w:r>
      <w:proofErr w:type="spellStart"/>
      <w:r w:rsidRPr="0092252B">
        <w:rPr>
          <w:rFonts w:asciiTheme="majorHAnsi" w:eastAsia="MS PGothic" w:hAnsiTheme="majorHAnsi" w:cs="Times New Roman"/>
          <w:color w:val="000000" w:themeColor="text1"/>
          <w:sz w:val="20"/>
          <w:szCs w:val="20"/>
        </w:rPr>
        <w:t>polysulfone</w:t>
      </w:r>
      <w:proofErr w:type="spellEnd"/>
      <w:r w:rsidRPr="0092252B">
        <w:rPr>
          <w:rFonts w:asciiTheme="majorHAnsi" w:eastAsia="MS PGothic" w:hAnsiTheme="majorHAnsi" w:cs="Times New Roman"/>
          <w:color w:val="000000" w:themeColor="text1"/>
          <w:sz w:val="20"/>
          <w:szCs w:val="20"/>
        </w:rPr>
        <w:t xml:space="preserve"> and GO NPs. The interaction between the two is known to able to cause the band shifting of the O-H group to be shorter, thereby increasing the adsorption ability of water molecules on the membrane surface </w:t>
      </w:r>
      <w:r w:rsidR="00796576">
        <w:rPr>
          <w:rFonts w:asciiTheme="majorHAnsi" w:eastAsia="MS PGothic" w:hAnsiTheme="majorHAnsi" w:cs="Times New Roman"/>
          <w:color w:val="000000" w:themeColor="text1"/>
          <w:sz w:val="20"/>
          <w:szCs w:val="20"/>
        </w:rPr>
        <w:fldChar w:fldCharType="begin"/>
      </w:r>
      <w:r w:rsidR="00796576">
        <w:rPr>
          <w:rFonts w:asciiTheme="majorHAnsi" w:eastAsia="MS PGothic" w:hAnsiTheme="majorHAnsi" w:cs="Times New Roman"/>
          <w:color w:val="000000" w:themeColor="text1"/>
          <w:sz w:val="20"/>
          <w:szCs w:val="20"/>
        </w:rPr>
        <w:instrText xml:space="preserve"> ADDIN ZOTERO_ITEM CSL_CITATION {"citationID":"WZT5cMPf","properties":{"formattedCitation":"(Ningaraju et al., 2019)","plainCitation":"(Ningaraju et al., 2019)","noteIndex":0},"citationItems":[{"id":855,"uris":["http://zotero.org/users/local/8H0XTJlS/items/MZE5FFGJ"],"itemData":{"id":855,"type":"article-journal","abstract":"Graphite oxide (GO) nanoparticles were synthesized by modiﬁed Hummer method. DLS results suggest that the average size of GO nanoparticles is 140 nm. EDX study conﬁrms the presence of oxygen containing functional groups in GO sheet. Polysulfone (PSF/GO) and Poly (styrene co-acrylonitrile) (PSAN/GO) polymer nanocomposites were prepared by solution casting technique. The ionic and electronic conductivity behaviors of PSF/ GO and PSAN/GO polymer nanocomposites were measured. The increased conductivity with increasing GO nanoparticles loading is due to the conductivity chain formation and increased mobility of charge carriers. The eﬀect of crystallinity and free volume on electrical conductivity of PSF/GO and PSAN/GO polymer nanocomposites is explored. PSF/GO and PSAN/GO nanocomposites exhibit high electrical conductivity with low amount of (0.6 wt% and 1.0 wt%) GO loading is due to the formation of GO networks by the strong chemical interaction induced crystallinity of the polymer matrix. This is evident from FTIR and Raman spectroscopy studies.","container-title":"Materials Science and Engineering: B","DOI":"10.1016/j.mseb.2019.06.002","ISSN":"09215107","journalAbbreviation":"Materials Science and Engineering: B","language":"en","page":"62-75","source":"DOI.org (Crossref)","title":"Synthesis of graphite oxide nanoparticles and conductivity studies of PSF/GO and PSAN/GO polymer nanocomposites","volume":"246","author":[{"family":"Ningaraju","given":"S."},{"family":"Jagadish","given":"K."},{"family":"Srikantaswamy","given":"S."},{"family":"Gnana Prakash","given":"A.P."},{"family":"Ravikumar","given":"H.B."}],"issued":{"date-parts":[["2019",7]]}}}],"schema":"https://github.com/citation-style-language/schema/raw/master/csl-citation.json"} </w:instrText>
      </w:r>
      <w:r w:rsidR="00796576">
        <w:rPr>
          <w:rFonts w:asciiTheme="majorHAnsi" w:eastAsia="MS PGothic" w:hAnsiTheme="majorHAnsi" w:cs="Times New Roman"/>
          <w:color w:val="000000" w:themeColor="text1"/>
          <w:sz w:val="20"/>
          <w:szCs w:val="20"/>
        </w:rPr>
        <w:fldChar w:fldCharType="separate"/>
      </w:r>
      <w:r w:rsidR="00796576" w:rsidRPr="00796576">
        <w:rPr>
          <w:rFonts w:ascii="Cambria" w:hAnsi="Cambria"/>
          <w:sz w:val="20"/>
        </w:rPr>
        <w:t>(Ningaraju et al., 2019)</w:t>
      </w:r>
      <w:r w:rsidR="00796576">
        <w:rPr>
          <w:rFonts w:asciiTheme="majorHAnsi" w:eastAsia="MS PGothic" w:hAnsiTheme="majorHAnsi" w:cs="Times New Roman"/>
          <w:color w:val="000000" w:themeColor="text1"/>
          <w:sz w:val="20"/>
          <w:szCs w:val="20"/>
        </w:rPr>
        <w:fldChar w:fldCharType="end"/>
      </w:r>
      <w:r w:rsidR="00796576">
        <w:rPr>
          <w:rFonts w:asciiTheme="majorHAnsi" w:eastAsia="MS PGothic" w:hAnsiTheme="majorHAnsi" w:cs="Times New Roman"/>
          <w:color w:val="000000" w:themeColor="text1"/>
          <w:sz w:val="20"/>
          <w:szCs w:val="20"/>
        </w:rPr>
        <w:t xml:space="preserve">. </w:t>
      </w:r>
      <w:r w:rsidRPr="0092252B">
        <w:rPr>
          <w:rFonts w:asciiTheme="majorHAnsi" w:eastAsia="MS PGothic" w:hAnsiTheme="majorHAnsi" w:cs="Times New Roman"/>
          <w:color w:val="000000" w:themeColor="text1"/>
          <w:sz w:val="20"/>
          <w:szCs w:val="20"/>
        </w:rPr>
        <w:t xml:space="preserve">The trend of permeate flux in the form of pseudo-steady on the native </w:t>
      </w:r>
      <w:proofErr w:type="spellStart"/>
      <w:r w:rsidRPr="0092252B">
        <w:rPr>
          <w:rFonts w:asciiTheme="majorHAnsi" w:eastAsia="MS PGothic" w:hAnsiTheme="majorHAnsi" w:cs="Times New Roman"/>
          <w:color w:val="000000" w:themeColor="text1"/>
          <w:sz w:val="20"/>
          <w:szCs w:val="20"/>
        </w:rPr>
        <w:lastRenderedPageBreak/>
        <w:t>PSf</w:t>
      </w:r>
      <w:proofErr w:type="spellEnd"/>
      <w:r w:rsidRPr="0092252B">
        <w:rPr>
          <w:rFonts w:asciiTheme="majorHAnsi" w:eastAsia="MS PGothic" w:hAnsiTheme="majorHAnsi" w:cs="Times New Roman"/>
          <w:color w:val="000000" w:themeColor="text1"/>
          <w:sz w:val="20"/>
          <w:szCs w:val="20"/>
        </w:rPr>
        <w:t xml:space="preserve"> membrane is caused by the high hydrophobicity of </w:t>
      </w:r>
      <w:proofErr w:type="spellStart"/>
      <w:r w:rsidRPr="0092252B">
        <w:rPr>
          <w:rFonts w:asciiTheme="majorHAnsi" w:eastAsia="MS PGothic" w:hAnsiTheme="majorHAnsi" w:cs="Times New Roman"/>
          <w:color w:val="000000" w:themeColor="text1"/>
          <w:sz w:val="20"/>
          <w:szCs w:val="20"/>
        </w:rPr>
        <w:t>polysulfone</w:t>
      </w:r>
      <w:proofErr w:type="spellEnd"/>
      <w:r w:rsidRPr="0092252B">
        <w:rPr>
          <w:rFonts w:asciiTheme="majorHAnsi" w:eastAsia="MS PGothic" w:hAnsiTheme="majorHAnsi" w:cs="Times New Roman"/>
          <w:color w:val="000000" w:themeColor="text1"/>
          <w:sz w:val="20"/>
          <w:szCs w:val="20"/>
        </w:rPr>
        <w:t xml:space="preserve"> so it is difficult to pass water. Even at the end of the operation was not able to pass water at all because the pores were completely blocked by foulant.</w:t>
      </w:r>
    </w:p>
    <w:p w14:paraId="5CE1C3C5" w14:textId="19B8F7F4" w:rsidR="0092252B" w:rsidRDefault="0092252B" w:rsidP="0092252B">
      <w:pPr>
        <w:spacing w:after="0" w:line="240" w:lineRule="auto"/>
        <w:ind w:firstLine="426"/>
        <w:contextualSpacing/>
        <w:jc w:val="both"/>
        <w:rPr>
          <w:rFonts w:asciiTheme="majorHAnsi" w:eastAsia="MS PGothic" w:hAnsiTheme="majorHAnsi" w:cs="Times New Roman"/>
          <w:color w:val="000000" w:themeColor="text1"/>
          <w:sz w:val="20"/>
          <w:szCs w:val="20"/>
        </w:rPr>
      </w:pPr>
      <w:r w:rsidRPr="0092252B">
        <w:rPr>
          <w:rFonts w:asciiTheme="majorHAnsi" w:eastAsia="MS PGothic" w:hAnsiTheme="majorHAnsi" w:cs="Times New Roman"/>
          <w:color w:val="000000" w:themeColor="text1"/>
          <w:sz w:val="20"/>
          <w:szCs w:val="20"/>
        </w:rPr>
        <w:t xml:space="preserve">On the other hand, Fig. 7B shows the normalized flux profile of the fabricated membrane. The normalized flux was evaluated to find out the effect of fouling on membrane performance. A drastic decrease in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/GO membrane occurred after 60 minutes of operation. This may be due to the clogging of the membrane surface pores by organic pollutants and dyes. However, as the filtration process progresses, the normalized flux tends to remain unchanged due to the increase in porosity contributed by the hydrophilic sites of GO NPs. Periodic washing is necessary to maintain membrane performance. In contrast to the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/GO membranes, the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membranes had a regular normalized flux decreasing pattern up to 0. This reflects that the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membranes have high water resistance, making it difficult to recover flux.</w:t>
      </w:r>
    </w:p>
    <w:p w14:paraId="0FF9B5F1" w14:textId="09C97B89" w:rsidR="0092252B" w:rsidRDefault="0092252B" w:rsidP="0092252B">
      <w:pPr>
        <w:spacing w:after="0" w:line="240" w:lineRule="auto"/>
        <w:contextualSpacing/>
        <w:jc w:val="both"/>
        <w:rPr>
          <w:rFonts w:asciiTheme="majorHAnsi" w:eastAsia="MS PGothic" w:hAnsiTheme="majorHAnsi" w:cs="Times New Roman"/>
          <w:color w:val="000000" w:themeColor="text1"/>
          <w:sz w:val="20"/>
          <w:szCs w:val="20"/>
        </w:rPr>
      </w:pPr>
      <w:r>
        <w:rPr>
          <w:rFonts w:asciiTheme="majorHAnsi" w:eastAsia="MS PGothic" w:hAnsiTheme="majorHAnsi" w:cs="Times New Roman"/>
          <w:noProof/>
          <w:color w:val="000000" w:themeColor="text1"/>
          <w:sz w:val="20"/>
          <w:szCs w:val="20"/>
        </w:rPr>
        <w:drawing>
          <wp:inline distT="0" distB="0" distL="0" distR="0" wp14:anchorId="62190945" wp14:editId="71494CF4">
            <wp:extent cx="3294666" cy="5384772"/>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uxm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1341" cy="5395681"/>
                    </a:xfrm>
                    <a:prstGeom prst="rect">
                      <a:avLst/>
                    </a:prstGeom>
                  </pic:spPr>
                </pic:pic>
              </a:graphicData>
            </a:graphic>
          </wp:inline>
        </w:drawing>
      </w:r>
    </w:p>
    <w:p w14:paraId="557E1F42" w14:textId="1240BAFD" w:rsidR="0092252B" w:rsidRDefault="0092252B" w:rsidP="0092252B">
      <w:pPr>
        <w:spacing w:after="0" w:line="240" w:lineRule="auto"/>
        <w:contextualSpacing/>
        <w:jc w:val="center"/>
        <w:rPr>
          <w:rFonts w:asciiTheme="majorHAnsi" w:eastAsia="MS PGothic" w:hAnsiTheme="majorHAnsi" w:cs="Times New Roman"/>
          <w:color w:val="000000" w:themeColor="text1"/>
          <w:sz w:val="20"/>
          <w:szCs w:val="20"/>
        </w:rPr>
      </w:pPr>
      <w:r w:rsidRPr="0092252B">
        <w:rPr>
          <w:rFonts w:asciiTheme="majorHAnsi" w:eastAsia="MS PGothic" w:hAnsiTheme="majorHAnsi" w:cs="Times New Roman"/>
          <w:color w:val="000000" w:themeColor="text1"/>
          <w:sz w:val="20"/>
          <w:szCs w:val="20"/>
        </w:rPr>
        <w:t>Figure 7. Flux measurement results; (A) Permeate flux and (B) Normalized flux</w:t>
      </w:r>
    </w:p>
    <w:p w14:paraId="18335EFB" w14:textId="5661D5B7" w:rsidR="0092252B" w:rsidRDefault="0092252B" w:rsidP="0092252B">
      <w:pPr>
        <w:spacing w:after="0" w:line="240" w:lineRule="auto"/>
        <w:contextualSpacing/>
        <w:jc w:val="both"/>
        <w:rPr>
          <w:rFonts w:asciiTheme="majorHAnsi" w:eastAsia="MS PGothic" w:hAnsiTheme="majorHAnsi" w:cs="Times New Roman"/>
          <w:b/>
          <w:bCs/>
          <w:color w:val="000000" w:themeColor="text1"/>
          <w:sz w:val="20"/>
          <w:szCs w:val="20"/>
        </w:rPr>
      </w:pPr>
      <w:r w:rsidRPr="0092252B">
        <w:rPr>
          <w:rFonts w:asciiTheme="majorHAnsi" w:eastAsia="MS PGothic" w:hAnsiTheme="majorHAnsi" w:cs="Times New Roman"/>
          <w:b/>
          <w:bCs/>
          <w:color w:val="000000" w:themeColor="text1"/>
          <w:sz w:val="20"/>
          <w:szCs w:val="20"/>
        </w:rPr>
        <w:t>3.2.2 Pollutant rejection</w:t>
      </w:r>
    </w:p>
    <w:p w14:paraId="0250BF60" w14:textId="09CDF169" w:rsidR="0092252B" w:rsidRDefault="0092252B" w:rsidP="0092252B">
      <w:pPr>
        <w:spacing w:after="0" w:line="240" w:lineRule="auto"/>
        <w:ind w:firstLine="426"/>
        <w:contextualSpacing/>
        <w:jc w:val="both"/>
        <w:rPr>
          <w:rFonts w:asciiTheme="majorHAnsi" w:eastAsia="MS PGothic" w:hAnsiTheme="majorHAnsi" w:cs="Times New Roman"/>
          <w:color w:val="000000" w:themeColor="text1"/>
          <w:sz w:val="20"/>
          <w:szCs w:val="20"/>
        </w:rPr>
      </w:pPr>
      <w:r w:rsidRPr="0092252B">
        <w:rPr>
          <w:rFonts w:asciiTheme="majorHAnsi" w:eastAsia="MS PGothic" w:hAnsiTheme="majorHAnsi" w:cs="Times New Roman"/>
          <w:color w:val="000000" w:themeColor="text1"/>
          <w:sz w:val="20"/>
          <w:szCs w:val="20"/>
        </w:rPr>
        <w:t xml:space="preserve">Another key parameter which determines membrane performance is its ability to repel pollutants. Batik wastewater is included in the waste with complex pollutant content that is difficult to decompose naturally. In this study the efficiency of pollutant rejection will be seen from the parameters of the dye concentration and TDS. Fig. 8 shows the bar chart combination of the dye and TDS removal on the fabricated membrane. Both dye and TDS showed similar results, with the best rejection efficiencies for GO NPs embedded membranes, which were 93.6% and 87.7% for dye and TDS, respectively. This phenomenon occurs due to the incorporation of GO NPs into the </w:t>
      </w:r>
      <w:proofErr w:type="spellStart"/>
      <w:r w:rsidRPr="0092252B">
        <w:rPr>
          <w:rFonts w:asciiTheme="majorHAnsi" w:eastAsia="MS PGothic" w:hAnsiTheme="majorHAnsi" w:cs="Times New Roman"/>
          <w:color w:val="000000" w:themeColor="text1"/>
          <w:sz w:val="20"/>
          <w:szCs w:val="20"/>
        </w:rPr>
        <w:t>polysulfone</w:t>
      </w:r>
      <w:proofErr w:type="spellEnd"/>
      <w:r w:rsidRPr="0092252B">
        <w:rPr>
          <w:rFonts w:asciiTheme="majorHAnsi" w:eastAsia="MS PGothic" w:hAnsiTheme="majorHAnsi" w:cs="Times New Roman"/>
          <w:color w:val="000000" w:themeColor="text1"/>
          <w:sz w:val="20"/>
          <w:szCs w:val="20"/>
        </w:rPr>
        <w:t xml:space="preserve"> matrix which can change the pore structure to be more selective so that pollutants can be retained and produce permeate with superior quality. The presence of GO NPs in the chemical structure of </w:t>
      </w:r>
      <w:proofErr w:type="spellStart"/>
      <w:r w:rsidRPr="0092252B">
        <w:rPr>
          <w:rFonts w:asciiTheme="majorHAnsi" w:eastAsia="MS PGothic" w:hAnsiTheme="majorHAnsi" w:cs="Times New Roman"/>
          <w:color w:val="000000" w:themeColor="text1"/>
          <w:sz w:val="20"/>
          <w:szCs w:val="20"/>
        </w:rPr>
        <w:t>polysulfone</w:t>
      </w:r>
      <w:proofErr w:type="spellEnd"/>
      <w:r w:rsidRPr="0092252B">
        <w:rPr>
          <w:rFonts w:asciiTheme="majorHAnsi" w:eastAsia="MS PGothic" w:hAnsiTheme="majorHAnsi" w:cs="Times New Roman"/>
          <w:color w:val="000000" w:themeColor="text1"/>
          <w:sz w:val="20"/>
          <w:szCs w:val="20"/>
        </w:rPr>
        <w:t xml:space="preserve"> is known to overhaul and reduce the thermodynamic stability of the system so that the coagulation rate in the NIPS process runs faster and produces a selective pore structure </w:t>
      </w:r>
      <w:r w:rsidR="00796576">
        <w:rPr>
          <w:rFonts w:asciiTheme="majorHAnsi" w:eastAsia="MS PGothic" w:hAnsiTheme="majorHAnsi" w:cs="Times New Roman"/>
          <w:color w:val="000000" w:themeColor="text1"/>
          <w:sz w:val="20"/>
          <w:szCs w:val="20"/>
        </w:rPr>
        <w:fldChar w:fldCharType="begin"/>
      </w:r>
      <w:r w:rsidR="00796576">
        <w:rPr>
          <w:rFonts w:asciiTheme="majorHAnsi" w:eastAsia="MS PGothic" w:hAnsiTheme="majorHAnsi" w:cs="Times New Roman"/>
          <w:color w:val="000000" w:themeColor="text1"/>
          <w:sz w:val="20"/>
          <w:szCs w:val="20"/>
        </w:rPr>
        <w:instrText xml:space="preserve"> ADDIN ZOTERO_ITEM CSL_CITATION {"citationID":"KJsVLX5X","properties":{"formattedCitation":"(Alpatova et al., 2013)","plainCitation":"(Alpatova et al., 2013)","noteIndex":0},"citationItems":[{"id":788,"uris":["http://zotero.org/users/local/8H0XTJlS/items/H9KJB4HH"],"itemData":{"id":788,"type":"article-journal","container-title":"Journal of Membrane Science","DOI":"10.1016/j.memsci.2013.05.034","ISSN":"03767388","page":"449-460","title":"Fabrication of porous polymeric nanocomposite membranes with enhanced anti-fouling properties: Effect of casting composition","volume":"444","author":[{"family":"Alpatova","given":"Alla"},{"family":"Kim","given":"Eun-Sik"},{"family":"Sun","given":"Xiaohui"},{"family":"Hwang","given":"Geelsu"},{"family":"Liu","given":"Yang"},{"family":"Gamal El-Din","given":"Mohamed"}],"issued":{"date-parts":[["2013",10]]}}}],"schema":"https://github.com/citation-style-language/schema/raw/master/csl-citation.json"} </w:instrText>
      </w:r>
      <w:r w:rsidR="00796576">
        <w:rPr>
          <w:rFonts w:asciiTheme="majorHAnsi" w:eastAsia="MS PGothic" w:hAnsiTheme="majorHAnsi" w:cs="Times New Roman"/>
          <w:color w:val="000000" w:themeColor="text1"/>
          <w:sz w:val="20"/>
          <w:szCs w:val="20"/>
        </w:rPr>
        <w:fldChar w:fldCharType="separate"/>
      </w:r>
      <w:r w:rsidR="00796576" w:rsidRPr="00796576">
        <w:rPr>
          <w:rFonts w:ascii="Cambria" w:hAnsi="Cambria"/>
          <w:sz w:val="20"/>
        </w:rPr>
        <w:t>(Alpatova et al., 2013)</w:t>
      </w:r>
      <w:r w:rsidR="00796576">
        <w:rPr>
          <w:rFonts w:asciiTheme="majorHAnsi" w:eastAsia="MS PGothic" w:hAnsiTheme="majorHAnsi" w:cs="Times New Roman"/>
          <w:color w:val="000000" w:themeColor="text1"/>
          <w:sz w:val="20"/>
          <w:szCs w:val="20"/>
        </w:rPr>
        <w:fldChar w:fldCharType="end"/>
      </w:r>
      <w:r w:rsidR="00796576">
        <w:rPr>
          <w:rFonts w:asciiTheme="majorHAnsi" w:eastAsia="MS PGothic" w:hAnsiTheme="majorHAnsi" w:cs="Times New Roman"/>
          <w:color w:val="000000" w:themeColor="text1"/>
          <w:sz w:val="20"/>
          <w:szCs w:val="20"/>
        </w:rPr>
        <w:t xml:space="preserve">. </w:t>
      </w:r>
      <w:r w:rsidRPr="0092252B">
        <w:rPr>
          <w:rFonts w:asciiTheme="majorHAnsi" w:eastAsia="MS PGothic" w:hAnsiTheme="majorHAnsi" w:cs="Times New Roman"/>
          <w:color w:val="000000" w:themeColor="text1"/>
          <w:sz w:val="20"/>
          <w:szCs w:val="20"/>
        </w:rPr>
        <w:t xml:space="preserve">As has also been revealed in the SEM results, the low efficiency of pollutant separation from the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is thought to be due to defects on the membrane surface resulting in non-selective voids that can easily pass pollutants </w:t>
      </w:r>
      <w:r w:rsidR="00796576">
        <w:rPr>
          <w:rFonts w:asciiTheme="majorHAnsi" w:eastAsia="MS PGothic" w:hAnsiTheme="majorHAnsi" w:cs="Times New Roman"/>
          <w:color w:val="000000" w:themeColor="text1"/>
          <w:sz w:val="20"/>
          <w:szCs w:val="20"/>
        </w:rPr>
        <w:fldChar w:fldCharType="begin"/>
      </w:r>
      <w:r w:rsidR="00796576">
        <w:rPr>
          <w:rFonts w:asciiTheme="majorHAnsi" w:eastAsia="MS PGothic" w:hAnsiTheme="majorHAnsi" w:cs="Times New Roman"/>
          <w:color w:val="000000" w:themeColor="text1"/>
          <w:sz w:val="20"/>
          <w:szCs w:val="20"/>
        </w:rPr>
        <w:instrText xml:space="preserve"> ADDIN ZOTERO_ITEM CSL_CITATION {"citationID":"SqoLgHmE","properties":{"formattedCitation":"(Mahmoudi et al., 2019)","plainCitation":"(Mahmoudi et al., 2019)","noteIndex":0},"citationItems":[{"id":819,"uris":["http://zotero.org/users/local/8H0XTJlS/items/GHTY793F"],"itemData":{"id":819,"type":"article-journal","container-title":"Scientific Reports","DOI":"10.1038/s41598-018-38060-x","ISSN":"2045-2322","issue":"1","page":"1216","title":"Enhancing Morphology and Separation Performance of Polyamide 6,6 Membranes By Minimal Incorporation of Silver Decorated Graphene Oxide Nanoparticles","volume":"9","author":[{"family":"Mahmoudi","given":"Ebrahim"},{"family":"Ng","given":"Law Yong"},{"family":"Ang","given":"Wei Lun"},{"family":"Chung","given":"Ying Tao"},{"family":"Rohani","given":"Rosiah"},{"family":"Mohammad","given":"Abdul Wahab"}],"issued":{"date-parts":[["2019",12,4]]}}}],"schema":"https://github.com/citation-style-language/schema/raw/master/csl-citation.json"} </w:instrText>
      </w:r>
      <w:r w:rsidR="00796576">
        <w:rPr>
          <w:rFonts w:asciiTheme="majorHAnsi" w:eastAsia="MS PGothic" w:hAnsiTheme="majorHAnsi" w:cs="Times New Roman"/>
          <w:color w:val="000000" w:themeColor="text1"/>
          <w:sz w:val="20"/>
          <w:szCs w:val="20"/>
        </w:rPr>
        <w:fldChar w:fldCharType="separate"/>
      </w:r>
      <w:r w:rsidR="00796576" w:rsidRPr="00796576">
        <w:rPr>
          <w:rFonts w:ascii="Cambria" w:hAnsi="Cambria"/>
          <w:sz w:val="20"/>
        </w:rPr>
        <w:t>(Mahmoudi et al., 2019)</w:t>
      </w:r>
      <w:r w:rsidR="00796576">
        <w:rPr>
          <w:rFonts w:asciiTheme="majorHAnsi" w:eastAsia="MS PGothic" w:hAnsiTheme="majorHAnsi" w:cs="Times New Roman"/>
          <w:color w:val="000000" w:themeColor="text1"/>
          <w:sz w:val="20"/>
          <w:szCs w:val="20"/>
        </w:rPr>
        <w:fldChar w:fldCharType="end"/>
      </w:r>
      <w:r w:rsidR="00796576">
        <w:rPr>
          <w:rFonts w:asciiTheme="majorHAnsi" w:eastAsia="MS PGothic" w:hAnsiTheme="majorHAnsi" w:cs="Times New Roman"/>
          <w:color w:val="000000" w:themeColor="text1"/>
          <w:sz w:val="20"/>
          <w:szCs w:val="20"/>
        </w:rPr>
        <w:t>.</w:t>
      </w:r>
    </w:p>
    <w:p w14:paraId="1B8464BD" w14:textId="4185BAB8" w:rsidR="0092252B" w:rsidRPr="0092252B" w:rsidRDefault="0092252B" w:rsidP="0092252B">
      <w:pPr>
        <w:spacing w:after="0" w:line="240" w:lineRule="auto"/>
        <w:contextualSpacing/>
        <w:jc w:val="both"/>
        <w:rPr>
          <w:rFonts w:asciiTheme="majorHAnsi" w:eastAsia="MS PGothic" w:hAnsiTheme="majorHAnsi" w:cs="Times New Roman"/>
          <w:color w:val="000000" w:themeColor="text1"/>
          <w:sz w:val="20"/>
          <w:szCs w:val="20"/>
        </w:rPr>
      </w:pPr>
      <w:r>
        <w:rPr>
          <w:noProof/>
          <w:color w:val="000000" w:themeColor="text1"/>
          <w:sz w:val="20"/>
          <w:szCs w:val="20"/>
        </w:rPr>
        <w:drawing>
          <wp:inline distT="0" distB="0" distL="0" distR="0" wp14:anchorId="4258EFC6" wp14:editId="4725A710">
            <wp:extent cx="3246120" cy="244663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moval efficiency.jpg"/>
                    <pic:cNvPicPr/>
                  </pic:nvPicPr>
                  <pic:blipFill rotWithShape="1">
                    <a:blip r:embed="rId45" cstate="print">
                      <a:extLst>
                        <a:ext uri="{28A0092B-C50C-407E-A947-70E740481C1C}">
                          <a14:useLocalDpi xmlns:a14="http://schemas.microsoft.com/office/drawing/2010/main" val="0"/>
                        </a:ext>
                      </a:extLst>
                    </a:blip>
                    <a:srcRect l="7815" t="9415" r="11355" b="10959"/>
                    <a:stretch/>
                  </pic:blipFill>
                  <pic:spPr bwMode="auto">
                    <a:xfrm>
                      <a:off x="0" y="0"/>
                      <a:ext cx="3246120" cy="2446634"/>
                    </a:xfrm>
                    <a:prstGeom prst="rect">
                      <a:avLst/>
                    </a:prstGeom>
                    <a:ln>
                      <a:noFill/>
                    </a:ln>
                    <a:extLst>
                      <a:ext uri="{53640926-AAD7-44D8-BBD7-CCE9431645EC}">
                        <a14:shadowObscured xmlns:a14="http://schemas.microsoft.com/office/drawing/2010/main"/>
                      </a:ext>
                    </a:extLst>
                  </pic:spPr>
                </pic:pic>
              </a:graphicData>
            </a:graphic>
          </wp:inline>
        </w:drawing>
      </w:r>
    </w:p>
    <w:p w14:paraId="40C5B9A8" w14:textId="4CC8364E" w:rsidR="0092252B" w:rsidRDefault="0092252B" w:rsidP="0092252B">
      <w:pPr>
        <w:spacing w:after="0" w:line="240" w:lineRule="auto"/>
        <w:contextualSpacing/>
        <w:jc w:val="center"/>
        <w:rPr>
          <w:rFonts w:asciiTheme="majorHAnsi" w:eastAsia="MS PGothic" w:hAnsiTheme="majorHAnsi" w:cs="Times New Roman"/>
          <w:color w:val="000000" w:themeColor="text1"/>
          <w:sz w:val="20"/>
          <w:szCs w:val="20"/>
        </w:rPr>
      </w:pPr>
      <w:r w:rsidRPr="0092252B">
        <w:rPr>
          <w:rFonts w:asciiTheme="majorHAnsi" w:eastAsia="MS PGothic" w:hAnsiTheme="majorHAnsi" w:cs="Times New Roman"/>
          <w:color w:val="000000" w:themeColor="text1"/>
          <w:sz w:val="20"/>
          <w:szCs w:val="20"/>
        </w:rPr>
        <w:t>Figure 8. The removal efficiency of fabricated membranes</w:t>
      </w:r>
    </w:p>
    <w:p w14:paraId="37D8330A" w14:textId="7C2AE544" w:rsidR="0092252B" w:rsidRDefault="0092252B" w:rsidP="0092252B">
      <w:pPr>
        <w:spacing w:after="0" w:line="240" w:lineRule="auto"/>
        <w:contextualSpacing/>
        <w:jc w:val="center"/>
        <w:rPr>
          <w:rFonts w:asciiTheme="majorHAnsi" w:eastAsia="MS PGothic" w:hAnsiTheme="majorHAnsi" w:cs="Times New Roman"/>
          <w:color w:val="000000" w:themeColor="text1"/>
          <w:sz w:val="20"/>
          <w:szCs w:val="20"/>
        </w:rPr>
      </w:pPr>
    </w:p>
    <w:p w14:paraId="14AA4B5B" w14:textId="4260FFC6" w:rsidR="0092252B" w:rsidRPr="0092252B" w:rsidRDefault="0092252B" w:rsidP="0092252B">
      <w:pPr>
        <w:spacing w:after="0" w:line="240" w:lineRule="auto"/>
        <w:contextualSpacing/>
        <w:jc w:val="both"/>
        <w:rPr>
          <w:rFonts w:asciiTheme="majorHAnsi" w:eastAsia="MS PGothic" w:hAnsiTheme="majorHAnsi" w:cs="Times New Roman"/>
          <w:b/>
          <w:bCs/>
          <w:color w:val="000000" w:themeColor="text1"/>
          <w:sz w:val="20"/>
          <w:szCs w:val="20"/>
        </w:rPr>
      </w:pPr>
      <w:r w:rsidRPr="0092252B">
        <w:rPr>
          <w:rFonts w:asciiTheme="majorHAnsi" w:eastAsia="MS PGothic" w:hAnsiTheme="majorHAnsi" w:cs="Times New Roman"/>
          <w:b/>
          <w:bCs/>
          <w:color w:val="000000" w:themeColor="text1"/>
          <w:sz w:val="20"/>
          <w:szCs w:val="20"/>
        </w:rPr>
        <w:t>3.3 Analysis of antifouling potential and fouling resistance of fabricated membranes</w:t>
      </w:r>
    </w:p>
    <w:p w14:paraId="0FD6A331" w14:textId="63E32607" w:rsidR="00670815" w:rsidRDefault="0092252B" w:rsidP="0092252B">
      <w:pPr>
        <w:spacing w:after="0" w:line="240" w:lineRule="auto"/>
        <w:ind w:firstLine="426"/>
        <w:contextualSpacing/>
        <w:jc w:val="both"/>
        <w:rPr>
          <w:rFonts w:asciiTheme="majorHAnsi" w:eastAsia="MS PGothic" w:hAnsiTheme="majorHAnsi" w:cs="Times New Roman"/>
          <w:color w:val="000000" w:themeColor="text1"/>
          <w:sz w:val="20"/>
          <w:szCs w:val="20"/>
        </w:rPr>
      </w:pPr>
      <w:r w:rsidRPr="0092252B">
        <w:rPr>
          <w:rFonts w:asciiTheme="majorHAnsi" w:eastAsia="MS PGothic" w:hAnsiTheme="majorHAnsi" w:cs="Times New Roman"/>
          <w:color w:val="000000" w:themeColor="text1"/>
          <w:sz w:val="20"/>
          <w:szCs w:val="20"/>
        </w:rPr>
        <w:t>Antifouling potential was analyzed to determine how vast the tendency of the membrane fouling occur. This analysis is expressed in terms of ratios, namely total fouling ratio (R</w:t>
      </w:r>
      <w:r w:rsidRPr="00796576">
        <w:rPr>
          <w:rFonts w:asciiTheme="majorHAnsi" w:eastAsia="MS PGothic" w:hAnsiTheme="majorHAnsi" w:cs="Times New Roman"/>
          <w:color w:val="000000" w:themeColor="text1"/>
          <w:sz w:val="20"/>
          <w:szCs w:val="20"/>
          <w:vertAlign w:val="subscript"/>
        </w:rPr>
        <w:t>t</w:t>
      </w:r>
      <w:r w:rsidRPr="0092252B">
        <w:rPr>
          <w:rFonts w:asciiTheme="majorHAnsi" w:eastAsia="MS PGothic" w:hAnsiTheme="majorHAnsi" w:cs="Times New Roman"/>
          <w:color w:val="000000" w:themeColor="text1"/>
          <w:sz w:val="20"/>
          <w:szCs w:val="20"/>
        </w:rPr>
        <w:t>), reversible fouling ratio (R</w:t>
      </w:r>
      <w:r w:rsidRPr="00796576">
        <w:rPr>
          <w:rFonts w:asciiTheme="majorHAnsi" w:eastAsia="MS PGothic" w:hAnsiTheme="majorHAnsi" w:cs="Times New Roman"/>
          <w:color w:val="000000" w:themeColor="text1"/>
          <w:sz w:val="20"/>
          <w:szCs w:val="20"/>
          <w:vertAlign w:val="subscript"/>
        </w:rPr>
        <w:t>r</w:t>
      </w:r>
      <w:r w:rsidRPr="0092252B">
        <w:rPr>
          <w:rFonts w:asciiTheme="majorHAnsi" w:eastAsia="MS PGothic" w:hAnsiTheme="majorHAnsi" w:cs="Times New Roman"/>
          <w:color w:val="000000" w:themeColor="text1"/>
          <w:sz w:val="20"/>
          <w:szCs w:val="20"/>
        </w:rPr>
        <w:t>), irreversible fouling ratio (</w:t>
      </w:r>
      <w:proofErr w:type="spellStart"/>
      <w:r w:rsidRPr="0092252B">
        <w:rPr>
          <w:rFonts w:asciiTheme="majorHAnsi" w:eastAsia="MS PGothic" w:hAnsiTheme="majorHAnsi" w:cs="Times New Roman"/>
          <w:color w:val="000000" w:themeColor="text1"/>
          <w:sz w:val="20"/>
          <w:szCs w:val="20"/>
        </w:rPr>
        <w:t>R</w:t>
      </w:r>
      <w:r w:rsidRPr="00796576">
        <w:rPr>
          <w:rFonts w:asciiTheme="majorHAnsi" w:eastAsia="MS PGothic" w:hAnsiTheme="majorHAnsi" w:cs="Times New Roman"/>
          <w:color w:val="000000" w:themeColor="text1"/>
          <w:sz w:val="20"/>
          <w:szCs w:val="20"/>
          <w:vertAlign w:val="subscript"/>
        </w:rPr>
        <w:t>ir</w:t>
      </w:r>
      <w:proofErr w:type="spellEnd"/>
      <w:r w:rsidRPr="0092252B">
        <w:rPr>
          <w:rFonts w:asciiTheme="majorHAnsi" w:eastAsia="MS PGothic" w:hAnsiTheme="majorHAnsi" w:cs="Times New Roman"/>
          <w:color w:val="000000" w:themeColor="text1"/>
          <w:sz w:val="20"/>
          <w:szCs w:val="20"/>
        </w:rPr>
        <w:t>), and flux recovery ratio (F</w:t>
      </w:r>
      <w:r w:rsidRPr="00796576">
        <w:rPr>
          <w:rFonts w:asciiTheme="majorHAnsi" w:eastAsia="MS PGothic" w:hAnsiTheme="majorHAnsi" w:cs="Times New Roman"/>
          <w:color w:val="000000" w:themeColor="text1"/>
          <w:sz w:val="20"/>
          <w:szCs w:val="20"/>
          <w:vertAlign w:val="subscript"/>
        </w:rPr>
        <w:t>RR</w:t>
      </w:r>
      <w:r w:rsidRPr="0092252B">
        <w:rPr>
          <w:rFonts w:asciiTheme="majorHAnsi" w:eastAsia="MS PGothic" w:hAnsiTheme="majorHAnsi" w:cs="Times New Roman"/>
          <w:color w:val="000000" w:themeColor="text1"/>
          <w:sz w:val="20"/>
          <w:szCs w:val="20"/>
        </w:rPr>
        <w:t>). From Fig. 9 it can be seen that the R</w:t>
      </w:r>
      <w:r w:rsidR="00796576" w:rsidRPr="00796576">
        <w:rPr>
          <w:rFonts w:asciiTheme="majorHAnsi" w:eastAsia="MS PGothic" w:hAnsiTheme="majorHAnsi" w:cs="Times New Roman"/>
          <w:color w:val="000000" w:themeColor="text1"/>
          <w:sz w:val="20"/>
          <w:szCs w:val="20"/>
          <w:vertAlign w:val="subscript"/>
        </w:rPr>
        <w:t>t</w:t>
      </w:r>
      <w:r w:rsidRPr="0092252B">
        <w:rPr>
          <w:rFonts w:asciiTheme="majorHAnsi" w:eastAsia="MS PGothic" w:hAnsiTheme="majorHAnsi" w:cs="Times New Roman"/>
          <w:color w:val="000000" w:themeColor="text1"/>
          <w:sz w:val="20"/>
          <w:szCs w:val="20"/>
        </w:rPr>
        <w:t xml:space="preserve"> and </w:t>
      </w:r>
      <w:proofErr w:type="spellStart"/>
      <w:r w:rsidRPr="0092252B">
        <w:rPr>
          <w:rFonts w:asciiTheme="majorHAnsi" w:eastAsia="MS PGothic" w:hAnsiTheme="majorHAnsi" w:cs="Times New Roman"/>
          <w:color w:val="000000" w:themeColor="text1"/>
          <w:sz w:val="20"/>
          <w:szCs w:val="20"/>
        </w:rPr>
        <w:t>R</w:t>
      </w:r>
      <w:r w:rsidR="00796576">
        <w:rPr>
          <w:rFonts w:asciiTheme="majorHAnsi" w:eastAsia="MS PGothic" w:hAnsiTheme="majorHAnsi" w:cs="Times New Roman"/>
          <w:color w:val="000000" w:themeColor="text1"/>
          <w:sz w:val="20"/>
          <w:szCs w:val="20"/>
          <w:vertAlign w:val="subscript"/>
        </w:rPr>
        <w:t>ir</w:t>
      </w:r>
      <w:proofErr w:type="spellEnd"/>
      <w:r w:rsidRPr="0092252B">
        <w:rPr>
          <w:rFonts w:asciiTheme="majorHAnsi" w:eastAsia="MS PGothic" w:hAnsiTheme="majorHAnsi" w:cs="Times New Roman"/>
          <w:color w:val="000000" w:themeColor="text1"/>
          <w:sz w:val="20"/>
          <w:szCs w:val="20"/>
        </w:rPr>
        <w:t xml:space="preserve"> values of the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membrane are much higher than the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/GO membrane, which are 85% and 67%, respectively. A different phenomenon is shown by the RR value of the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membrane, which is approximately 2 times smaller than the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/GO membrane, which is 18%. The value of the ratio </w:t>
      </w:r>
      <w:r w:rsidRPr="0092252B">
        <w:rPr>
          <w:rFonts w:asciiTheme="majorHAnsi" w:eastAsia="MS PGothic" w:hAnsiTheme="majorHAnsi" w:cs="Times New Roman"/>
          <w:color w:val="000000" w:themeColor="text1"/>
          <w:sz w:val="20"/>
          <w:szCs w:val="20"/>
        </w:rPr>
        <w:lastRenderedPageBreak/>
        <w:t xml:space="preserve">is proportional to the membrane potential for fouling to arise. Although the Rr value of the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membrane is literally lower than the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/GO membrane, it actually cannot break the </w:t>
      </w:r>
      <w:proofErr w:type="spellStart"/>
      <w:r w:rsidRPr="0092252B">
        <w:rPr>
          <w:rFonts w:asciiTheme="majorHAnsi" w:eastAsia="MS PGothic" w:hAnsiTheme="majorHAnsi" w:cs="Times New Roman"/>
          <w:color w:val="000000" w:themeColor="text1"/>
          <w:sz w:val="20"/>
          <w:szCs w:val="20"/>
        </w:rPr>
        <w:t>the</w:t>
      </w:r>
      <w:proofErr w:type="spellEnd"/>
      <w:r w:rsidRPr="0092252B">
        <w:rPr>
          <w:rFonts w:asciiTheme="majorHAnsi" w:eastAsia="MS PGothic" w:hAnsiTheme="majorHAnsi" w:cs="Times New Roman"/>
          <w:color w:val="000000" w:themeColor="text1"/>
          <w:sz w:val="20"/>
          <w:szCs w:val="20"/>
        </w:rPr>
        <w:t xml:space="preserve"> worst flux performance of the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membrane which is reflected in the high value of the total fouling ratio (R</w:t>
      </w:r>
      <w:r w:rsidRPr="00796576">
        <w:rPr>
          <w:rFonts w:asciiTheme="majorHAnsi" w:eastAsia="MS PGothic" w:hAnsiTheme="majorHAnsi" w:cs="Times New Roman"/>
          <w:color w:val="000000" w:themeColor="text1"/>
          <w:sz w:val="20"/>
          <w:szCs w:val="20"/>
          <w:vertAlign w:val="subscript"/>
        </w:rPr>
        <w:t>t</w:t>
      </w:r>
      <w:r w:rsidRPr="0092252B">
        <w:rPr>
          <w:rFonts w:asciiTheme="majorHAnsi" w:eastAsia="MS PGothic" w:hAnsiTheme="majorHAnsi" w:cs="Times New Roman"/>
          <w:color w:val="000000" w:themeColor="text1"/>
          <w:sz w:val="20"/>
          <w:szCs w:val="20"/>
        </w:rPr>
        <w:t xml:space="preserve">). This is because Rt is a combination of Rr and </w:t>
      </w:r>
      <w:proofErr w:type="spellStart"/>
      <w:r w:rsidRPr="0092252B">
        <w:rPr>
          <w:rFonts w:asciiTheme="majorHAnsi" w:eastAsia="MS PGothic" w:hAnsiTheme="majorHAnsi" w:cs="Times New Roman"/>
          <w:color w:val="000000" w:themeColor="text1"/>
          <w:sz w:val="20"/>
          <w:szCs w:val="20"/>
        </w:rPr>
        <w:t>Rir</w:t>
      </w:r>
      <w:proofErr w:type="spellEnd"/>
      <w:r w:rsidRPr="0092252B">
        <w:rPr>
          <w:rFonts w:asciiTheme="majorHAnsi" w:eastAsia="MS PGothic" w:hAnsiTheme="majorHAnsi" w:cs="Times New Roman"/>
          <w:color w:val="000000" w:themeColor="text1"/>
          <w:sz w:val="20"/>
          <w:szCs w:val="20"/>
        </w:rPr>
        <w:t xml:space="preserve">. The elevated </w:t>
      </w:r>
      <w:proofErr w:type="spellStart"/>
      <w:r w:rsidRPr="0092252B">
        <w:rPr>
          <w:rFonts w:asciiTheme="majorHAnsi" w:eastAsia="MS PGothic" w:hAnsiTheme="majorHAnsi" w:cs="Times New Roman"/>
          <w:color w:val="000000" w:themeColor="text1"/>
          <w:sz w:val="20"/>
          <w:szCs w:val="20"/>
        </w:rPr>
        <w:t>Rir</w:t>
      </w:r>
      <w:proofErr w:type="spellEnd"/>
      <w:r w:rsidRPr="0092252B">
        <w:rPr>
          <w:rFonts w:asciiTheme="majorHAnsi" w:eastAsia="MS PGothic" w:hAnsiTheme="majorHAnsi" w:cs="Times New Roman"/>
          <w:color w:val="000000" w:themeColor="text1"/>
          <w:sz w:val="20"/>
          <w:szCs w:val="20"/>
        </w:rPr>
        <w:t xml:space="preserve"> value makes the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membrane hard to clean, thus causing pore clogging and resulting in low membrane's permeability. Incorporation of GO NPs significantly decreased the ratio of Rt and </w:t>
      </w:r>
      <w:proofErr w:type="spellStart"/>
      <w:r w:rsidRPr="0092252B">
        <w:rPr>
          <w:rFonts w:asciiTheme="majorHAnsi" w:eastAsia="MS PGothic" w:hAnsiTheme="majorHAnsi" w:cs="Times New Roman"/>
          <w:color w:val="000000" w:themeColor="text1"/>
          <w:sz w:val="20"/>
          <w:szCs w:val="20"/>
        </w:rPr>
        <w:t>Rir</w:t>
      </w:r>
      <w:proofErr w:type="spellEnd"/>
      <w:r w:rsidRPr="0092252B">
        <w:rPr>
          <w:rFonts w:asciiTheme="majorHAnsi" w:eastAsia="MS PGothic" w:hAnsiTheme="majorHAnsi" w:cs="Times New Roman"/>
          <w:color w:val="000000" w:themeColor="text1"/>
          <w:sz w:val="20"/>
          <w:szCs w:val="20"/>
        </w:rPr>
        <w:t xml:space="preserve"> on </w:t>
      </w:r>
      <w:proofErr w:type="spellStart"/>
      <w:r w:rsidRPr="0092252B">
        <w:rPr>
          <w:rFonts w:asciiTheme="majorHAnsi" w:eastAsia="MS PGothic" w:hAnsiTheme="majorHAnsi" w:cs="Times New Roman"/>
          <w:color w:val="000000" w:themeColor="text1"/>
          <w:sz w:val="20"/>
          <w:szCs w:val="20"/>
        </w:rPr>
        <w:t>polysulfone</w:t>
      </w:r>
      <w:proofErr w:type="spellEnd"/>
      <w:r w:rsidRPr="0092252B">
        <w:rPr>
          <w:rFonts w:asciiTheme="majorHAnsi" w:eastAsia="MS PGothic" w:hAnsiTheme="majorHAnsi" w:cs="Times New Roman"/>
          <w:color w:val="000000" w:themeColor="text1"/>
          <w:sz w:val="20"/>
          <w:szCs w:val="20"/>
        </w:rPr>
        <w:t xml:space="preserve"> membranes to 37% and 5%, respectively. This occurrence causes an increase in the FRR value, which indicates the superiority of the membrane in maintaining flux. Although the Rr ratio of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/GO membranes is greater than that of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membranes, this is not a problem because reversible fouling in the form of an adhesive foulant enclosed to the membrane surface can be definitely cleaned </w:t>
      </w:r>
      <w:r w:rsidR="00796576">
        <w:rPr>
          <w:rFonts w:asciiTheme="majorHAnsi" w:eastAsia="MS PGothic" w:hAnsiTheme="majorHAnsi" w:cs="Times New Roman"/>
          <w:color w:val="000000" w:themeColor="text1"/>
          <w:sz w:val="20"/>
          <w:szCs w:val="20"/>
        </w:rPr>
        <w:fldChar w:fldCharType="begin"/>
      </w:r>
      <w:r w:rsidR="00796576">
        <w:rPr>
          <w:rFonts w:asciiTheme="majorHAnsi" w:eastAsia="MS PGothic" w:hAnsiTheme="majorHAnsi" w:cs="Times New Roman"/>
          <w:color w:val="000000" w:themeColor="text1"/>
          <w:sz w:val="20"/>
          <w:szCs w:val="20"/>
        </w:rPr>
        <w:instrText xml:space="preserve"> ADDIN ZOTERO_ITEM CSL_CITATION {"citationID":"CZp3ulCK","properties":{"formattedCitation":"(Nguyen et al., 2019)","plainCitation":"(Nguyen et al., 2019)","noteIndex":0},"citationItems":[{"id":943,"uris":["http://zotero.org/users/local/8H0XTJlS/items/D7KHZ65V"],"itemData":{"id":943,"type":"article-journal","abstract":"Membrane fouling is closely related to the concept of critical ﬂux. Therefore, a fouling control strategy for forward osmosis (FO) membranes that is based on the critical ﬂux is necessary. This study systematically investigated the critical ﬂux behavior of FO membranes (CTA and PA-TFC) in the short-term using a stepping method (draw solution (DS) concentration stepping). In addition, to test the reliability of this method, long-term experiments were conducted to evaluate the inﬂuences of operational critical ﬂux on the fouling behavior (sustainable operation and fouling reversibility/irreversibility), thereby determining the critical ﬂux for reversibility. Our results showed that the DS concentration stepping could be applied for critical ﬂux determination in FO. Both membranes exhibited higher critical ﬂux values for alginate fouling compared to other single foulants such as colloidal silica or gypsum. The values were 15.9 LMH for a cellulose triacetate membrane (CTA) and 20.5 LMH for the polyamide thin-ﬁlm composite (PA-TFC). Whilst these values should be adequate in FO applications they were determined for single foulants. The presence of multispecies of foulants caused a signiﬁcant decline in the critical ﬂux values. This study found 5.4 LMH for the CTA membrane and 8.3 LMH for the PA-TFC membrane for the combined foulants of alginate + gypsum. This indicates that the critical ﬂux behavior in FO was dependent on the foulant type and membrane type. Importantly, the high restoration of water ﬂux was achieved with the PA-TFC membrane at an operation either close to critical ﬂux (92–98%) or below critical ﬂux (98–100%) (i.e., with negligible irreversible fouling). The critical ﬂuxes for reversibility obtained in this study will aid the eﬃcient operation of practical FO processes.","container-title":"Journal of Membrane Science","DOI":"10.1016/j.memsci.2018.10.062","ISSN":"03767388","journalAbbreviation":"Journal of Membrane Science","language":"en","page":"380-393","source":"DOI.org (Crossref)","title":"Critical flux-based membrane fouling control of forward osmosis: Behavior, sustainability, and reversibility","title-short":"Critical flux-based membrane fouling control of forward osmosis","volume":"570-571","author":[{"family":"Nguyen","given":"Thanh-Tin"},{"family":"Kook","given":"Seungho"},{"family":"Lee","given":"Chulmin"},{"family":"Field","given":"Robert W."},{"family":"Kim","given":"In S."}],"issued":{"date-parts":[["2019",1]]}}}],"schema":"https://github.com/citation-style-language/schema/raw/master/csl-citation.json"} </w:instrText>
      </w:r>
      <w:r w:rsidR="00796576">
        <w:rPr>
          <w:rFonts w:asciiTheme="majorHAnsi" w:eastAsia="MS PGothic" w:hAnsiTheme="majorHAnsi" w:cs="Times New Roman"/>
          <w:color w:val="000000" w:themeColor="text1"/>
          <w:sz w:val="20"/>
          <w:szCs w:val="20"/>
        </w:rPr>
        <w:fldChar w:fldCharType="separate"/>
      </w:r>
      <w:r w:rsidR="00796576" w:rsidRPr="00796576">
        <w:rPr>
          <w:rFonts w:ascii="Cambria" w:hAnsi="Cambria"/>
          <w:sz w:val="20"/>
        </w:rPr>
        <w:t>(Nguyen et al., 2019)</w:t>
      </w:r>
      <w:r w:rsidR="00796576">
        <w:rPr>
          <w:rFonts w:asciiTheme="majorHAnsi" w:eastAsia="MS PGothic" w:hAnsiTheme="majorHAnsi" w:cs="Times New Roman"/>
          <w:color w:val="000000" w:themeColor="text1"/>
          <w:sz w:val="20"/>
          <w:szCs w:val="20"/>
        </w:rPr>
        <w:fldChar w:fldCharType="end"/>
      </w:r>
      <w:r w:rsidR="00796576">
        <w:rPr>
          <w:rFonts w:asciiTheme="majorHAnsi" w:eastAsia="MS PGothic" w:hAnsiTheme="majorHAnsi" w:cs="Times New Roman"/>
          <w:color w:val="000000" w:themeColor="text1"/>
          <w:sz w:val="20"/>
          <w:szCs w:val="20"/>
        </w:rPr>
        <w:t>.</w:t>
      </w:r>
      <w:r w:rsidRPr="0092252B">
        <w:rPr>
          <w:rFonts w:asciiTheme="majorHAnsi" w:eastAsia="MS PGothic" w:hAnsiTheme="majorHAnsi" w:cs="Times New Roman"/>
          <w:color w:val="000000" w:themeColor="text1"/>
          <w:sz w:val="20"/>
          <w:szCs w:val="20"/>
        </w:rPr>
        <w:t xml:space="preserve"> The F</w:t>
      </w:r>
      <w:r w:rsidRPr="00796576">
        <w:rPr>
          <w:rFonts w:asciiTheme="majorHAnsi" w:eastAsia="MS PGothic" w:hAnsiTheme="majorHAnsi" w:cs="Times New Roman"/>
          <w:color w:val="000000" w:themeColor="text1"/>
          <w:sz w:val="20"/>
          <w:szCs w:val="20"/>
          <w:vertAlign w:val="subscript"/>
        </w:rPr>
        <w:t>RR</w:t>
      </w:r>
      <w:r w:rsidRPr="0092252B">
        <w:rPr>
          <w:rFonts w:asciiTheme="majorHAnsi" w:eastAsia="MS PGothic" w:hAnsiTheme="majorHAnsi" w:cs="Times New Roman"/>
          <w:color w:val="000000" w:themeColor="text1"/>
          <w:sz w:val="20"/>
          <w:szCs w:val="20"/>
        </w:rPr>
        <w:t xml:space="preserve"> values for native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 xml:space="preserve"> and </w:t>
      </w:r>
      <w:proofErr w:type="spellStart"/>
      <w:r w:rsidRPr="0092252B">
        <w:rPr>
          <w:rFonts w:asciiTheme="majorHAnsi" w:eastAsia="MS PGothic" w:hAnsiTheme="majorHAnsi" w:cs="Times New Roman"/>
          <w:color w:val="000000" w:themeColor="text1"/>
          <w:sz w:val="20"/>
          <w:szCs w:val="20"/>
        </w:rPr>
        <w:t>PSf</w:t>
      </w:r>
      <w:proofErr w:type="spellEnd"/>
      <w:r w:rsidRPr="0092252B">
        <w:rPr>
          <w:rFonts w:asciiTheme="majorHAnsi" w:eastAsia="MS PGothic" w:hAnsiTheme="majorHAnsi" w:cs="Times New Roman"/>
          <w:color w:val="000000" w:themeColor="text1"/>
          <w:sz w:val="20"/>
          <w:szCs w:val="20"/>
        </w:rPr>
        <w:t>/GO membranes were 33% and 95%, respectively.</w:t>
      </w:r>
      <w:r>
        <w:rPr>
          <w:rFonts w:asciiTheme="majorHAnsi" w:eastAsia="MS PGothic" w:hAnsiTheme="majorHAnsi" w:cs="Times New Roman"/>
          <w:color w:val="000000" w:themeColor="text1"/>
          <w:sz w:val="20"/>
          <w:szCs w:val="20"/>
        </w:rPr>
        <w:t xml:space="preserve"> </w:t>
      </w:r>
    </w:p>
    <w:p w14:paraId="6439F50D" w14:textId="0EA93F6E" w:rsidR="0092252B" w:rsidRDefault="0092252B" w:rsidP="0092252B">
      <w:pPr>
        <w:spacing w:after="0" w:line="240" w:lineRule="auto"/>
        <w:contextualSpacing/>
        <w:jc w:val="both"/>
        <w:rPr>
          <w:rFonts w:asciiTheme="majorHAnsi" w:eastAsia="MS PGothic" w:hAnsiTheme="majorHAnsi" w:cs="Times New Roman"/>
          <w:color w:val="000000" w:themeColor="text1"/>
          <w:sz w:val="20"/>
          <w:szCs w:val="20"/>
        </w:rPr>
      </w:pPr>
      <w:r>
        <w:rPr>
          <w:noProof/>
          <w:sz w:val="20"/>
          <w:szCs w:val="20"/>
        </w:rPr>
        <w:drawing>
          <wp:inline distT="0" distB="0" distL="0" distR="0" wp14:anchorId="0DF324DF" wp14:editId="21AB7B2F">
            <wp:extent cx="3246120" cy="25026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potential.jpg"/>
                    <pic:cNvPicPr/>
                  </pic:nvPicPr>
                  <pic:blipFill rotWithShape="1">
                    <a:blip r:embed="rId46" cstate="print">
                      <a:extLst>
                        <a:ext uri="{28A0092B-C50C-407E-A947-70E740481C1C}">
                          <a14:useLocalDpi xmlns:a14="http://schemas.microsoft.com/office/drawing/2010/main" val="0"/>
                        </a:ext>
                      </a:extLst>
                    </a:blip>
                    <a:srcRect l="7464" t="9157" r="12716" b="10415"/>
                    <a:stretch/>
                  </pic:blipFill>
                  <pic:spPr bwMode="auto">
                    <a:xfrm>
                      <a:off x="0" y="0"/>
                      <a:ext cx="3246120" cy="2502622"/>
                    </a:xfrm>
                    <a:prstGeom prst="rect">
                      <a:avLst/>
                    </a:prstGeom>
                    <a:ln>
                      <a:noFill/>
                    </a:ln>
                    <a:extLst>
                      <a:ext uri="{53640926-AAD7-44D8-BBD7-CCE9431645EC}">
                        <a14:shadowObscured xmlns:a14="http://schemas.microsoft.com/office/drawing/2010/main"/>
                      </a:ext>
                    </a:extLst>
                  </pic:spPr>
                </pic:pic>
              </a:graphicData>
            </a:graphic>
          </wp:inline>
        </w:drawing>
      </w:r>
    </w:p>
    <w:p w14:paraId="193DA45B" w14:textId="748D2AEC" w:rsidR="0092252B" w:rsidRDefault="0092252B" w:rsidP="0092252B">
      <w:pPr>
        <w:spacing w:after="0" w:line="240" w:lineRule="auto"/>
        <w:contextualSpacing/>
        <w:jc w:val="center"/>
        <w:rPr>
          <w:rFonts w:asciiTheme="majorHAnsi" w:hAnsiTheme="majorHAnsi" w:cs="Times New Roman"/>
          <w:sz w:val="20"/>
          <w:szCs w:val="20"/>
        </w:rPr>
      </w:pPr>
      <w:r w:rsidRPr="0092252B">
        <w:rPr>
          <w:rFonts w:asciiTheme="majorHAnsi" w:hAnsiTheme="majorHAnsi" w:cs="Times New Roman"/>
          <w:sz w:val="20"/>
          <w:szCs w:val="20"/>
        </w:rPr>
        <w:t>Figure 9. Antifouling potential properties of fabricated membranes</w:t>
      </w:r>
    </w:p>
    <w:p w14:paraId="66B48B41" w14:textId="204B0D90" w:rsidR="0092252B" w:rsidRDefault="0092252B" w:rsidP="0092252B">
      <w:pPr>
        <w:spacing w:after="0" w:line="240" w:lineRule="auto"/>
        <w:ind w:firstLine="426"/>
        <w:contextualSpacing/>
        <w:jc w:val="both"/>
        <w:rPr>
          <w:rFonts w:asciiTheme="majorHAnsi" w:hAnsiTheme="majorHAnsi" w:cs="Times New Roman"/>
          <w:sz w:val="20"/>
          <w:szCs w:val="20"/>
        </w:rPr>
      </w:pPr>
      <w:r w:rsidRPr="0092252B">
        <w:rPr>
          <w:rFonts w:asciiTheme="majorHAnsi" w:hAnsiTheme="majorHAnsi" w:cs="Times New Roman"/>
          <w:sz w:val="20"/>
          <w:szCs w:val="20"/>
        </w:rPr>
        <w:t>Membrane resistance to fouling is also an important factor affecting membrane performance. The fouling resistance analysis of the fabricated membrane was evaluated using the water flow method, using a resistance-in-series model. There are 4 types of fouling resistance in this model, namely intrinsic resistance (R</w:t>
      </w:r>
      <w:r w:rsidRPr="00796576">
        <w:rPr>
          <w:rFonts w:asciiTheme="majorHAnsi" w:hAnsiTheme="majorHAnsi" w:cs="Times New Roman"/>
          <w:sz w:val="20"/>
          <w:szCs w:val="20"/>
          <w:vertAlign w:val="subscript"/>
        </w:rPr>
        <w:t>m</w:t>
      </w:r>
      <w:r w:rsidRPr="0092252B">
        <w:rPr>
          <w:rFonts w:asciiTheme="majorHAnsi" w:hAnsiTheme="majorHAnsi" w:cs="Times New Roman"/>
          <w:sz w:val="20"/>
          <w:szCs w:val="20"/>
        </w:rPr>
        <w:t>), deposition fouling (R</w:t>
      </w:r>
      <w:r w:rsidRPr="00796576">
        <w:rPr>
          <w:rFonts w:asciiTheme="majorHAnsi" w:hAnsiTheme="majorHAnsi" w:cs="Times New Roman"/>
          <w:sz w:val="20"/>
          <w:szCs w:val="20"/>
          <w:vertAlign w:val="subscript"/>
        </w:rPr>
        <w:t>d</w:t>
      </w:r>
      <w:r w:rsidRPr="0092252B">
        <w:rPr>
          <w:rFonts w:asciiTheme="majorHAnsi" w:hAnsiTheme="majorHAnsi" w:cs="Times New Roman"/>
          <w:sz w:val="20"/>
          <w:szCs w:val="20"/>
        </w:rPr>
        <w:t>), adsorptive fouling (R</w:t>
      </w:r>
      <w:r w:rsidRPr="00796576">
        <w:rPr>
          <w:rFonts w:asciiTheme="majorHAnsi" w:hAnsiTheme="majorHAnsi" w:cs="Times New Roman"/>
          <w:sz w:val="20"/>
          <w:szCs w:val="20"/>
          <w:vertAlign w:val="subscript"/>
        </w:rPr>
        <w:t>a</w:t>
      </w:r>
      <w:r w:rsidRPr="0092252B">
        <w:rPr>
          <w:rFonts w:asciiTheme="majorHAnsi" w:hAnsiTheme="majorHAnsi" w:cs="Times New Roman"/>
          <w:sz w:val="20"/>
          <w:szCs w:val="20"/>
        </w:rPr>
        <w:t>), and concentration polarization (</w:t>
      </w:r>
      <w:proofErr w:type="spellStart"/>
      <w:r w:rsidRPr="0092252B">
        <w:rPr>
          <w:rFonts w:asciiTheme="majorHAnsi" w:hAnsiTheme="majorHAnsi" w:cs="Times New Roman"/>
          <w:sz w:val="20"/>
          <w:szCs w:val="20"/>
        </w:rPr>
        <w:t>R</w:t>
      </w:r>
      <w:r w:rsidRPr="00796576">
        <w:rPr>
          <w:rFonts w:asciiTheme="majorHAnsi" w:hAnsiTheme="majorHAnsi" w:cs="Times New Roman"/>
          <w:sz w:val="20"/>
          <w:szCs w:val="20"/>
          <w:vertAlign w:val="subscript"/>
        </w:rPr>
        <w:t>cp</w:t>
      </w:r>
      <w:proofErr w:type="spellEnd"/>
      <w:r w:rsidRPr="0092252B">
        <w:rPr>
          <w:rFonts w:asciiTheme="majorHAnsi" w:hAnsiTheme="majorHAnsi" w:cs="Times New Roman"/>
          <w:sz w:val="20"/>
          <w:szCs w:val="20"/>
        </w:rPr>
        <w:t xml:space="preserve">), each of which is estimated using </w:t>
      </w:r>
      <w:r w:rsidR="00796576">
        <w:rPr>
          <w:rFonts w:asciiTheme="majorHAnsi" w:hAnsiTheme="majorHAnsi" w:cs="Times New Roman"/>
          <w:sz w:val="20"/>
          <w:szCs w:val="20"/>
        </w:rPr>
        <w:t>equation</w:t>
      </w:r>
      <w:r w:rsidRPr="0092252B">
        <w:rPr>
          <w:rFonts w:asciiTheme="majorHAnsi" w:hAnsiTheme="majorHAnsi" w:cs="Times New Roman"/>
          <w:sz w:val="20"/>
          <w:szCs w:val="20"/>
        </w:rPr>
        <w:t xml:space="preserve"> 6-9, respectively. Table 3. displays the calculation result of fouling resistance of the fabricated membranes. Intrinsic resistance is related to the resistance of the membrane material, adsorptive resistance is closely related to the fouling adsorption mechanism, pore deposition/clogging resistance is also called the irreversible resistance which has the most influence on the production of permeate flux, and concentration polarization resistance describes the accumulation of a mixture of foulant and water on the membrane surface (cake formation). All fouling resistances demonstrate the </w:t>
      </w:r>
      <w:r w:rsidRPr="0092252B">
        <w:rPr>
          <w:rFonts w:asciiTheme="majorHAnsi" w:hAnsiTheme="majorHAnsi" w:cs="Times New Roman"/>
          <w:sz w:val="20"/>
          <w:szCs w:val="20"/>
        </w:rPr>
        <w:t xml:space="preserve">superiority of the original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 xml:space="preserve"> membrane. This is due to the presence of hydrophilic site donors from GO NPs on the </w:t>
      </w:r>
      <w:proofErr w:type="spellStart"/>
      <w:r w:rsidRPr="0092252B">
        <w:rPr>
          <w:rFonts w:asciiTheme="majorHAnsi" w:hAnsiTheme="majorHAnsi" w:cs="Times New Roman"/>
          <w:sz w:val="20"/>
          <w:szCs w:val="20"/>
        </w:rPr>
        <w:t>PSf</w:t>
      </w:r>
      <w:proofErr w:type="spellEnd"/>
      <w:r w:rsidRPr="0092252B">
        <w:rPr>
          <w:rFonts w:asciiTheme="majorHAnsi" w:hAnsiTheme="majorHAnsi" w:cs="Times New Roman"/>
          <w:sz w:val="20"/>
          <w:szCs w:val="20"/>
        </w:rPr>
        <w:t>/GO nanohybrid membrane which can increase the porosity and water absorption ability so that water can easily pass through the membrane. This is also supported by the fact that the incorporation of nanoparticles in the polymer matrix is known to increase the surface roughness of the membrane. Rough membrane surfaces tend to have a high affinity for foulants, consequently the membrane resistance decreases</w:t>
      </w:r>
      <w:r w:rsidR="00796576">
        <w:rPr>
          <w:rFonts w:asciiTheme="majorHAnsi" w:hAnsiTheme="majorHAnsi" w:cs="Times New Roman"/>
          <w:sz w:val="20"/>
          <w:szCs w:val="20"/>
        </w:rPr>
        <w:t xml:space="preserve"> </w:t>
      </w:r>
      <w:r w:rsidR="00796576">
        <w:rPr>
          <w:rFonts w:asciiTheme="majorHAnsi" w:hAnsiTheme="majorHAnsi" w:cs="Times New Roman"/>
          <w:sz w:val="20"/>
          <w:szCs w:val="20"/>
        </w:rPr>
        <w:fldChar w:fldCharType="begin"/>
      </w:r>
      <w:r w:rsidR="00796576">
        <w:rPr>
          <w:rFonts w:asciiTheme="majorHAnsi" w:hAnsiTheme="majorHAnsi" w:cs="Times New Roman"/>
          <w:sz w:val="20"/>
          <w:szCs w:val="20"/>
        </w:rPr>
        <w:instrText xml:space="preserve"> ADDIN ZOTERO_ITEM CSL_CITATION {"citationID":"HG1tzKqf","properties":{"formattedCitation":"(Kusworo et al., 2020; Tutuk Djoko Kusworo et al., 2021; Mamah et al., 2021)","plainCitation":"(Kusworo et al., 2020; Tutuk Djoko Kusworo et al., 2021; Mamah et al., 2021)","noteIndex":0},"citationItems":[{"id":150,"uris":["http://zotero.org/users/local/8H0XTJlS/items/YUZ3MSGX"],"itemData":{"id":150,"type":"article-journal","abstract":"The natural-rubber processing industry produces large amounts of wastewater. The treatment of this wastewater to produce clean water has potential as an alternative source of process water for natural-rubber production. In this study, we modiﬁed a polymeric membrane by nanoparticle blending to enhance its mechanical and separation properties. In this study, we processed natural-rubber wastewater using polysulfone membranes doped with nano-TiO2 particles. SEM characterization shows that the nano-TiO2 loading caused enlargement of the ﬁnger-like micro-voids in the membrane sublayer and localization of the TiO2 nanoparticles at the membrane surface. The addition of nano-TiO2 also improved the hydrophilicity by reducing the water contact angle from 61.83 to 41.67° and the mechanical strength of the membrane from 4.1–7.2 MPa. However, at higher nano-TiO2 loadings (&gt; 1.5 wt.%), the tensile strength and hydrophilicity both decreased slightly. Due to its greater porosity and pore size, the highest PWF (4.65 L.m−2 h-1) was achieved using a membrane with 2.0-wt.% TiO2. The best pollutant removal eﬃciency was exhibited by the PSf-TiO2 1.0-wt.% membrane with TDS, COD, NH3, and turbidity rejections of 14.03 %, 87.88 %, 88.79 %, and 99 %, respectively. Due to the improved hydrophilicity of the 0.5-wt.% TiO2 loading membrane, it achieved the lowest reversible fouling resistance Rrf (6.90 × 1015 m–1) for natural-rubber wastewater treatment. The developed membranes have the potential for application in industrial rubber wastewater treatment to produce clean water for reuse.","container-title":"Journal of Water Process Engineering","DOI":"10.1016/j.jwpe.2020.101190","ISSN":"22147144","journalAbbreviation":"Journal of Water Process Engineering","language":"en","page":"101190","source":"DOI.org (Crossref)","title":"Effect of nano-TiO2 loading in polysulfone membranes on the removal of pollutant following natural-rubber wastewater treatment","volume":"35","author":[{"family":"Kusworo","given":"Tutuk Djoko"},{"family":"Ariyanti","given":"Nita"},{"family":"Utomo","given":"Dani Puji"}],"issued":{"date-parts":[["2020",6]]}}},{"id":1017,"uris":["http://zotero.org/users/local/8H0XTJlS/items/4NSE7EBG"],"itemData":{"id":1017,"type":"article-journal","abstract":"The fouling formation on the membrane’s surface has limited the membrane-based separation in industrial ac­ tivities such as wastewater reclamation and seawater desalination. The nanomaterials’ incorporation has been developed to enhance membrane performance. In this study, the combination of graphene oxide (GO) and zinc oxide (ZnO) nanoparticles to PSf membrane to improve the membrane performances to treat the petroleum refinery wastewater (PRW) was performed. The SEM-EDX result shows the presence of both GO and ZnO nanoparticles on the membrane’s surface. They also produced the porosity of 83.00 ± 1.18 % for PSf/GO/ZnO, which was higher than the neat PSf with 52.20 ± 0.28 %. The FTIR and XRD result has confirmed the presence of GO and ZnO in the membrane that caused the increment in hydrophilicity and mechanical strength. The addition of GO and ZnO nanoparticles has reduced the water contact angle from 80◦ to 52◦ and increased water uptake ability from 16 % to 75 % compared to the neat PSf. It has also resulted in the highest permeate flux and pollutant removal compared to the other membranes with a maximum permeate flux of 35.03 L.m− 2.h− 1 and a rejection value 70.21 ± 2.33 % for total dissolved solids (TDS) and 74.68 ± 0.88 % for chemical oxygen demand (COD). The fouling resistance evaluation showed the addition of GO and ZnO nanoparticles successfully reduced the resistance during filtration, indicating a reduction in fouling tendency on the membrane’s surface. These phenomena are proven by the antifouling potential analysis at the addition of GO and ZnO nanoparticles was exhibited the highest flux recovery ratio up to 90.44 ± 1.22 %.","container-title":"Journal of Water Process Engineering","DOI":"10.1016/j.jwpe.2021.102030","ISSN":"22147144","journalAbbreviation":"Journal of Water Process Engineering","language":"en","page":"102030","source":"DOI.org (Crossref)","title":"Intensifying separation and antifouling performance of PSf membrane incorporated by GO and ZnO nanoparticles for petroleum refinery wastewater treatment","volume":"41","author":[{"family":"Kusworo","given":"Tutuk Djoko"},{"family":"Dalanta","given":"Febio"},{"family":"Aryanti","given":"Nita"},{"family":"Othman","given":"Nur Hidayati"}],"issued":{"date-parts":[["2021",6]]}}},{"id":736,"uris":["http://zotero.org/users/local/8H0XTJlS/items/VB9ZGSCR"],"itemData":{"id":736,"type":"article-journal","abstract":"Polysulfone (PSF) membranes have been widely used for wastewater treatment due to their desired properties like stability, high mechanical strength and ease of modification. The modification of PSF membranes presents a great opportunity in improving their performance in the field of wastewater treatment. This review presents a comprehensive review of PSF ultrafiltration (UF) and microfiltration (MF) membranes modification via various techniques as well as novel modifiers for water purification by paying attention to various issues inherent in the modification process. Recent studies on nanomaterial as well as hydrophilic macromolecules used for the modifications of PSF UF/MF membranes for water treatment application have been comprehensively analysed. These modified membranes exhibited a remarkable improvement with regards to water permeability, salt rejection and anti-fouling features of PSF modified membranes when compared to the neat PSF membranes. The modification techniques such as coating, grafting/blending, layer by layer and deposition are discussed. Besides, the impacts of these modifiers on the performance of the membranes for wastewater treatment as well as their environmental impacts are discussed. Based on the literature review, it is obvious that nanomaterial/hydrophilic macromolecules modified PSF membranes have unique features that can contribute to the advancement of innovative nanocomposite membranes with enhanced capacities for wastewater treatment.","container-title":"Journal of Water Process Engineering","DOI":"10.1016/j.jwpe.2020.101835","ISSN":"22147144","note":"publisher: Elsevier Ltd","title":"Recent development in modification of polysulfone membrane for water treatment application","volume":"40","author":[{"family":"Mamah","given":"Stanley Chinedu"},{"family":"Goh","given":"Pei Sean"},{"family":"Ismail","given":"Ahmad Fauzi"},{"family":"Suzaimi","given":"Nor Diyana"},{"family":"Yogarathinam","given":"Lukka Thuyavan"},{"family":"Raji","given":"Yusuf Olabode"},{"family":"El-badawy","given":"Tijjani Hassan"}],"issued":{"date-parts":[["2021",4,1]]}}}],"schema":"https://github.com/citation-style-language/schema/raw/master/csl-citation.json"} </w:instrText>
      </w:r>
      <w:r w:rsidR="00796576">
        <w:rPr>
          <w:rFonts w:asciiTheme="majorHAnsi" w:hAnsiTheme="majorHAnsi" w:cs="Times New Roman"/>
          <w:sz w:val="20"/>
          <w:szCs w:val="20"/>
        </w:rPr>
        <w:fldChar w:fldCharType="separate"/>
      </w:r>
      <w:r w:rsidR="00796576" w:rsidRPr="00796576">
        <w:rPr>
          <w:rFonts w:ascii="Cambria" w:hAnsi="Cambria"/>
          <w:sz w:val="20"/>
        </w:rPr>
        <w:t>(Kusworo et al., 2020; Tutuk Djoko Kusworo et al., 2021; Mamah et al., 2021)</w:t>
      </w:r>
      <w:r w:rsidR="00796576">
        <w:rPr>
          <w:rFonts w:asciiTheme="majorHAnsi" w:hAnsiTheme="majorHAnsi" w:cs="Times New Roman"/>
          <w:sz w:val="20"/>
          <w:szCs w:val="20"/>
        </w:rPr>
        <w:fldChar w:fldCharType="end"/>
      </w:r>
      <w:r w:rsidRPr="0092252B">
        <w:rPr>
          <w:rFonts w:asciiTheme="majorHAnsi" w:hAnsiTheme="majorHAnsi" w:cs="Times New Roman"/>
          <w:sz w:val="20"/>
          <w:szCs w:val="20"/>
        </w:rPr>
        <w:t xml:space="preserve">. Finally, in this study it was demonstrated that the incorporation of GO NPs into the </w:t>
      </w:r>
      <w:proofErr w:type="spellStart"/>
      <w:r w:rsidRPr="0092252B">
        <w:rPr>
          <w:rFonts w:asciiTheme="majorHAnsi" w:hAnsiTheme="majorHAnsi" w:cs="Times New Roman"/>
          <w:sz w:val="20"/>
          <w:szCs w:val="20"/>
        </w:rPr>
        <w:t>polysulfone</w:t>
      </w:r>
      <w:proofErr w:type="spellEnd"/>
      <w:r w:rsidRPr="0092252B">
        <w:rPr>
          <w:rFonts w:asciiTheme="majorHAnsi" w:hAnsiTheme="majorHAnsi" w:cs="Times New Roman"/>
          <w:sz w:val="20"/>
          <w:szCs w:val="20"/>
        </w:rPr>
        <w:t xml:space="preserve"> matrix was able to significantly reduce the fouling resistance due to the large hydrophilic site contribution of GO NPs.</w:t>
      </w:r>
    </w:p>
    <w:p w14:paraId="60D26D61" w14:textId="5EF05678" w:rsidR="0092252B" w:rsidRDefault="0092252B" w:rsidP="0092252B">
      <w:pPr>
        <w:spacing w:after="0" w:line="240" w:lineRule="auto"/>
        <w:contextualSpacing/>
        <w:jc w:val="center"/>
        <w:rPr>
          <w:rFonts w:asciiTheme="majorHAnsi" w:hAnsiTheme="majorHAnsi" w:cs="Times New Roman"/>
          <w:sz w:val="20"/>
          <w:szCs w:val="20"/>
        </w:rPr>
      </w:pPr>
      <w:r w:rsidRPr="0092252B">
        <w:rPr>
          <w:rFonts w:asciiTheme="majorHAnsi" w:hAnsiTheme="majorHAnsi" w:cs="Times New Roman"/>
          <w:sz w:val="20"/>
          <w:szCs w:val="20"/>
        </w:rPr>
        <w:t>Table 3. Calculation result of membrane resistance</w:t>
      </w:r>
    </w:p>
    <w:tbl>
      <w:tblPr>
        <w:tblW w:w="5000" w:type="pct"/>
        <w:tblBorders>
          <w:top w:val="single" w:sz="4" w:space="0" w:color="auto"/>
          <w:bottom w:val="single" w:sz="4" w:space="0" w:color="auto"/>
        </w:tblBorders>
        <w:tblLook w:val="04A0" w:firstRow="1" w:lastRow="0" w:firstColumn="1" w:lastColumn="0" w:noHBand="0" w:noVBand="1"/>
      </w:tblPr>
      <w:tblGrid>
        <w:gridCol w:w="1165"/>
        <w:gridCol w:w="787"/>
        <w:gridCol w:w="758"/>
        <w:gridCol w:w="838"/>
        <w:gridCol w:w="782"/>
        <w:gridCol w:w="782"/>
      </w:tblGrid>
      <w:tr w:rsidR="005A0CF4" w:rsidRPr="003D4D3C" w14:paraId="3376FB88" w14:textId="36F85C24" w:rsidTr="005A0CF4">
        <w:tc>
          <w:tcPr>
            <w:tcW w:w="1139" w:type="pct"/>
            <w:tcBorders>
              <w:top w:val="single" w:sz="4" w:space="0" w:color="auto"/>
              <w:bottom w:val="single" w:sz="4" w:space="0" w:color="auto"/>
            </w:tcBorders>
            <w:shd w:val="clear" w:color="auto" w:fill="auto"/>
            <w:vAlign w:val="center"/>
          </w:tcPr>
          <w:p w14:paraId="64CC1C94" w14:textId="77777777" w:rsidR="005A0CF4" w:rsidRPr="005A0CF4" w:rsidRDefault="005A0CF4" w:rsidP="004E006E">
            <w:pPr>
              <w:spacing w:after="0" w:line="240" w:lineRule="auto"/>
              <w:contextualSpacing/>
              <w:jc w:val="both"/>
              <w:rPr>
                <w:rFonts w:asciiTheme="majorHAnsi" w:hAnsiTheme="majorHAnsi" w:cs="Times New Roman"/>
                <w:sz w:val="20"/>
                <w:szCs w:val="20"/>
              </w:rPr>
            </w:pPr>
            <w:r w:rsidRPr="005A0CF4">
              <w:rPr>
                <w:rFonts w:asciiTheme="majorHAnsi" w:hAnsiTheme="majorHAnsi" w:cs="Times New Roman"/>
                <w:sz w:val="20"/>
                <w:szCs w:val="20"/>
              </w:rPr>
              <w:t>Membrane</w:t>
            </w:r>
          </w:p>
        </w:tc>
        <w:tc>
          <w:tcPr>
            <w:tcW w:w="770" w:type="pct"/>
            <w:tcBorders>
              <w:top w:val="single" w:sz="4" w:space="0" w:color="auto"/>
              <w:bottom w:val="single" w:sz="4" w:space="0" w:color="auto"/>
            </w:tcBorders>
            <w:shd w:val="clear" w:color="auto" w:fill="auto"/>
            <w:vAlign w:val="center"/>
          </w:tcPr>
          <w:p w14:paraId="05714764" w14:textId="47699185" w:rsidR="005A0CF4" w:rsidRPr="005A0CF4" w:rsidRDefault="005A0CF4" w:rsidP="004E006E">
            <w:pPr>
              <w:spacing w:after="0" w:line="240" w:lineRule="auto"/>
              <w:contextualSpacing/>
              <w:jc w:val="both"/>
              <w:rPr>
                <w:rFonts w:asciiTheme="majorHAnsi" w:hAnsiTheme="majorHAnsi" w:cs="Times New Roman"/>
                <w:sz w:val="20"/>
                <w:szCs w:val="20"/>
              </w:rPr>
            </w:pPr>
            <w:r w:rsidRPr="005A0CF4">
              <w:rPr>
                <w:rFonts w:asciiTheme="majorHAnsi" w:hAnsiTheme="majorHAnsi" w:cs="Times New Roman"/>
                <w:sz w:val="20"/>
                <w:szCs w:val="20"/>
              </w:rPr>
              <w:t>R</w:t>
            </w:r>
            <w:r w:rsidRPr="005A0CF4">
              <w:rPr>
                <w:rFonts w:asciiTheme="majorHAnsi" w:hAnsiTheme="majorHAnsi" w:cs="Times New Roman"/>
                <w:sz w:val="20"/>
                <w:szCs w:val="20"/>
                <w:vertAlign w:val="subscript"/>
              </w:rPr>
              <w:t xml:space="preserve">m </w:t>
            </w:r>
            <w:r w:rsidRPr="005A0CF4">
              <w:rPr>
                <w:rFonts w:asciiTheme="majorHAnsi" w:hAnsiTheme="majorHAnsi" w:cs="Times New Roman"/>
                <w:sz w:val="20"/>
                <w:szCs w:val="20"/>
              </w:rPr>
              <w:t>x 10</w:t>
            </w:r>
            <w:r w:rsidRPr="005A0CF4">
              <w:rPr>
                <w:rFonts w:asciiTheme="majorHAnsi" w:hAnsiTheme="majorHAnsi" w:cs="Times New Roman"/>
                <w:sz w:val="20"/>
                <w:szCs w:val="20"/>
                <w:vertAlign w:val="superscript"/>
              </w:rPr>
              <w:t>14</w:t>
            </w:r>
          </w:p>
          <w:p w14:paraId="65CC70D6" w14:textId="77777777" w:rsidR="005A0CF4" w:rsidRPr="005A0CF4" w:rsidRDefault="005A0CF4" w:rsidP="004E006E">
            <w:pPr>
              <w:spacing w:after="0" w:line="240" w:lineRule="auto"/>
              <w:contextualSpacing/>
              <w:jc w:val="both"/>
              <w:rPr>
                <w:rFonts w:asciiTheme="majorHAnsi" w:hAnsiTheme="majorHAnsi" w:cs="Times New Roman"/>
                <w:sz w:val="20"/>
                <w:szCs w:val="20"/>
              </w:rPr>
            </w:pPr>
            <w:r w:rsidRPr="005A0CF4">
              <w:rPr>
                <w:rFonts w:asciiTheme="majorHAnsi" w:hAnsiTheme="majorHAnsi" w:cs="Times New Roman"/>
                <w:sz w:val="20"/>
                <w:szCs w:val="20"/>
              </w:rPr>
              <w:t>(m</w:t>
            </w:r>
            <w:r w:rsidRPr="005A0CF4">
              <w:rPr>
                <w:rFonts w:asciiTheme="majorHAnsi" w:hAnsiTheme="majorHAnsi" w:cs="Times New Roman"/>
                <w:sz w:val="20"/>
                <w:szCs w:val="20"/>
                <w:vertAlign w:val="superscript"/>
              </w:rPr>
              <w:t>-1</w:t>
            </w:r>
            <w:r w:rsidRPr="005A0CF4">
              <w:rPr>
                <w:rFonts w:asciiTheme="majorHAnsi" w:hAnsiTheme="majorHAnsi" w:cs="Times New Roman"/>
                <w:sz w:val="20"/>
                <w:szCs w:val="20"/>
              </w:rPr>
              <w:t>)</w:t>
            </w:r>
          </w:p>
        </w:tc>
        <w:tc>
          <w:tcPr>
            <w:tcW w:w="741" w:type="pct"/>
            <w:tcBorders>
              <w:top w:val="single" w:sz="4" w:space="0" w:color="auto"/>
              <w:bottom w:val="single" w:sz="4" w:space="0" w:color="auto"/>
            </w:tcBorders>
            <w:shd w:val="clear" w:color="auto" w:fill="auto"/>
            <w:vAlign w:val="center"/>
          </w:tcPr>
          <w:p w14:paraId="6F11B3B5" w14:textId="4186AFB2" w:rsidR="005A0CF4" w:rsidRPr="005A0CF4" w:rsidRDefault="005A0CF4" w:rsidP="004E006E">
            <w:pPr>
              <w:spacing w:after="0" w:line="240" w:lineRule="auto"/>
              <w:contextualSpacing/>
              <w:jc w:val="both"/>
              <w:rPr>
                <w:rFonts w:asciiTheme="majorHAnsi" w:hAnsiTheme="majorHAnsi" w:cs="Times New Roman"/>
                <w:sz w:val="20"/>
                <w:szCs w:val="20"/>
              </w:rPr>
            </w:pPr>
            <w:r w:rsidRPr="005A0CF4">
              <w:rPr>
                <w:rFonts w:asciiTheme="majorHAnsi" w:hAnsiTheme="majorHAnsi" w:cs="Times New Roman"/>
                <w:sz w:val="20"/>
                <w:szCs w:val="20"/>
              </w:rPr>
              <w:t>R</w:t>
            </w:r>
            <w:r w:rsidRPr="005A0CF4">
              <w:rPr>
                <w:rFonts w:asciiTheme="majorHAnsi" w:hAnsiTheme="majorHAnsi" w:cs="Times New Roman"/>
                <w:sz w:val="20"/>
                <w:szCs w:val="20"/>
                <w:vertAlign w:val="subscript"/>
              </w:rPr>
              <w:t>a</w:t>
            </w:r>
            <w:r w:rsidRPr="005A0CF4">
              <w:rPr>
                <w:rFonts w:asciiTheme="majorHAnsi" w:hAnsiTheme="majorHAnsi" w:cs="Times New Roman"/>
                <w:sz w:val="20"/>
                <w:szCs w:val="20"/>
              </w:rPr>
              <w:t xml:space="preserve"> x 10</w:t>
            </w:r>
            <w:r w:rsidRPr="005A0CF4">
              <w:rPr>
                <w:rFonts w:asciiTheme="majorHAnsi" w:hAnsiTheme="majorHAnsi" w:cs="Times New Roman"/>
                <w:sz w:val="20"/>
                <w:szCs w:val="20"/>
                <w:vertAlign w:val="superscript"/>
              </w:rPr>
              <w:t>14</w:t>
            </w:r>
          </w:p>
          <w:p w14:paraId="15280B29" w14:textId="77777777" w:rsidR="005A0CF4" w:rsidRPr="005A0CF4" w:rsidRDefault="005A0CF4" w:rsidP="004E006E">
            <w:pPr>
              <w:spacing w:after="0" w:line="240" w:lineRule="auto"/>
              <w:contextualSpacing/>
              <w:jc w:val="both"/>
              <w:rPr>
                <w:rFonts w:asciiTheme="majorHAnsi" w:hAnsiTheme="majorHAnsi" w:cs="Times New Roman"/>
                <w:sz w:val="20"/>
                <w:szCs w:val="20"/>
              </w:rPr>
            </w:pPr>
            <w:r w:rsidRPr="005A0CF4">
              <w:rPr>
                <w:rFonts w:asciiTheme="majorHAnsi" w:hAnsiTheme="majorHAnsi" w:cs="Times New Roman"/>
                <w:sz w:val="20"/>
                <w:szCs w:val="20"/>
              </w:rPr>
              <w:t>(m</w:t>
            </w:r>
            <w:r w:rsidRPr="005A0CF4">
              <w:rPr>
                <w:rFonts w:asciiTheme="majorHAnsi" w:hAnsiTheme="majorHAnsi" w:cs="Times New Roman"/>
                <w:sz w:val="20"/>
                <w:szCs w:val="20"/>
                <w:vertAlign w:val="superscript"/>
              </w:rPr>
              <w:t>-1</w:t>
            </w:r>
            <w:r w:rsidRPr="005A0CF4">
              <w:rPr>
                <w:rFonts w:asciiTheme="majorHAnsi" w:hAnsiTheme="majorHAnsi" w:cs="Times New Roman"/>
                <w:sz w:val="20"/>
                <w:szCs w:val="20"/>
              </w:rPr>
              <w:t>)</w:t>
            </w:r>
          </w:p>
        </w:tc>
        <w:tc>
          <w:tcPr>
            <w:tcW w:w="820" w:type="pct"/>
            <w:tcBorders>
              <w:top w:val="single" w:sz="4" w:space="0" w:color="auto"/>
              <w:bottom w:val="single" w:sz="4" w:space="0" w:color="auto"/>
            </w:tcBorders>
            <w:shd w:val="clear" w:color="auto" w:fill="auto"/>
            <w:vAlign w:val="center"/>
          </w:tcPr>
          <w:p w14:paraId="3C40E6A8" w14:textId="606735DE" w:rsidR="005A0CF4" w:rsidRPr="005A0CF4" w:rsidRDefault="005A0CF4" w:rsidP="004E006E">
            <w:pPr>
              <w:spacing w:after="0" w:line="240" w:lineRule="auto"/>
              <w:contextualSpacing/>
              <w:jc w:val="both"/>
              <w:rPr>
                <w:rFonts w:asciiTheme="majorHAnsi" w:hAnsiTheme="majorHAnsi" w:cs="Times New Roman"/>
                <w:sz w:val="20"/>
                <w:szCs w:val="20"/>
                <w:vertAlign w:val="superscript"/>
              </w:rPr>
            </w:pPr>
            <w:r w:rsidRPr="005A0CF4">
              <w:rPr>
                <w:rFonts w:asciiTheme="majorHAnsi" w:hAnsiTheme="majorHAnsi" w:cs="Times New Roman"/>
                <w:sz w:val="20"/>
                <w:szCs w:val="20"/>
              </w:rPr>
              <w:t>R</w:t>
            </w:r>
            <w:r w:rsidRPr="005A0CF4">
              <w:rPr>
                <w:rFonts w:asciiTheme="majorHAnsi" w:hAnsiTheme="majorHAnsi" w:cs="Times New Roman"/>
                <w:sz w:val="20"/>
                <w:szCs w:val="20"/>
              </w:rPr>
              <w:softHyphen/>
            </w:r>
            <w:r w:rsidRPr="005A0CF4">
              <w:rPr>
                <w:rFonts w:asciiTheme="majorHAnsi" w:hAnsiTheme="majorHAnsi" w:cs="Times New Roman"/>
                <w:sz w:val="20"/>
                <w:szCs w:val="20"/>
                <w:vertAlign w:val="subscript"/>
              </w:rPr>
              <w:t>d</w:t>
            </w:r>
            <w:r w:rsidRPr="005A0CF4">
              <w:rPr>
                <w:rFonts w:asciiTheme="majorHAnsi" w:hAnsiTheme="majorHAnsi" w:cs="Times New Roman"/>
                <w:sz w:val="20"/>
                <w:szCs w:val="20"/>
              </w:rPr>
              <w:t xml:space="preserve"> x 10</w:t>
            </w:r>
            <w:r w:rsidRPr="005A0CF4">
              <w:rPr>
                <w:rFonts w:asciiTheme="majorHAnsi" w:hAnsiTheme="majorHAnsi" w:cs="Times New Roman"/>
                <w:sz w:val="20"/>
                <w:szCs w:val="20"/>
                <w:vertAlign w:val="superscript"/>
              </w:rPr>
              <w:t>14</w:t>
            </w:r>
          </w:p>
          <w:p w14:paraId="20DD8ECE" w14:textId="77777777" w:rsidR="005A0CF4" w:rsidRPr="005A0CF4" w:rsidRDefault="005A0CF4" w:rsidP="004E006E">
            <w:pPr>
              <w:spacing w:after="0" w:line="240" w:lineRule="auto"/>
              <w:contextualSpacing/>
              <w:jc w:val="both"/>
              <w:rPr>
                <w:rFonts w:asciiTheme="majorHAnsi" w:hAnsiTheme="majorHAnsi" w:cs="Times New Roman"/>
                <w:sz w:val="20"/>
                <w:szCs w:val="20"/>
              </w:rPr>
            </w:pPr>
            <w:r w:rsidRPr="005A0CF4">
              <w:rPr>
                <w:rFonts w:asciiTheme="majorHAnsi" w:hAnsiTheme="majorHAnsi" w:cs="Times New Roman"/>
                <w:sz w:val="20"/>
                <w:szCs w:val="20"/>
              </w:rPr>
              <w:t>(m</w:t>
            </w:r>
            <w:r w:rsidRPr="005A0CF4">
              <w:rPr>
                <w:rFonts w:asciiTheme="majorHAnsi" w:hAnsiTheme="majorHAnsi" w:cs="Times New Roman"/>
                <w:sz w:val="20"/>
                <w:szCs w:val="20"/>
                <w:vertAlign w:val="superscript"/>
              </w:rPr>
              <w:t>-1</w:t>
            </w:r>
            <w:r w:rsidRPr="005A0CF4">
              <w:rPr>
                <w:rFonts w:asciiTheme="majorHAnsi" w:hAnsiTheme="majorHAnsi" w:cs="Times New Roman"/>
                <w:sz w:val="20"/>
                <w:szCs w:val="20"/>
              </w:rPr>
              <w:t>)</w:t>
            </w:r>
          </w:p>
        </w:tc>
        <w:tc>
          <w:tcPr>
            <w:tcW w:w="765" w:type="pct"/>
            <w:tcBorders>
              <w:top w:val="single" w:sz="4" w:space="0" w:color="auto"/>
              <w:bottom w:val="single" w:sz="4" w:space="0" w:color="auto"/>
            </w:tcBorders>
            <w:shd w:val="clear" w:color="auto" w:fill="auto"/>
            <w:vAlign w:val="center"/>
          </w:tcPr>
          <w:p w14:paraId="6EBC2B28" w14:textId="5C595707" w:rsidR="005A0CF4" w:rsidRPr="005A0CF4" w:rsidRDefault="005A0CF4" w:rsidP="004E006E">
            <w:pPr>
              <w:spacing w:after="0" w:line="240" w:lineRule="auto"/>
              <w:contextualSpacing/>
              <w:jc w:val="both"/>
              <w:rPr>
                <w:rFonts w:asciiTheme="majorHAnsi" w:hAnsiTheme="majorHAnsi" w:cs="Times New Roman"/>
                <w:sz w:val="20"/>
                <w:szCs w:val="20"/>
              </w:rPr>
            </w:pPr>
            <w:proofErr w:type="spellStart"/>
            <w:r w:rsidRPr="005A0CF4">
              <w:rPr>
                <w:rFonts w:asciiTheme="majorHAnsi" w:hAnsiTheme="majorHAnsi" w:cs="Times New Roman"/>
                <w:sz w:val="20"/>
                <w:szCs w:val="20"/>
              </w:rPr>
              <w:t>R</w:t>
            </w:r>
            <w:r w:rsidRPr="005A0CF4">
              <w:rPr>
                <w:rFonts w:asciiTheme="majorHAnsi" w:hAnsiTheme="majorHAnsi" w:cs="Times New Roman"/>
                <w:sz w:val="20"/>
                <w:szCs w:val="20"/>
                <w:vertAlign w:val="subscript"/>
              </w:rPr>
              <w:t>cp</w:t>
            </w:r>
            <w:proofErr w:type="spellEnd"/>
            <w:r w:rsidRPr="005A0CF4">
              <w:rPr>
                <w:rFonts w:asciiTheme="majorHAnsi" w:hAnsiTheme="majorHAnsi" w:cs="Times New Roman"/>
                <w:sz w:val="20"/>
                <w:szCs w:val="20"/>
              </w:rPr>
              <w:t xml:space="preserve"> x 10</w:t>
            </w:r>
            <w:r w:rsidRPr="005A0CF4">
              <w:rPr>
                <w:rFonts w:asciiTheme="majorHAnsi" w:hAnsiTheme="majorHAnsi" w:cs="Times New Roman"/>
                <w:sz w:val="20"/>
                <w:szCs w:val="20"/>
                <w:vertAlign w:val="superscript"/>
              </w:rPr>
              <w:t>14</w:t>
            </w:r>
          </w:p>
          <w:p w14:paraId="43D091D2" w14:textId="77777777" w:rsidR="005A0CF4" w:rsidRPr="005A0CF4" w:rsidRDefault="005A0CF4" w:rsidP="004E006E">
            <w:pPr>
              <w:spacing w:after="0" w:line="240" w:lineRule="auto"/>
              <w:contextualSpacing/>
              <w:jc w:val="both"/>
              <w:rPr>
                <w:rFonts w:asciiTheme="majorHAnsi" w:hAnsiTheme="majorHAnsi" w:cs="Times New Roman"/>
                <w:sz w:val="20"/>
                <w:szCs w:val="20"/>
              </w:rPr>
            </w:pPr>
            <w:r w:rsidRPr="005A0CF4">
              <w:rPr>
                <w:rFonts w:asciiTheme="majorHAnsi" w:hAnsiTheme="majorHAnsi" w:cs="Times New Roman"/>
                <w:sz w:val="20"/>
                <w:szCs w:val="20"/>
              </w:rPr>
              <w:t>(m</w:t>
            </w:r>
            <w:r w:rsidRPr="005A0CF4">
              <w:rPr>
                <w:rFonts w:asciiTheme="majorHAnsi" w:hAnsiTheme="majorHAnsi" w:cs="Times New Roman"/>
                <w:sz w:val="20"/>
                <w:szCs w:val="20"/>
                <w:vertAlign w:val="superscript"/>
              </w:rPr>
              <w:t>-1</w:t>
            </w:r>
            <w:r w:rsidRPr="005A0CF4">
              <w:rPr>
                <w:rFonts w:asciiTheme="majorHAnsi" w:hAnsiTheme="majorHAnsi" w:cs="Times New Roman"/>
                <w:sz w:val="20"/>
                <w:szCs w:val="20"/>
              </w:rPr>
              <w:t>)</w:t>
            </w:r>
          </w:p>
        </w:tc>
        <w:tc>
          <w:tcPr>
            <w:tcW w:w="765" w:type="pct"/>
            <w:tcBorders>
              <w:top w:val="single" w:sz="4" w:space="0" w:color="auto"/>
              <w:bottom w:val="single" w:sz="4" w:space="0" w:color="auto"/>
            </w:tcBorders>
          </w:tcPr>
          <w:p w14:paraId="54FFDED1" w14:textId="78BC0348" w:rsidR="005A0CF4" w:rsidRPr="005A0CF4" w:rsidRDefault="005A0CF4" w:rsidP="005A0CF4">
            <w:pPr>
              <w:spacing w:after="0" w:line="240" w:lineRule="auto"/>
              <w:contextualSpacing/>
              <w:jc w:val="both"/>
              <w:rPr>
                <w:rFonts w:asciiTheme="majorHAnsi" w:hAnsiTheme="majorHAnsi" w:cs="Times New Roman"/>
                <w:sz w:val="20"/>
                <w:szCs w:val="20"/>
              </w:rPr>
            </w:pPr>
            <w:proofErr w:type="gramStart"/>
            <w:r w:rsidRPr="005A0CF4">
              <w:rPr>
                <w:rFonts w:asciiTheme="majorHAnsi" w:hAnsiTheme="majorHAnsi" w:cs="Times New Roman"/>
                <w:sz w:val="20"/>
                <w:szCs w:val="20"/>
              </w:rPr>
              <w:t>R</w:t>
            </w:r>
            <w:r w:rsidRPr="005A0CF4">
              <w:rPr>
                <w:rFonts w:asciiTheme="majorHAnsi" w:hAnsiTheme="majorHAnsi" w:cs="Times New Roman"/>
                <w:sz w:val="20"/>
                <w:szCs w:val="20"/>
                <w:vertAlign w:val="subscript"/>
              </w:rPr>
              <w:t xml:space="preserve">T </w:t>
            </w:r>
            <w:r w:rsidRPr="005A0CF4">
              <w:rPr>
                <w:rFonts w:asciiTheme="majorHAnsi" w:hAnsiTheme="majorHAnsi" w:cs="Times New Roman"/>
                <w:sz w:val="20"/>
                <w:szCs w:val="20"/>
              </w:rPr>
              <w:t xml:space="preserve"> x</w:t>
            </w:r>
            <w:proofErr w:type="gramEnd"/>
            <w:r w:rsidRPr="005A0CF4">
              <w:rPr>
                <w:rFonts w:asciiTheme="majorHAnsi" w:hAnsiTheme="majorHAnsi" w:cs="Times New Roman"/>
                <w:sz w:val="20"/>
                <w:szCs w:val="20"/>
              </w:rPr>
              <w:t xml:space="preserve"> 10</w:t>
            </w:r>
            <w:r w:rsidRPr="005A0CF4">
              <w:rPr>
                <w:rFonts w:asciiTheme="majorHAnsi" w:hAnsiTheme="majorHAnsi" w:cs="Times New Roman"/>
                <w:sz w:val="20"/>
                <w:szCs w:val="20"/>
                <w:vertAlign w:val="superscript"/>
              </w:rPr>
              <w:t>14</w:t>
            </w:r>
          </w:p>
          <w:p w14:paraId="70F3AFEF" w14:textId="7713CAB8" w:rsidR="005A0CF4" w:rsidRPr="005A0CF4" w:rsidRDefault="005A0CF4" w:rsidP="005A0CF4">
            <w:pPr>
              <w:spacing w:after="0" w:line="240" w:lineRule="auto"/>
              <w:contextualSpacing/>
              <w:jc w:val="both"/>
              <w:rPr>
                <w:rFonts w:asciiTheme="majorHAnsi" w:hAnsiTheme="majorHAnsi" w:cs="Times New Roman"/>
                <w:sz w:val="20"/>
                <w:szCs w:val="20"/>
              </w:rPr>
            </w:pPr>
            <w:r w:rsidRPr="005A0CF4">
              <w:rPr>
                <w:rFonts w:asciiTheme="majorHAnsi" w:hAnsiTheme="majorHAnsi" w:cs="Times New Roman"/>
                <w:sz w:val="20"/>
                <w:szCs w:val="20"/>
              </w:rPr>
              <w:t>(m</w:t>
            </w:r>
            <w:r w:rsidRPr="005A0CF4">
              <w:rPr>
                <w:rFonts w:asciiTheme="majorHAnsi" w:hAnsiTheme="majorHAnsi" w:cs="Times New Roman"/>
                <w:sz w:val="20"/>
                <w:szCs w:val="20"/>
                <w:vertAlign w:val="superscript"/>
              </w:rPr>
              <w:t>-1</w:t>
            </w:r>
            <w:r w:rsidRPr="005A0CF4">
              <w:rPr>
                <w:rFonts w:asciiTheme="majorHAnsi" w:hAnsiTheme="majorHAnsi" w:cs="Times New Roman"/>
                <w:sz w:val="20"/>
                <w:szCs w:val="20"/>
              </w:rPr>
              <w:t>)</w:t>
            </w:r>
          </w:p>
        </w:tc>
      </w:tr>
      <w:tr w:rsidR="005A0CF4" w:rsidRPr="003D4D3C" w14:paraId="294A0B42" w14:textId="4FB16261" w:rsidTr="005A0CF4">
        <w:tc>
          <w:tcPr>
            <w:tcW w:w="1139" w:type="pct"/>
            <w:tcBorders>
              <w:top w:val="single" w:sz="4" w:space="0" w:color="auto"/>
            </w:tcBorders>
            <w:shd w:val="clear" w:color="auto" w:fill="auto"/>
          </w:tcPr>
          <w:p w14:paraId="769C6CDD" w14:textId="77777777" w:rsidR="005A0CF4" w:rsidRPr="003D4D3C" w:rsidRDefault="005A0CF4" w:rsidP="004E006E">
            <w:pPr>
              <w:spacing w:after="0" w:line="240" w:lineRule="auto"/>
              <w:contextualSpacing/>
              <w:jc w:val="both"/>
              <w:rPr>
                <w:rFonts w:asciiTheme="majorHAnsi" w:hAnsiTheme="majorHAnsi" w:cs="Times New Roman"/>
                <w:sz w:val="20"/>
                <w:szCs w:val="20"/>
              </w:rPr>
            </w:pPr>
            <w:r w:rsidRPr="003D4D3C">
              <w:rPr>
                <w:rFonts w:asciiTheme="majorHAnsi" w:hAnsiTheme="majorHAnsi" w:cs="Times New Roman"/>
                <w:sz w:val="20"/>
                <w:szCs w:val="20"/>
              </w:rPr>
              <w:t xml:space="preserve">Neat </w:t>
            </w:r>
            <w:proofErr w:type="spellStart"/>
            <w:r w:rsidRPr="003D4D3C">
              <w:rPr>
                <w:rFonts w:asciiTheme="majorHAnsi" w:hAnsiTheme="majorHAnsi" w:cs="Times New Roman"/>
                <w:sz w:val="20"/>
                <w:szCs w:val="20"/>
              </w:rPr>
              <w:t>PSf</w:t>
            </w:r>
            <w:proofErr w:type="spellEnd"/>
          </w:p>
        </w:tc>
        <w:tc>
          <w:tcPr>
            <w:tcW w:w="770" w:type="pct"/>
            <w:tcBorders>
              <w:top w:val="single" w:sz="4" w:space="0" w:color="auto"/>
            </w:tcBorders>
            <w:shd w:val="clear" w:color="auto" w:fill="auto"/>
          </w:tcPr>
          <w:p w14:paraId="6A096008" w14:textId="321A6BBE" w:rsidR="005A0CF4" w:rsidRPr="003D4D3C" w:rsidRDefault="005A0CF4" w:rsidP="004E006E">
            <w:pPr>
              <w:spacing w:after="0" w:line="240" w:lineRule="auto"/>
              <w:contextualSpacing/>
              <w:jc w:val="both"/>
              <w:rPr>
                <w:rFonts w:asciiTheme="majorHAnsi" w:hAnsiTheme="majorHAnsi" w:cs="Times New Roman"/>
                <w:sz w:val="20"/>
                <w:szCs w:val="20"/>
              </w:rPr>
            </w:pPr>
            <w:r>
              <w:rPr>
                <w:rFonts w:asciiTheme="majorHAnsi" w:hAnsiTheme="majorHAnsi" w:cs="Times New Roman"/>
                <w:sz w:val="20"/>
                <w:szCs w:val="20"/>
              </w:rPr>
              <w:t>25.4</w:t>
            </w:r>
          </w:p>
        </w:tc>
        <w:tc>
          <w:tcPr>
            <w:tcW w:w="741" w:type="pct"/>
            <w:tcBorders>
              <w:top w:val="single" w:sz="4" w:space="0" w:color="auto"/>
            </w:tcBorders>
            <w:shd w:val="clear" w:color="auto" w:fill="auto"/>
          </w:tcPr>
          <w:p w14:paraId="04B5F597" w14:textId="1A04184C" w:rsidR="005A0CF4" w:rsidRPr="003D4D3C" w:rsidRDefault="005A0CF4" w:rsidP="004E006E">
            <w:pPr>
              <w:spacing w:after="0" w:line="240" w:lineRule="auto"/>
              <w:contextualSpacing/>
              <w:jc w:val="both"/>
              <w:rPr>
                <w:rFonts w:asciiTheme="majorHAnsi" w:hAnsiTheme="majorHAnsi" w:cs="Times New Roman"/>
                <w:sz w:val="20"/>
                <w:szCs w:val="20"/>
              </w:rPr>
            </w:pPr>
            <w:r>
              <w:rPr>
                <w:rFonts w:asciiTheme="majorHAnsi" w:hAnsiTheme="majorHAnsi" w:cs="Times New Roman"/>
                <w:sz w:val="20"/>
                <w:szCs w:val="20"/>
              </w:rPr>
              <w:t>2.83</w:t>
            </w:r>
          </w:p>
        </w:tc>
        <w:tc>
          <w:tcPr>
            <w:tcW w:w="820" w:type="pct"/>
            <w:tcBorders>
              <w:top w:val="single" w:sz="4" w:space="0" w:color="auto"/>
            </w:tcBorders>
            <w:shd w:val="clear" w:color="auto" w:fill="auto"/>
          </w:tcPr>
          <w:p w14:paraId="539B5DCC" w14:textId="751F3434" w:rsidR="005A0CF4" w:rsidRPr="003D4D3C" w:rsidRDefault="005A0CF4" w:rsidP="004E006E">
            <w:pPr>
              <w:spacing w:after="0" w:line="240" w:lineRule="auto"/>
              <w:contextualSpacing/>
              <w:jc w:val="both"/>
              <w:rPr>
                <w:rFonts w:asciiTheme="majorHAnsi" w:hAnsiTheme="majorHAnsi" w:cs="Times New Roman"/>
                <w:sz w:val="20"/>
                <w:szCs w:val="20"/>
              </w:rPr>
            </w:pPr>
            <w:r>
              <w:rPr>
                <w:rFonts w:asciiTheme="majorHAnsi" w:hAnsiTheme="majorHAnsi" w:cs="Times New Roman"/>
                <w:sz w:val="20"/>
                <w:szCs w:val="20"/>
              </w:rPr>
              <w:t>6.11</w:t>
            </w:r>
          </w:p>
        </w:tc>
        <w:tc>
          <w:tcPr>
            <w:tcW w:w="765" w:type="pct"/>
            <w:tcBorders>
              <w:top w:val="single" w:sz="4" w:space="0" w:color="auto"/>
            </w:tcBorders>
            <w:shd w:val="clear" w:color="auto" w:fill="auto"/>
          </w:tcPr>
          <w:p w14:paraId="0A6A40F1" w14:textId="7AD1ABA9" w:rsidR="005A0CF4" w:rsidRPr="003D4D3C" w:rsidRDefault="005A0CF4" w:rsidP="004E006E">
            <w:pPr>
              <w:spacing w:after="0" w:line="240" w:lineRule="auto"/>
              <w:contextualSpacing/>
              <w:jc w:val="both"/>
              <w:rPr>
                <w:rFonts w:asciiTheme="majorHAnsi" w:hAnsiTheme="majorHAnsi" w:cs="Times New Roman"/>
                <w:sz w:val="20"/>
                <w:szCs w:val="20"/>
              </w:rPr>
            </w:pPr>
            <w:r>
              <w:rPr>
                <w:rFonts w:asciiTheme="majorHAnsi" w:hAnsiTheme="majorHAnsi" w:cs="Times New Roman"/>
                <w:sz w:val="20"/>
                <w:szCs w:val="20"/>
              </w:rPr>
              <w:t>8.02</w:t>
            </w:r>
          </w:p>
        </w:tc>
        <w:tc>
          <w:tcPr>
            <w:tcW w:w="765" w:type="pct"/>
            <w:tcBorders>
              <w:top w:val="single" w:sz="4" w:space="0" w:color="auto"/>
            </w:tcBorders>
          </w:tcPr>
          <w:p w14:paraId="6317F522" w14:textId="16CB8D9D" w:rsidR="005A0CF4" w:rsidRPr="003D4D3C" w:rsidRDefault="005A0CF4" w:rsidP="004E006E">
            <w:pPr>
              <w:spacing w:after="0" w:line="240" w:lineRule="auto"/>
              <w:contextualSpacing/>
              <w:jc w:val="both"/>
              <w:rPr>
                <w:rFonts w:asciiTheme="majorHAnsi" w:hAnsiTheme="majorHAnsi" w:cs="Times New Roman"/>
                <w:sz w:val="20"/>
                <w:szCs w:val="20"/>
              </w:rPr>
            </w:pPr>
            <w:r>
              <w:rPr>
                <w:rFonts w:asciiTheme="majorHAnsi" w:hAnsiTheme="majorHAnsi" w:cs="Times New Roman"/>
                <w:sz w:val="20"/>
                <w:szCs w:val="20"/>
              </w:rPr>
              <w:t>42.4</w:t>
            </w:r>
          </w:p>
        </w:tc>
      </w:tr>
      <w:tr w:rsidR="005A0CF4" w:rsidRPr="003D4D3C" w14:paraId="4949961C" w14:textId="292407A6" w:rsidTr="005A0CF4">
        <w:tc>
          <w:tcPr>
            <w:tcW w:w="1139" w:type="pct"/>
            <w:shd w:val="clear" w:color="auto" w:fill="auto"/>
          </w:tcPr>
          <w:p w14:paraId="189EB52D" w14:textId="2335AD94" w:rsidR="005A0CF4" w:rsidRPr="003D4D3C" w:rsidRDefault="005A0CF4" w:rsidP="004E006E">
            <w:pPr>
              <w:spacing w:after="0" w:line="240" w:lineRule="auto"/>
              <w:contextualSpacing/>
              <w:jc w:val="both"/>
              <w:rPr>
                <w:rFonts w:asciiTheme="majorHAnsi" w:hAnsiTheme="majorHAnsi" w:cs="Times New Roman"/>
                <w:sz w:val="20"/>
                <w:szCs w:val="20"/>
              </w:rPr>
            </w:pPr>
            <w:proofErr w:type="spellStart"/>
            <w:r>
              <w:rPr>
                <w:rFonts w:asciiTheme="majorHAnsi" w:hAnsiTheme="majorHAnsi" w:cs="Times New Roman"/>
                <w:sz w:val="20"/>
                <w:szCs w:val="20"/>
              </w:rPr>
              <w:t>PSf</w:t>
            </w:r>
            <w:proofErr w:type="spellEnd"/>
            <w:r>
              <w:rPr>
                <w:rFonts w:asciiTheme="majorHAnsi" w:hAnsiTheme="majorHAnsi" w:cs="Times New Roman"/>
                <w:sz w:val="20"/>
                <w:szCs w:val="20"/>
              </w:rPr>
              <w:t>/GO</w:t>
            </w:r>
          </w:p>
        </w:tc>
        <w:tc>
          <w:tcPr>
            <w:tcW w:w="770" w:type="pct"/>
            <w:shd w:val="clear" w:color="auto" w:fill="auto"/>
          </w:tcPr>
          <w:p w14:paraId="1B993CCB" w14:textId="22F4CA7A" w:rsidR="005A0CF4" w:rsidRPr="003D4D3C" w:rsidRDefault="005A0CF4" w:rsidP="004E006E">
            <w:pPr>
              <w:spacing w:after="0" w:line="240" w:lineRule="auto"/>
              <w:contextualSpacing/>
              <w:jc w:val="both"/>
              <w:rPr>
                <w:rFonts w:asciiTheme="majorHAnsi" w:hAnsiTheme="majorHAnsi" w:cs="Times New Roman"/>
                <w:sz w:val="20"/>
                <w:szCs w:val="20"/>
              </w:rPr>
            </w:pPr>
            <w:r>
              <w:rPr>
                <w:rFonts w:asciiTheme="majorHAnsi" w:hAnsiTheme="majorHAnsi" w:cs="Times New Roman"/>
                <w:sz w:val="20"/>
                <w:szCs w:val="20"/>
              </w:rPr>
              <w:t>4.54</w:t>
            </w:r>
          </w:p>
        </w:tc>
        <w:tc>
          <w:tcPr>
            <w:tcW w:w="741" w:type="pct"/>
            <w:shd w:val="clear" w:color="auto" w:fill="auto"/>
          </w:tcPr>
          <w:p w14:paraId="60BDE91F" w14:textId="3175025F" w:rsidR="005A0CF4" w:rsidRPr="003D4D3C" w:rsidRDefault="005A0CF4" w:rsidP="004E006E">
            <w:pPr>
              <w:spacing w:after="0" w:line="240" w:lineRule="auto"/>
              <w:contextualSpacing/>
              <w:jc w:val="both"/>
              <w:rPr>
                <w:rFonts w:asciiTheme="majorHAnsi" w:hAnsiTheme="majorHAnsi" w:cs="Times New Roman"/>
                <w:sz w:val="20"/>
                <w:szCs w:val="20"/>
              </w:rPr>
            </w:pPr>
            <w:r>
              <w:rPr>
                <w:rFonts w:asciiTheme="majorHAnsi" w:hAnsiTheme="majorHAnsi" w:cs="Times New Roman"/>
                <w:sz w:val="20"/>
                <w:szCs w:val="20"/>
              </w:rPr>
              <w:t>0.17</w:t>
            </w:r>
          </w:p>
        </w:tc>
        <w:tc>
          <w:tcPr>
            <w:tcW w:w="820" w:type="pct"/>
            <w:shd w:val="clear" w:color="auto" w:fill="auto"/>
          </w:tcPr>
          <w:p w14:paraId="70A53EFF" w14:textId="5B8273C2" w:rsidR="005A0CF4" w:rsidRPr="003D4D3C" w:rsidRDefault="005A0CF4" w:rsidP="004E006E">
            <w:pPr>
              <w:spacing w:after="0" w:line="240" w:lineRule="auto"/>
              <w:contextualSpacing/>
              <w:jc w:val="both"/>
              <w:rPr>
                <w:rFonts w:asciiTheme="majorHAnsi" w:hAnsiTheme="majorHAnsi" w:cs="Times New Roman"/>
                <w:sz w:val="20"/>
                <w:szCs w:val="20"/>
              </w:rPr>
            </w:pPr>
            <w:r>
              <w:rPr>
                <w:rFonts w:asciiTheme="majorHAnsi" w:hAnsiTheme="majorHAnsi" w:cs="Times New Roman"/>
                <w:sz w:val="20"/>
                <w:szCs w:val="20"/>
              </w:rPr>
              <w:t>3.77</w:t>
            </w:r>
          </w:p>
        </w:tc>
        <w:tc>
          <w:tcPr>
            <w:tcW w:w="765" w:type="pct"/>
            <w:shd w:val="clear" w:color="auto" w:fill="auto"/>
          </w:tcPr>
          <w:p w14:paraId="0E6EBCB1" w14:textId="63BCABCC" w:rsidR="005A0CF4" w:rsidRPr="003D4D3C" w:rsidRDefault="005A0CF4" w:rsidP="004E006E">
            <w:pPr>
              <w:spacing w:after="0" w:line="240" w:lineRule="auto"/>
              <w:contextualSpacing/>
              <w:jc w:val="both"/>
              <w:rPr>
                <w:rFonts w:asciiTheme="majorHAnsi" w:hAnsiTheme="majorHAnsi" w:cs="Times New Roman"/>
                <w:sz w:val="20"/>
                <w:szCs w:val="20"/>
              </w:rPr>
            </w:pPr>
            <w:r>
              <w:rPr>
                <w:rFonts w:asciiTheme="majorHAnsi" w:hAnsiTheme="majorHAnsi" w:cs="Times New Roman"/>
                <w:sz w:val="20"/>
                <w:szCs w:val="20"/>
              </w:rPr>
              <w:t>4.24</w:t>
            </w:r>
          </w:p>
        </w:tc>
        <w:tc>
          <w:tcPr>
            <w:tcW w:w="765" w:type="pct"/>
          </w:tcPr>
          <w:p w14:paraId="66462D2A" w14:textId="1710BC09" w:rsidR="005A0CF4" w:rsidRPr="003D4D3C" w:rsidRDefault="005A0CF4" w:rsidP="004E006E">
            <w:pPr>
              <w:spacing w:after="0" w:line="240" w:lineRule="auto"/>
              <w:contextualSpacing/>
              <w:jc w:val="both"/>
              <w:rPr>
                <w:rFonts w:asciiTheme="majorHAnsi" w:hAnsiTheme="majorHAnsi" w:cs="Times New Roman"/>
                <w:sz w:val="20"/>
                <w:szCs w:val="20"/>
              </w:rPr>
            </w:pPr>
            <w:r>
              <w:rPr>
                <w:rFonts w:asciiTheme="majorHAnsi" w:hAnsiTheme="majorHAnsi" w:cs="Times New Roman"/>
                <w:sz w:val="20"/>
                <w:szCs w:val="20"/>
              </w:rPr>
              <w:t>12.7</w:t>
            </w:r>
          </w:p>
        </w:tc>
      </w:tr>
    </w:tbl>
    <w:p w14:paraId="4532226B" w14:textId="77777777" w:rsidR="0092252B" w:rsidRPr="0092252B" w:rsidRDefault="0092252B" w:rsidP="0092252B">
      <w:pPr>
        <w:spacing w:after="0" w:line="240" w:lineRule="auto"/>
        <w:contextualSpacing/>
        <w:jc w:val="center"/>
        <w:rPr>
          <w:rFonts w:asciiTheme="majorHAnsi" w:hAnsiTheme="majorHAnsi" w:cs="Times New Roman"/>
          <w:sz w:val="20"/>
          <w:szCs w:val="20"/>
        </w:rPr>
      </w:pPr>
    </w:p>
    <w:p w14:paraId="383F4E0B" w14:textId="09B4ECCC" w:rsidR="00670815" w:rsidRPr="00451DA9" w:rsidRDefault="003D4D3C" w:rsidP="003D4D3C">
      <w:pPr>
        <w:spacing w:after="0" w:line="240" w:lineRule="auto"/>
        <w:contextualSpacing/>
        <w:jc w:val="both"/>
        <w:rPr>
          <w:rFonts w:asciiTheme="majorHAnsi" w:hAnsiTheme="majorHAnsi" w:cs="Times New Roman"/>
          <w:sz w:val="20"/>
          <w:szCs w:val="20"/>
        </w:rPr>
      </w:pPr>
      <w:r>
        <w:rPr>
          <w:rFonts w:asciiTheme="majorHAnsi" w:hAnsiTheme="majorHAnsi" w:cs="Times New Roman"/>
          <w:b/>
          <w:bCs/>
          <w:sz w:val="20"/>
          <w:szCs w:val="20"/>
        </w:rPr>
        <w:t>4</w:t>
      </w:r>
      <w:r w:rsidR="005A0CF4">
        <w:rPr>
          <w:rFonts w:asciiTheme="majorHAnsi" w:hAnsiTheme="majorHAnsi" w:cs="Times New Roman"/>
          <w:b/>
          <w:bCs/>
          <w:sz w:val="20"/>
          <w:szCs w:val="20"/>
        </w:rPr>
        <w:t>.</w:t>
      </w:r>
      <w:r w:rsidRPr="003D4D3C">
        <w:rPr>
          <w:rFonts w:asciiTheme="majorHAnsi" w:hAnsiTheme="majorHAnsi" w:cs="Times New Roman"/>
          <w:b/>
          <w:bCs/>
          <w:sz w:val="20"/>
          <w:szCs w:val="20"/>
        </w:rPr>
        <w:t xml:space="preserve"> </w:t>
      </w:r>
      <w:r w:rsidR="005A0CF4">
        <w:rPr>
          <w:rFonts w:asciiTheme="majorHAnsi" w:hAnsiTheme="majorHAnsi" w:cs="Times New Roman"/>
          <w:b/>
          <w:bCs/>
          <w:sz w:val="20"/>
          <w:szCs w:val="20"/>
        </w:rPr>
        <w:t>Conclusion</w:t>
      </w:r>
    </w:p>
    <w:p w14:paraId="4119AC0E" w14:textId="77777777" w:rsidR="005A0CF4" w:rsidRDefault="005A0CF4" w:rsidP="003D4D3C">
      <w:pPr>
        <w:spacing w:after="0" w:line="240" w:lineRule="auto"/>
        <w:ind w:firstLine="426"/>
        <w:contextualSpacing/>
        <w:jc w:val="both"/>
        <w:rPr>
          <w:rFonts w:asciiTheme="majorHAnsi" w:hAnsiTheme="majorHAnsi" w:cs="Times New Roman"/>
          <w:sz w:val="20"/>
          <w:szCs w:val="20"/>
        </w:rPr>
      </w:pPr>
      <w:r w:rsidRPr="005A0CF4">
        <w:rPr>
          <w:rFonts w:asciiTheme="majorHAnsi" w:hAnsiTheme="majorHAnsi" w:cs="Times New Roman"/>
          <w:sz w:val="20"/>
          <w:szCs w:val="20"/>
        </w:rPr>
        <w:t xml:space="preserve">In this study, a more in-depth study was conducted on the characteristics, performance, and antifouling properties of </w:t>
      </w:r>
      <w:proofErr w:type="spellStart"/>
      <w:r w:rsidRPr="005A0CF4">
        <w:rPr>
          <w:rFonts w:asciiTheme="majorHAnsi" w:hAnsiTheme="majorHAnsi" w:cs="Times New Roman"/>
          <w:sz w:val="20"/>
          <w:szCs w:val="20"/>
        </w:rPr>
        <w:t>PSf</w:t>
      </w:r>
      <w:proofErr w:type="spellEnd"/>
      <w:r w:rsidRPr="005A0CF4">
        <w:rPr>
          <w:rFonts w:asciiTheme="majorHAnsi" w:hAnsiTheme="majorHAnsi" w:cs="Times New Roman"/>
          <w:sz w:val="20"/>
          <w:szCs w:val="20"/>
        </w:rPr>
        <w:t xml:space="preserve">/GO nanohybrid membranes in treating batik wastewater. The addition of GO nanoparticles into the membrane matrix proved successful in changing the characteristics of </w:t>
      </w:r>
      <w:proofErr w:type="spellStart"/>
      <w:r w:rsidRPr="005A0CF4">
        <w:rPr>
          <w:rFonts w:asciiTheme="majorHAnsi" w:hAnsiTheme="majorHAnsi" w:cs="Times New Roman"/>
          <w:sz w:val="20"/>
          <w:szCs w:val="20"/>
        </w:rPr>
        <w:t>polysulfone</w:t>
      </w:r>
      <w:proofErr w:type="spellEnd"/>
      <w:r w:rsidRPr="005A0CF4">
        <w:rPr>
          <w:rFonts w:asciiTheme="majorHAnsi" w:hAnsiTheme="majorHAnsi" w:cs="Times New Roman"/>
          <w:sz w:val="20"/>
          <w:szCs w:val="20"/>
        </w:rPr>
        <w:t xml:space="preserve"> membranes. The SEM-EDX results revealed that the addition of GO NPs into the polymer matrix was able to produce a membrane with a smooth-large pores surface, with a higher oxygen composition. The addition of hydrophilic sites and an increase in the crystallinity index on </w:t>
      </w:r>
      <w:proofErr w:type="spellStart"/>
      <w:r w:rsidRPr="005A0CF4">
        <w:rPr>
          <w:rFonts w:asciiTheme="majorHAnsi" w:hAnsiTheme="majorHAnsi" w:cs="Times New Roman"/>
          <w:sz w:val="20"/>
          <w:szCs w:val="20"/>
        </w:rPr>
        <w:t>PSf</w:t>
      </w:r>
      <w:proofErr w:type="spellEnd"/>
      <w:r w:rsidRPr="005A0CF4">
        <w:rPr>
          <w:rFonts w:asciiTheme="majorHAnsi" w:hAnsiTheme="majorHAnsi" w:cs="Times New Roman"/>
          <w:sz w:val="20"/>
          <w:szCs w:val="20"/>
        </w:rPr>
        <w:t xml:space="preserve">/GO membranes were also revealed through FTIR and XRD assays. Furthermore, this is evidenced by the lower contact angle and more than 3-fold increase in water uptake capability of the GO NPs embedded membrane. The tensile strength and elongation at break of </w:t>
      </w:r>
      <w:proofErr w:type="spellStart"/>
      <w:r w:rsidRPr="005A0CF4">
        <w:rPr>
          <w:rFonts w:asciiTheme="majorHAnsi" w:hAnsiTheme="majorHAnsi" w:cs="Times New Roman"/>
          <w:sz w:val="20"/>
          <w:szCs w:val="20"/>
        </w:rPr>
        <w:t>PSf</w:t>
      </w:r>
      <w:proofErr w:type="spellEnd"/>
      <w:r w:rsidRPr="005A0CF4">
        <w:rPr>
          <w:rFonts w:asciiTheme="majorHAnsi" w:hAnsiTheme="majorHAnsi" w:cs="Times New Roman"/>
          <w:sz w:val="20"/>
          <w:szCs w:val="20"/>
        </w:rPr>
        <w:t xml:space="preserve">/GO membranes showed durability with values of 4.2 MPa and 13.9%, respectively. </w:t>
      </w:r>
      <w:proofErr w:type="spellStart"/>
      <w:r w:rsidRPr="005A0CF4">
        <w:rPr>
          <w:rFonts w:asciiTheme="majorHAnsi" w:hAnsiTheme="majorHAnsi" w:cs="Times New Roman"/>
          <w:sz w:val="20"/>
          <w:szCs w:val="20"/>
        </w:rPr>
        <w:t>PSf</w:t>
      </w:r>
      <w:proofErr w:type="spellEnd"/>
      <w:r w:rsidRPr="005A0CF4">
        <w:rPr>
          <w:rFonts w:asciiTheme="majorHAnsi" w:hAnsiTheme="majorHAnsi" w:cs="Times New Roman"/>
          <w:sz w:val="20"/>
          <w:szCs w:val="20"/>
        </w:rPr>
        <w:t xml:space="preserve">/GO membranes also showed significant performance with much better pure water flux, permeate flux and pollutant removal than the native </w:t>
      </w:r>
      <w:proofErr w:type="spellStart"/>
      <w:r w:rsidRPr="005A0CF4">
        <w:rPr>
          <w:rFonts w:asciiTheme="majorHAnsi" w:hAnsiTheme="majorHAnsi" w:cs="Times New Roman"/>
          <w:sz w:val="20"/>
          <w:szCs w:val="20"/>
        </w:rPr>
        <w:t>PSf.</w:t>
      </w:r>
      <w:proofErr w:type="spellEnd"/>
      <w:r w:rsidRPr="005A0CF4">
        <w:rPr>
          <w:rFonts w:asciiTheme="majorHAnsi" w:hAnsiTheme="majorHAnsi" w:cs="Times New Roman"/>
          <w:sz w:val="20"/>
          <w:szCs w:val="20"/>
        </w:rPr>
        <w:t xml:space="preserve"> Analysis of antifouling potential and membrane resistance showed that in batik wastewater treatment, 2 </w:t>
      </w:r>
      <w:proofErr w:type="spellStart"/>
      <w:r w:rsidRPr="005A0CF4">
        <w:rPr>
          <w:rFonts w:asciiTheme="majorHAnsi" w:hAnsiTheme="majorHAnsi" w:cs="Times New Roman"/>
          <w:sz w:val="20"/>
          <w:szCs w:val="20"/>
        </w:rPr>
        <w:t>wt</w:t>
      </w:r>
      <w:proofErr w:type="spellEnd"/>
      <w:r w:rsidRPr="005A0CF4">
        <w:rPr>
          <w:rFonts w:asciiTheme="majorHAnsi" w:hAnsiTheme="majorHAnsi" w:cs="Times New Roman"/>
          <w:sz w:val="20"/>
          <w:szCs w:val="20"/>
        </w:rPr>
        <w:t xml:space="preserve">% </w:t>
      </w:r>
      <w:proofErr w:type="spellStart"/>
      <w:r w:rsidRPr="005A0CF4">
        <w:rPr>
          <w:rFonts w:asciiTheme="majorHAnsi" w:hAnsiTheme="majorHAnsi" w:cs="Times New Roman"/>
          <w:sz w:val="20"/>
          <w:szCs w:val="20"/>
        </w:rPr>
        <w:t>PSf</w:t>
      </w:r>
      <w:proofErr w:type="spellEnd"/>
      <w:r w:rsidRPr="005A0CF4">
        <w:rPr>
          <w:rFonts w:asciiTheme="majorHAnsi" w:hAnsiTheme="majorHAnsi" w:cs="Times New Roman"/>
          <w:sz w:val="20"/>
          <w:szCs w:val="20"/>
        </w:rPr>
        <w:t>/GO membrane was able to produce a flux recovery ratio of up to 95% ± 4.74% with a total membrane resistance of 12.7 ± 0.64 (× 1014 m-1). This research is expected to contribute to the discovery of suitable membrane technology for treating batik or textile wastewater.</w:t>
      </w:r>
    </w:p>
    <w:p w14:paraId="2E2CED05" w14:textId="01B33203" w:rsidR="000851BE" w:rsidRDefault="000851BE" w:rsidP="005A0CF4">
      <w:pPr>
        <w:spacing w:after="0" w:line="240" w:lineRule="auto"/>
        <w:contextualSpacing/>
        <w:jc w:val="both"/>
        <w:rPr>
          <w:rFonts w:asciiTheme="majorHAnsi" w:hAnsiTheme="majorHAnsi" w:cs="Times New Roman"/>
          <w:sz w:val="20"/>
          <w:szCs w:val="20"/>
          <w:lang w:val="en-CA"/>
        </w:rPr>
      </w:pPr>
    </w:p>
    <w:p w14:paraId="52925A88" w14:textId="78ADB274" w:rsidR="005A0CF4" w:rsidRDefault="005A0CF4" w:rsidP="005A0CF4">
      <w:pPr>
        <w:spacing w:after="0" w:line="240" w:lineRule="auto"/>
        <w:contextualSpacing/>
        <w:jc w:val="both"/>
        <w:rPr>
          <w:rFonts w:asciiTheme="majorHAnsi" w:hAnsiTheme="majorHAnsi" w:cs="Times New Roman"/>
          <w:b/>
          <w:bCs/>
          <w:sz w:val="20"/>
          <w:szCs w:val="20"/>
          <w:lang w:val="en-CA"/>
        </w:rPr>
      </w:pPr>
      <w:r>
        <w:rPr>
          <w:rFonts w:asciiTheme="majorHAnsi" w:hAnsiTheme="majorHAnsi" w:cs="Times New Roman"/>
          <w:b/>
          <w:bCs/>
          <w:sz w:val="20"/>
          <w:szCs w:val="20"/>
          <w:lang w:val="en-CA"/>
        </w:rPr>
        <w:t>Acknowledge</w:t>
      </w:r>
    </w:p>
    <w:p w14:paraId="3AA4170F" w14:textId="7A540BE0" w:rsidR="005A0CF4" w:rsidRDefault="005A0CF4" w:rsidP="005A0CF4">
      <w:pPr>
        <w:spacing w:after="0" w:line="240" w:lineRule="auto"/>
        <w:contextualSpacing/>
        <w:jc w:val="both"/>
        <w:rPr>
          <w:rFonts w:asciiTheme="majorHAnsi" w:hAnsiTheme="majorHAnsi" w:cs="Times New Roman"/>
          <w:sz w:val="20"/>
          <w:szCs w:val="20"/>
          <w:lang w:val="en-CA"/>
        </w:rPr>
      </w:pPr>
      <w:r w:rsidRPr="005A0CF4">
        <w:rPr>
          <w:rFonts w:asciiTheme="majorHAnsi" w:hAnsiTheme="majorHAnsi" w:cs="Times New Roman"/>
          <w:sz w:val="20"/>
          <w:szCs w:val="20"/>
          <w:lang w:val="en-CA"/>
        </w:rPr>
        <w:t xml:space="preserve">The authors would like to thank the Ministry of Education and Culture of the Republic of Indonesia for the research and educational funding through PMDSU scholarship with grant number of 345-45/UN7.6.1/PP/2022. We would also </w:t>
      </w:r>
      <w:r w:rsidRPr="005A0CF4">
        <w:rPr>
          <w:rFonts w:asciiTheme="majorHAnsi" w:hAnsiTheme="majorHAnsi" w:cs="Times New Roman"/>
          <w:sz w:val="20"/>
          <w:szCs w:val="20"/>
          <w:lang w:val="en-CA"/>
        </w:rPr>
        <w:lastRenderedPageBreak/>
        <w:t xml:space="preserve">thank to Department of Chemical Engineering, </w:t>
      </w:r>
      <w:proofErr w:type="spellStart"/>
      <w:r w:rsidRPr="005A0CF4">
        <w:rPr>
          <w:rFonts w:asciiTheme="majorHAnsi" w:hAnsiTheme="majorHAnsi" w:cs="Times New Roman"/>
          <w:sz w:val="20"/>
          <w:szCs w:val="20"/>
          <w:lang w:val="en-CA"/>
        </w:rPr>
        <w:t>Diponegoro</w:t>
      </w:r>
      <w:proofErr w:type="spellEnd"/>
      <w:r w:rsidRPr="005A0CF4">
        <w:rPr>
          <w:rFonts w:asciiTheme="majorHAnsi" w:hAnsiTheme="majorHAnsi" w:cs="Times New Roman"/>
          <w:sz w:val="20"/>
          <w:szCs w:val="20"/>
          <w:lang w:val="en-CA"/>
        </w:rPr>
        <w:t xml:space="preserve"> University for the supporting laboratory and facilities.</w:t>
      </w:r>
    </w:p>
    <w:p w14:paraId="055883EB" w14:textId="77777777" w:rsidR="00796576" w:rsidRPr="005A0CF4" w:rsidRDefault="00796576" w:rsidP="005A0CF4">
      <w:pPr>
        <w:spacing w:after="0" w:line="240" w:lineRule="auto"/>
        <w:contextualSpacing/>
        <w:jc w:val="both"/>
        <w:rPr>
          <w:rFonts w:asciiTheme="majorHAnsi" w:hAnsiTheme="majorHAnsi" w:cs="Times New Roman"/>
          <w:sz w:val="20"/>
          <w:szCs w:val="20"/>
          <w:lang w:val="en-CA"/>
        </w:rPr>
      </w:pPr>
    </w:p>
    <w:p w14:paraId="4024E9F2" w14:textId="2FC98572" w:rsidR="00F3079F" w:rsidRDefault="00034DBD" w:rsidP="00F3079F">
      <w:pPr>
        <w:spacing w:after="0" w:line="240" w:lineRule="auto"/>
        <w:contextualSpacing/>
        <w:jc w:val="both"/>
        <w:rPr>
          <w:rFonts w:asciiTheme="majorHAnsi" w:eastAsia="MS PGothic" w:hAnsiTheme="majorHAnsi" w:cs="Times New Roman"/>
          <w:b/>
          <w:bCs/>
          <w:color w:val="000000"/>
          <w:sz w:val="20"/>
          <w:szCs w:val="20"/>
        </w:rPr>
      </w:pPr>
      <w:r w:rsidRPr="00A764EA">
        <w:rPr>
          <w:rFonts w:asciiTheme="majorHAnsi" w:eastAsia="MS PGothic" w:hAnsiTheme="majorHAnsi" w:cs="Times New Roman"/>
          <w:b/>
          <w:bCs/>
          <w:color w:val="000000"/>
          <w:sz w:val="20"/>
          <w:szCs w:val="20"/>
        </w:rPr>
        <w:t>References</w:t>
      </w:r>
    </w:p>
    <w:p w14:paraId="2C9CF3ED" w14:textId="77777777" w:rsidR="00796576" w:rsidRPr="00796576" w:rsidRDefault="00796576" w:rsidP="00796576">
      <w:pPr>
        <w:pStyle w:val="Bibliography"/>
        <w:rPr>
          <w:rFonts w:ascii="Cambria" w:hAnsi="Cambria"/>
          <w:sz w:val="20"/>
        </w:rPr>
      </w:pPr>
      <w:r>
        <w:rPr>
          <w:rFonts w:asciiTheme="majorHAnsi" w:eastAsia="MS PGothic" w:hAnsiTheme="majorHAnsi"/>
          <w:bCs/>
          <w:color w:val="000000"/>
          <w:sz w:val="20"/>
          <w:szCs w:val="20"/>
        </w:rPr>
        <w:fldChar w:fldCharType="begin"/>
      </w:r>
      <w:r>
        <w:rPr>
          <w:rFonts w:asciiTheme="majorHAnsi" w:eastAsia="MS PGothic" w:hAnsiTheme="majorHAnsi"/>
          <w:bCs/>
          <w:color w:val="000000"/>
          <w:sz w:val="20"/>
          <w:szCs w:val="20"/>
        </w:rPr>
        <w:instrText xml:space="preserve"> ADDIN ZOTERO_BIBL {"uncited":[],"omitted":[],"custom":[]} CSL_BIBLIOGRAPHY </w:instrText>
      </w:r>
      <w:r>
        <w:rPr>
          <w:rFonts w:asciiTheme="majorHAnsi" w:eastAsia="MS PGothic" w:hAnsiTheme="majorHAnsi"/>
          <w:bCs/>
          <w:color w:val="000000"/>
          <w:sz w:val="20"/>
          <w:szCs w:val="20"/>
        </w:rPr>
        <w:fldChar w:fldCharType="separate"/>
      </w:r>
      <w:r w:rsidRPr="00796576">
        <w:rPr>
          <w:rFonts w:ascii="Cambria" w:hAnsi="Cambria"/>
          <w:sz w:val="20"/>
        </w:rPr>
        <w:t>Ağtaş, M., Yılmaz, Ö., Dilaver, M., Alp, K., Koyuncu, İ., 2020. Hot water recovery and reuse in textile sector with pilot scale ceramic ultrafiltration/nanofiltration membrane system. Journal of Cleaner Production 256, 120359. https://doi.org/10.1016/j.jclepro.2020.120359</w:t>
      </w:r>
    </w:p>
    <w:p w14:paraId="1C46858B" w14:textId="77777777" w:rsidR="00796576" w:rsidRPr="00796576" w:rsidRDefault="00796576" w:rsidP="00796576">
      <w:pPr>
        <w:pStyle w:val="Bibliography"/>
        <w:rPr>
          <w:rFonts w:ascii="Cambria" w:hAnsi="Cambria"/>
          <w:sz w:val="20"/>
        </w:rPr>
      </w:pPr>
      <w:r w:rsidRPr="00796576">
        <w:rPr>
          <w:rFonts w:ascii="Cambria" w:hAnsi="Cambria"/>
          <w:sz w:val="20"/>
        </w:rPr>
        <w:t>Alpatova, A., Kim, E.-S., Sun, X., Hwang, G., Liu, Y., Gamal El-Din, M., 2013. Fabrication of porous polymeric nanocomposite membranes with enhanced anti-fouling properties: Effect of casting composition. Journal of Membrane Science 444, 449–460. https://doi.org/10.1016/j.memsci.2013.05.034</w:t>
      </w:r>
    </w:p>
    <w:p w14:paraId="587DF30C" w14:textId="77777777" w:rsidR="00796576" w:rsidRPr="00796576" w:rsidRDefault="00796576" w:rsidP="00796576">
      <w:pPr>
        <w:pStyle w:val="Bibliography"/>
        <w:rPr>
          <w:rFonts w:ascii="Cambria" w:hAnsi="Cambria"/>
          <w:sz w:val="20"/>
        </w:rPr>
      </w:pPr>
      <w:r w:rsidRPr="00796576">
        <w:rPr>
          <w:rFonts w:ascii="Cambria" w:hAnsi="Cambria"/>
          <w:sz w:val="20"/>
        </w:rPr>
        <w:t>Chai, P.V., Law, J.Y., Mahmoudi, E., Mohammad, A.W., 2020. Development of iron oxide decorated graphene oxide (Fe3O4/GO) PSf mixed-matrix membrane for enhanced antifouling behavior. Journal of Water Process Engineering 38, 101673. https://doi.org/10.1016/j.jwpe.2020.101673</w:t>
      </w:r>
    </w:p>
    <w:p w14:paraId="72E1ED1F" w14:textId="77777777" w:rsidR="00796576" w:rsidRPr="00796576" w:rsidRDefault="00796576" w:rsidP="00796576">
      <w:pPr>
        <w:pStyle w:val="Bibliography"/>
        <w:rPr>
          <w:rFonts w:ascii="Cambria" w:hAnsi="Cambria"/>
          <w:sz w:val="20"/>
        </w:rPr>
      </w:pPr>
      <w:r w:rsidRPr="00796576">
        <w:rPr>
          <w:rFonts w:ascii="Cambria" w:hAnsi="Cambria"/>
          <w:sz w:val="20"/>
        </w:rPr>
        <w:t>Dlamini, D.S., Mamba, B.B., Li, J., 2019. The role of nanoparticles in the performance of nano-enabled composite membranes – A critical scientific perspective. Science of the Total Environment 656, 723–731. https://doi.org/10.1016/j.scitotenv.2018.11.421</w:t>
      </w:r>
    </w:p>
    <w:p w14:paraId="6052AF54" w14:textId="77777777" w:rsidR="00796576" w:rsidRPr="00796576" w:rsidRDefault="00796576" w:rsidP="00796576">
      <w:pPr>
        <w:pStyle w:val="Bibliography"/>
        <w:rPr>
          <w:rFonts w:ascii="Cambria" w:hAnsi="Cambria"/>
          <w:sz w:val="20"/>
        </w:rPr>
      </w:pPr>
      <w:r w:rsidRPr="00796576">
        <w:rPr>
          <w:rFonts w:ascii="Cambria" w:hAnsi="Cambria"/>
          <w:sz w:val="20"/>
        </w:rPr>
        <w:t>Du, J., Li, N., Tian, Y., Zhang, J., Zuo, W., 2020. Preparation of PVDF membrane blended with graphene oxide-zinc sulfide (GO-ZnS) nanocomposite for improving the anti-fouling property. Journal of Photochemistry and Photobiology A: Chemistry 400. https://doi.org/10.1016/j.jphotochem.2020.112694</w:t>
      </w:r>
    </w:p>
    <w:p w14:paraId="5F1D0719" w14:textId="77777777" w:rsidR="00796576" w:rsidRPr="00796576" w:rsidRDefault="00796576" w:rsidP="00796576">
      <w:pPr>
        <w:pStyle w:val="Bibliography"/>
        <w:rPr>
          <w:rFonts w:ascii="Cambria" w:hAnsi="Cambria"/>
          <w:sz w:val="20"/>
        </w:rPr>
      </w:pPr>
      <w:r w:rsidRPr="00796576">
        <w:rPr>
          <w:rFonts w:ascii="Cambria" w:hAnsi="Cambria"/>
          <w:sz w:val="20"/>
        </w:rPr>
        <w:t>Ganesh, B.M., Isloor, A.M., Ismail, A.F., 2013. Enhanced hydrophilicity and salt rejection study of graphene oxide-polysulfone mixed matrix membrane. Desalination 313, 199–207. https://doi.org/10.1016/j.desal.2012.11.037</w:t>
      </w:r>
    </w:p>
    <w:p w14:paraId="77A64543" w14:textId="77777777" w:rsidR="00796576" w:rsidRPr="00796576" w:rsidRDefault="00796576" w:rsidP="00796576">
      <w:pPr>
        <w:pStyle w:val="Bibliography"/>
        <w:rPr>
          <w:rFonts w:ascii="Cambria" w:hAnsi="Cambria"/>
          <w:sz w:val="20"/>
        </w:rPr>
      </w:pPr>
      <w:r w:rsidRPr="00796576">
        <w:rPr>
          <w:rFonts w:ascii="Cambria" w:hAnsi="Cambria"/>
          <w:sz w:val="20"/>
        </w:rPr>
        <w:t>Hassanzadeh, E., Farhadian, M., Razmjou, A., Askari, N., 2017. An efficient wastewater treatment approach for a real woolen textile industry using a chemical assisted NF membrane process. Environmental Nanotechnology, Monitoring &amp; Management 8, 92–96. https://doi.org/10.1016/j.enmm.2017.06.001</w:t>
      </w:r>
    </w:p>
    <w:p w14:paraId="40BC0CDB" w14:textId="77777777" w:rsidR="00796576" w:rsidRPr="00796576" w:rsidRDefault="00796576" w:rsidP="00796576">
      <w:pPr>
        <w:pStyle w:val="Bibliography"/>
        <w:rPr>
          <w:rFonts w:ascii="Cambria" w:hAnsi="Cambria"/>
          <w:sz w:val="20"/>
        </w:rPr>
      </w:pPr>
      <w:r w:rsidRPr="00796576">
        <w:rPr>
          <w:rFonts w:ascii="Cambria" w:hAnsi="Cambria"/>
          <w:sz w:val="20"/>
        </w:rPr>
        <w:t>Kusumawati, N., Rahmadyanti, E., Sianita, M.M., 2021. Batik became two sides of blade for the sustainable development in Indonesia, in: Green Chemistry and Water Remediation: Research and Applications. Elsevier, pp. 59–97. https://doi.org/10.1016/B978-0-12-817742-6.00003-7</w:t>
      </w:r>
    </w:p>
    <w:p w14:paraId="09460E98" w14:textId="77777777" w:rsidR="00796576" w:rsidRPr="00796576" w:rsidRDefault="00796576" w:rsidP="00796576">
      <w:pPr>
        <w:pStyle w:val="Bibliography"/>
        <w:rPr>
          <w:rFonts w:ascii="Cambria" w:hAnsi="Cambria"/>
          <w:sz w:val="20"/>
        </w:rPr>
      </w:pPr>
      <w:r w:rsidRPr="00796576">
        <w:rPr>
          <w:rFonts w:ascii="Cambria" w:hAnsi="Cambria"/>
          <w:sz w:val="20"/>
        </w:rPr>
        <w:t xml:space="preserve">Kusworo, T.D., Ariyanti, N., Utomo, D.P., 2020. Effect of nano-TiO2 loading in polysulfone membranes on the removal of pollutant following natural-rubber wastewater treatment. Journal of Water Process </w:t>
      </w:r>
      <w:r w:rsidRPr="00796576">
        <w:rPr>
          <w:rFonts w:ascii="Cambria" w:hAnsi="Cambria"/>
          <w:sz w:val="20"/>
        </w:rPr>
        <w:t>Engineering 35, 101190. https://doi.org/10.1016/j.jwpe.2020.101190</w:t>
      </w:r>
    </w:p>
    <w:p w14:paraId="5FAA994F" w14:textId="63864E10" w:rsidR="00796576" w:rsidRPr="00796576" w:rsidRDefault="00796576" w:rsidP="00796576">
      <w:pPr>
        <w:pStyle w:val="Bibliography"/>
        <w:rPr>
          <w:rFonts w:ascii="Cambria" w:hAnsi="Cambria"/>
          <w:sz w:val="20"/>
        </w:rPr>
      </w:pPr>
      <w:r w:rsidRPr="00796576">
        <w:rPr>
          <w:rFonts w:ascii="Cambria" w:hAnsi="Cambria"/>
          <w:sz w:val="20"/>
        </w:rPr>
        <w:t>Kusworo, T.D., Aryanti, N., Dalanta, F., 2021</w:t>
      </w:r>
      <w:r>
        <w:rPr>
          <w:rFonts w:ascii="Cambria" w:hAnsi="Cambria"/>
          <w:sz w:val="20"/>
        </w:rPr>
        <w:t>a</w:t>
      </w:r>
      <w:r w:rsidRPr="00796576">
        <w:rPr>
          <w:rFonts w:ascii="Cambria" w:hAnsi="Cambria"/>
          <w:sz w:val="20"/>
        </w:rPr>
        <w:t>. Effects of incorporating ZnO on characteristic, performance, and antifouling potential of PSf membrane for PRW treatment. IOP Conference Series: Materials Science and Engineering 1053, 012134. https://doi.org/10.1088/1757-899x/1053/1/012134</w:t>
      </w:r>
    </w:p>
    <w:p w14:paraId="2EC85F77" w14:textId="4010E74D" w:rsidR="00796576" w:rsidRPr="00796576" w:rsidRDefault="00796576" w:rsidP="00796576">
      <w:pPr>
        <w:pStyle w:val="Bibliography"/>
        <w:rPr>
          <w:rFonts w:ascii="Cambria" w:hAnsi="Cambria"/>
          <w:sz w:val="20"/>
        </w:rPr>
      </w:pPr>
      <w:r w:rsidRPr="00796576">
        <w:rPr>
          <w:rFonts w:ascii="Cambria" w:hAnsi="Cambria"/>
          <w:sz w:val="20"/>
        </w:rPr>
        <w:t>Kusworo, T</w:t>
      </w:r>
      <w:r>
        <w:rPr>
          <w:rFonts w:ascii="Cambria" w:hAnsi="Cambria"/>
          <w:sz w:val="20"/>
        </w:rPr>
        <w:t>.D.</w:t>
      </w:r>
      <w:r w:rsidRPr="00796576">
        <w:rPr>
          <w:rFonts w:ascii="Cambria" w:hAnsi="Cambria"/>
          <w:sz w:val="20"/>
        </w:rPr>
        <w:t>, Dalanta, F., Aryanti, N., Othman, N.H., 2021</w:t>
      </w:r>
      <w:r>
        <w:rPr>
          <w:rFonts w:ascii="Cambria" w:hAnsi="Cambria"/>
          <w:sz w:val="20"/>
        </w:rPr>
        <w:t>b</w:t>
      </w:r>
      <w:r w:rsidRPr="00796576">
        <w:rPr>
          <w:rFonts w:ascii="Cambria" w:hAnsi="Cambria"/>
          <w:sz w:val="20"/>
        </w:rPr>
        <w:t>. Intensifying separation and antifouling performance of PSf membrane incorporated by GO and ZnO nanoparticles for petroleum refinery wastewater treatment. Journal of Water Process Engineering 41, 102030. https://doi.org/10.1016/j.jwpe.2021.102030</w:t>
      </w:r>
    </w:p>
    <w:p w14:paraId="5803240F" w14:textId="77777777" w:rsidR="00796576" w:rsidRPr="00796576" w:rsidRDefault="00796576" w:rsidP="00796576">
      <w:pPr>
        <w:pStyle w:val="Bibliography"/>
        <w:rPr>
          <w:rFonts w:ascii="Cambria" w:hAnsi="Cambria"/>
          <w:sz w:val="20"/>
        </w:rPr>
      </w:pPr>
      <w:r w:rsidRPr="00796576">
        <w:rPr>
          <w:rFonts w:ascii="Cambria" w:hAnsi="Cambria"/>
          <w:sz w:val="20"/>
        </w:rPr>
        <w:t>Kusworo, T.D., Utomo, D.P., Aryanti, N., Qudratun, 2017. Synergistic effect of UV irradiation and thermal annealing to develop high performance polyethersulfone-nano silica membrane for produced water treatment. Journal of Environmental Chemical Engineering 5, 3290–3301. https://doi.org/10.1016/j.jece.2017.06.035</w:t>
      </w:r>
    </w:p>
    <w:p w14:paraId="0B8B2666" w14:textId="77777777" w:rsidR="00796576" w:rsidRPr="00796576" w:rsidRDefault="00796576" w:rsidP="00796576">
      <w:pPr>
        <w:pStyle w:val="Bibliography"/>
        <w:rPr>
          <w:rFonts w:ascii="Cambria" w:hAnsi="Cambria"/>
          <w:sz w:val="20"/>
        </w:rPr>
      </w:pPr>
      <w:r w:rsidRPr="00796576">
        <w:rPr>
          <w:rFonts w:ascii="Cambria" w:hAnsi="Cambria"/>
          <w:sz w:val="20"/>
        </w:rPr>
        <w:t>Lemos, H.G., Ragio, R.A., Conceição, A.C.S., Venancio, E.C., Mierzwa, J.C., Subtil, E.L., 2021. Assessment of mixed matrix membranes (MMMs) incorporated with graphene oxide (GO) for co-treatment of wastewater and landfill leachate (LFL) in a membrane bioreactor (MBR). Chemical Engineering Journal 425, 131772. https://doi.org/10.1016/j.cej.2021.131772</w:t>
      </w:r>
    </w:p>
    <w:p w14:paraId="744CCD73" w14:textId="77777777" w:rsidR="00796576" w:rsidRPr="00796576" w:rsidRDefault="00796576" w:rsidP="00796576">
      <w:pPr>
        <w:pStyle w:val="Bibliography"/>
        <w:rPr>
          <w:rFonts w:ascii="Cambria" w:hAnsi="Cambria"/>
          <w:sz w:val="20"/>
        </w:rPr>
      </w:pPr>
      <w:r w:rsidRPr="00796576">
        <w:rPr>
          <w:rFonts w:ascii="Cambria" w:hAnsi="Cambria"/>
          <w:sz w:val="20"/>
        </w:rPr>
        <w:t>Liang, S., Xiao, K., Mo, Y., Huang, X., 2012. A novel ZnO nanoparticle blended polyvinylidene fluoride membrane for anti-irreversible fouling. Journal of Membrane Science 394–395, 184–192. https://doi.org/10.1016/j.memsci.2011.12.040</w:t>
      </w:r>
    </w:p>
    <w:p w14:paraId="4172B009" w14:textId="77777777" w:rsidR="00796576" w:rsidRPr="00796576" w:rsidRDefault="00796576" w:rsidP="00796576">
      <w:pPr>
        <w:pStyle w:val="Bibliography"/>
        <w:rPr>
          <w:rFonts w:ascii="Cambria" w:hAnsi="Cambria"/>
          <w:sz w:val="20"/>
        </w:rPr>
      </w:pPr>
      <w:r w:rsidRPr="00796576">
        <w:rPr>
          <w:rFonts w:ascii="Cambria" w:hAnsi="Cambria"/>
          <w:sz w:val="20"/>
        </w:rPr>
        <w:t>Mahlangu, O.T., Nackaerts, R., Thwala, J.M., Mamba, B.B., Verliefde, A.R.D., 2017. Hydrophilic fouling-resistant GO-ZnO/PES membranes for wastewater reclamation. Journal of Membrane Science 524, 43–55. https://doi.org/10.1016/j.memsci.2016.11.018</w:t>
      </w:r>
    </w:p>
    <w:p w14:paraId="67D81B77" w14:textId="77777777" w:rsidR="00796576" w:rsidRPr="00796576" w:rsidRDefault="00796576" w:rsidP="00796576">
      <w:pPr>
        <w:pStyle w:val="Bibliography"/>
        <w:rPr>
          <w:rFonts w:ascii="Cambria" w:hAnsi="Cambria"/>
          <w:sz w:val="20"/>
        </w:rPr>
      </w:pPr>
      <w:r w:rsidRPr="00796576">
        <w:rPr>
          <w:rFonts w:ascii="Cambria" w:hAnsi="Cambria"/>
          <w:sz w:val="20"/>
        </w:rPr>
        <w:t>Mahmoudi, E., Ng, L.Y., Ang, W.L., Chung, Y.T., Rohani, R., Mohammad, A.W., 2019. Enhancing Morphology and Separation Performance of Polyamide 6,6 Membranes By Minimal Incorporation of Silver Decorated Graphene Oxide Nanoparticles. Scientific Reports 9, 1216. https://doi.org/10.1038/s41598-018-38060-x</w:t>
      </w:r>
    </w:p>
    <w:p w14:paraId="68A28808" w14:textId="77777777" w:rsidR="00796576" w:rsidRPr="00796576" w:rsidRDefault="00796576" w:rsidP="00796576">
      <w:pPr>
        <w:pStyle w:val="Bibliography"/>
        <w:rPr>
          <w:rFonts w:ascii="Cambria" w:hAnsi="Cambria"/>
          <w:sz w:val="20"/>
        </w:rPr>
      </w:pPr>
      <w:r w:rsidRPr="00796576">
        <w:rPr>
          <w:rFonts w:ascii="Cambria" w:hAnsi="Cambria"/>
          <w:sz w:val="20"/>
        </w:rPr>
        <w:t>Mamah, S.C., Goh, P.S., Ismail, A.F., Suzaimi, N.D., Yogarathinam, L.T., Raji, Y.O., El-badawy, T.H., 2021. Recent development in modification of polysulfone membrane for water treatment application. Journal of Water Process Engineering 40. https://doi.org/10.1016/j.jwpe.2020.101835</w:t>
      </w:r>
    </w:p>
    <w:p w14:paraId="3E499903" w14:textId="77777777" w:rsidR="00796576" w:rsidRPr="00796576" w:rsidRDefault="00796576" w:rsidP="00796576">
      <w:pPr>
        <w:pStyle w:val="Bibliography"/>
        <w:rPr>
          <w:rFonts w:ascii="Cambria" w:hAnsi="Cambria"/>
          <w:sz w:val="20"/>
        </w:rPr>
      </w:pPr>
      <w:r w:rsidRPr="00796576">
        <w:rPr>
          <w:rFonts w:ascii="Cambria" w:hAnsi="Cambria"/>
          <w:sz w:val="20"/>
        </w:rPr>
        <w:t xml:space="preserve">Miao, A., Wei, M., Xu, F., Wang, Y., 2020. Influence of membrane hydrophilicity on water permeability: An experimental study bridging simulations. </w:t>
      </w:r>
      <w:r w:rsidRPr="00796576">
        <w:rPr>
          <w:rFonts w:ascii="Cambria" w:hAnsi="Cambria"/>
          <w:sz w:val="20"/>
        </w:rPr>
        <w:lastRenderedPageBreak/>
        <w:t>Journal of Membrane Science 604, 118087. https://doi.org/10.1016/j.memsci.2020.118087</w:t>
      </w:r>
    </w:p>
    <w:p w14:paraId="287FD677" w14:textId="77777777" w:rsidR="00796576" w:rsidRPr="00796576" w:rsidRDefault="00796576" w:rsidP="00796576">
      <w:pPr>
        <w:pStyle w:val="Bibliography"/>
        <w:rPr>
          <w:rFonts w:ascii="Cambria" w:hAnsi="Cambria"/>
          <w:sz w:val="20"/>
        </w:rPr>
      </w:pPr>
      <w:r w:rsidRPr="00796576">
        <w:rPr>
          <w:rFonts w:ascii="Cambria" w:hAnsi="Cambria"/>
          <w:sz w:val="20"/>
        </w:rPr>
        <w:t>Nguyen, T.-T., Kook, S., Lee, C., Field, R.W., Kim, I.S., 2019. Critical flux-based membrane fouling control of forward osmosis: Behavior, sustainability, and reversibility. Journal of Membrane Science 570–571, 380–393. https://doi.org/10.1016/j.memsci.2018.10.062</w:t>
      </w:r>
    </w:p>
    <w:p w14:paraId="4B536CEB" w14:textId="77777777" w:rsidR="00796576" w:rsidRPr="00796576" w:rsidRDefault="00796576" w:rsidP="00796576">
      <w:pPr>
        <w:pStyle w:val="Bibliography"/>
        <w:rPr>
          <w:rFonts w:ascii="Cambria" w:hAnsi="Cambria"/>
          <w:sz w:val="20"/>
        </w:rPr>
      </w:pPr>
      <w:r w:rsidRPr="00796576">
        <w:rPr>
          <w:rFonts w:ascii="Cambria" w:hAnsi="Cambria"/>
          <w:sz w:val="20"/>
        </w:rPr>
        <w:t>Ningaraju, S., Jagadish, K., Srikantaswamy, S., Gnana Prakash, A.P., Ravikumar, H.B., 2019. Synthesis of graphite oxide nanoparticles and conductivity studies of PSF/GO and PSAN/GO polymer nanocomposites. Materials Science and Engineering: B 246, 62–75. https://doi.org/10.1016/j.mseb.2019.06.002</w:t>
      </w:r>
    </w:p>
    <w:p w14:paraId="5A865D78" w14:textId="77777777" w:rsidR="00796576" w:rsidRPr="00796576" w:rsidRDefault="00796576" w:rsidP="00796576">
      <w:pPr>
        <w:pStyle w:val="Bibliography"/>
        <w:rPr>
          <w:rFonts w:ascii="Cambria" w:hAnsi="Cambria"/>
          <w:sz w:val="20"/>
        </w:rPr>
      </w:pPr>
      <w:r w:rsidRPr="00796576">
        <w:rPr>
          <w:rFonts w:ascii="Cambria" w:hAnsi="Cambria"/>
          <w:sz w:val="20"/>
        </w:rPr>
        <w:t>Pouresmaeel-Selkjani, P., Jahanshahi, M., Peyravi, M., 2017. Mechanical, thermal, and morphological properties of nanoporous reinforced polysulfone membranes. High Performance Polymers 29, 759–771. https://doi.org/10.1177/0954008316656742</w:t>
      </w:r>
    </w:p>
    <w:p w14:paraId="6FBCA639" w14:textId="77777777" w:rsidR="00796576" w:rsidRPr="00796576" w:rsidRDefault="00796576" w:rsidP="00796576">
      <w:pPr>
        <w:pStyle w:val="Bibliography"/>
        <w:rPr>
          <w:rFonts w:ascii="Cambria" w:hAnsi="Cambria"/>
          <w:sz w:val="20"/>
        </w:rPr>
      </w:pPr>
      <w:r w:rsidRPr="00796576">
        <w:rPr>
          <w:rFonts w:ascii="Cambria" w:hAnsi="Cambria"/>
          <w:sz w:val="20"/>
        </w:rPr>
        <w:t>Pujiastuti, L., 2015. Diakui Dunia, Ekspor Batik RI Meningkat Setiap Tahun [WWW Document]. Detik Finance. URL https://finance.detik.com/berita-ekonomi-bisnis/d-3034083/diakui-dunia-ekspor-batik-ri-meningkat-setiap-tahun (accessed 11.10.21).</w:t>
      </w:r>
    </w:p>
    <w:p w14:paraId="3341CC8C" w14:textId="77777777" w:rsidR="00796576" w:rsidRPr="00796576" w:rsidRDefault="00796576" w:rsidP="00796576">
      <w:pPr>
        <w:pStyle w:val="Bibliography"/>
        <w:rPr>
          <w:rFonts w:ascii="Cambria" w:hAnsi="Cambria"/>
          <w:sz w:val="20"/>
        </w:rPr>
      </w:pPr>
      <w:r w:rsidRPr="00796576">
        <w:rPr>
          <w:rFonts w:ascii="Cambria" w:hAnsi="Cambria"/>
          <w:sz w:val="20"/>
        </w:rPr>
        <w:t>Qamar, M.A., Shahid, S., Javed, M., Iqbal, S., Sher, M., Bahadur, A., AL-Anazy, M.M., Laref, A., Li, D., 2021. Designing of highly active g-C3N4/Ni-ZnO photocatalyst nanocomposite for the disinfection and degradation of the organic dye under sunlight radiations. Colloids and Surfaces A: Physicochemical and Engineering Aspects 614, 126176. https://doi.org/10.1016/j.colsurfa.2021.126176</w:t>
      </w:r>
    </w:p>
    <w:p w14:paraId="7E50E9CD" w14:textId="77777777" w:rsidR="00796576" w:rsidRPr="00796576" w:rsidRDefault="00796576" w:rsidP="00796576">
      <w:pPr>
        <w:pStyle w:val="Bibliography"/>
        <w:rPr>
          <w:rFonts w:ascii="Cambria" w:hAnsi="Cambria"/>
          <w:sz w:val="20"/>
        </w:rPr>
      </w:pPr>
      <w:r w:rsidRPr="00796576">
        <w:rPr>
          <w:rFonts w:ascii="Cambria" w:hAnsi="Cambria"/>
          <w:sz w:val="20"/>
        </w:rPr>
        <w:t>Shi, Y., Huang, J., Zeng, G., Cheng, W., Hu, J., 2019. Photocatalytic membrane in water purification: is it stepping closer to be driven by visible light? Journal of Membrane Science 584, 364–392. https://doi.org/10.1016/j.memsci.2019.04.078</w:t>
      </w:r>
    </w:p>
    <w:p w14:paraId="0126609A" w14:textId="77777777" w:rsidR="00796576" w:rsidRPr="00796576" w:rsidRDefault="00796576" w:rsidP="00796576">
      <w:pPr>
        <w:pStyle w:val="Bibliography"/>
        <w:rPr>
          <w:rFonts w:ascii="Cambria" w:hAnsi="Cambria"/>
          <w:sz w:val="20"/>
        </w:rPr>
      </w:pPr>
      <w:r w:rsidRPr="00796576">
        <w:rPr>
          <w:rFonts w:ascii="Cambria" w:hAnsi="Cambria"/>
          <w:sz w:val="20"/>
        </w:rPr>
        <w:t>Sulaksono, A., Effendi, H., Kurniawan, B., 2015. Kajian Beban Pencemaran Limbah Cair Industri Kecil Menegah (IKM) Batik Klaster Trusmi Kabupaten Cirebon. Junal Pengelolaan Sumberdaya Alam dan Lingkungan 5, 17–24.</w:t>
      </w:r>
    </w:p>
    <w:p w14:paraId="3854A2A0" w14:textId="77777777" w:rsidR="00796576" w:rsidRPr="00796576" w:rsidRDefault="00796576" w:rsidP="00796576">
      <w:pPr>
        <w:pStyle w:val="Bibliography"/>
        <w:rPr>
          <w:rFonts w:ascii="Cambria" w:hAnsi="Cambria"/>
          <w:sz w:val="20"/>
        </w:rPr>
      </w:pPr>
      <w:r w:rsidRPr="00796576">
        <w:rPr>
          <w:rFonts w:ascii="Cambria" w:hAnsi="Cambria"/>
          <w:sz w:val="20"/>
        </w:rPr>
        <w:t>Triyati, E., 1985. SPEKTROFOTOMETER ULTRA-VIOLET DAN SINAR TAMPAK SERTA APLIKASINYA DALAM OSEANOLOGI 9.</w:t>
      </w:r>
    </w:p>
    <w:p w14:paraId="21EFB430" w14:textId="77777777" w:rsidR="00796576" w:rsidRPr="00796576" w:rsidRDefault="00796576" w:rsidP="00796576">
      <w:pPr>
        <w:pStyle w:val="Bibliography"/>
        <w:rPr>
          <w:rFonts w:ascii="Cambria" w:hAnsi="Cambria"/>
          <w:sz w:val="20"/>
        </w:rPr>
      </w:pPr>
      <w:r w:rsidRPr="00796576">
        <w:rPr>
          <w:rFonts w:ascii="Cambria" w:hAnsi="Cambria"/>
          <w:sz w:val="20"/>
        </w:rPr>
        <w:t>Wang, Q., Yang, C., Zhang, G., Hu, L., Wang, P., 2017. Photocatalytic Fe-doped TiO2/PSF composite UF membranes: Characterization and performance on BPA removal under visible-light irradiation. Chemical Engineering Journal 319, 39–47. https://doi.org/10.1016/j.cej.2017.02.145</w:t>
      </w:r>
    </w:p>
    <w:p w14:paraId="03E04F23" w14:textId="77777777" w:rsidR="00796576" w:rsidRPr="00796576" w:rsidRDefault="00796576" w:rsidP="00796576">
      <w:pPr>
        <w:pStyle w:val="Bibliography"/>
        <w:rPr>
          <w:rFonts w:ascii="Cambria" w:hAnsi="Cambria"/>
          <w:sz w:val="20"/>
        </w:rPr>
      </w:pPr>
      <w:r w:rsidRPr="00796576">
        <w:rPr>
          <w:rFonts w:ascii="Cambria" w:hAnsi="Cambria"/>
          <w:sz w:val="20"/>
        </w:rPr>
        <w:t xml:space="preserve">Younas, H., Zhou, Y., Li, Xiaogang, Li, Xue, Sun, Q., Cui, Z., Wang, Z., 2019. Fabrication of high flux and fouling resistant membrane: A unique hydrophilic blend of </w:t>
      </w:r>
      <w:r w:rsidRPr="00796576">
        <w:rPr>
          <w:rFonts w:ascii="Cambria" w:hAnsi="Cambria"/>
          <w:sz w:val="20"/>
        </w:rPr>
        <w:t>polyvinylidene fluoride/polyethylene glycol/polymethyl methacrylate. Polymer 179, 121593. https://doi.org/10.1016/j.polymer.2019.121593</w:t>
      </w:r>
    </w:p>
    <w:p w14:paraId="7FAB5E5B" w14:textId="26EB6F38" w:rsidR="006F7896" w:rsidRPr="00B55884" w:rsidRDefault="00796576" w:rsidP="00796576">
      <w:pPr>
        <w:spacing w:after="0" w:line="240" w:lineRule="auto"/>
        <w:contextualSpacing/>
        <w:jc w:val="both"/>
        <w:rPr>
          <w:rFonts w:asciiTheme="majorHAnsi" w:eastAsia="MS PGothic" w:hAnsiTheme="majorHAnsi" w:cs="Times New Roman"/>
          <w:bCs/>
          <w:color w:val="000000"/>
          <w:sz w:val="20"/>
          <w:szCs w:val="20"/>
        </w:rPr>
      </w:pPr>
      <w:r>
        <w:rPr>
          <w:rFonts w:asciiTheme="majorHAnsi" w:eastAsia="MS PGothic" w:hAnsiTheme="majorHAnsi" w:cs="Times New Roman"/>
          <w:bCs/>
          <w:color w:val="000000"/>
          <w:sz w:val="20"/>
          <w:szCs w:val="20"/>
        </w:rPr>
        <w:fldChar w:fldCharType="end"/>
      </w:r>
    </w:p>
    <w:sectPr w:rsidR="006F7896" w:rsidRPr="00B55884" w:rsidSect="006F7896">
      <w:type w:val="continuous"/>
      <w:pgSz w:w="12240" w:h="15840"/>
      <w:pgMar w:top="1152" w:right="864" w:bottom="1152" w:left="86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4427F" w14:textId="77777777" w:rsidR="00B40FB6" w:rsidRDefault="00B40FB6" w:rsidP="00390E2A">
      <w:pPr>
        <w:spacing w:after="0" w:line="240" w:lineRule="auto"/>
      </w:pPr>
      <w:r>
        <w:separator/>
      </w:r>
    </w:p>
  </w:endnote>
  <w:endnote w:type="continuationSeparator" w:id="0">
    <w:p w14:paraId="5DA4C8E5" w14:textId="77777777" w:rsidR="00B40FB6" w:rsidRDefault="00B40FB6" w:rsidP="00390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142496"/>
      <w:docPartObj>
        <w:docPartGallery w:val="Page Numbers (Bottom of Page)"/>
        <w:docPartUnique/>
      </w:docPartObj>
    </w:sdtPr>
    <w:sdtEndPr>
      <w:rPr>
        <w:noProof/>
      </w:rPr>
    </w:sdtEndPr>
    <w:sdtContent>
      <w:p w14:paraId="2233C1EF" w14:textId="77777777" w:rsidR="00D7466C" w:rsidRDefault="00D7466C">
        <w:pPr>
          <w:pStyle w:val="Footer"/>
          <w:jc w:val="right"/>
        </w:pPr>
        <w:r>
          <w:fldChar w:fldCharType="begin"/>
        </w:r>
        <w:r w:rsidRPr="003D180F">
          <w:instrText xml:space="preserve"> PAGE   \* MERGEFORMAT </w:instrText>
        </w:r>
        <w:r>
          <w:fldChar w:fldCharType="separate"/>
        </w:r>
        <w:r>
          <w:rPr>
            <w:noProof/>
          </w:rPr>
          <w:t>7</w:t>
        </w:r>
        <w:r>
          <w:fldChar w:fldCharType="end"/>
        </w:r>
      </w:p>
    </w:sdtContent>
  </w:sdt>
  <w:p w14:paraId="36A3BD2D" w14:textId="77777777" w:rsidR="00D7466C" w:rsidRPr="00390E2A" w:rsidRDefault="00D7466C" w:rsidP="00F718D5">
    <w:pPr>
      <w:pStyle w:val="Footer"/>
      <w:jc w:val="center"/>
      <w:rPr>
        <w:rFonts w:asciiTheme="majorHAnsi" w:hAnsiTheme="majorHAnsi"/>
        <w:sz w:val="20"/>
        <w:szCs w:val="20"/>
      </w:rPr>
    </w:pPr>
    <w:r>
      <w:rPr>
        <w:rFonts w:asciiTheme="majorHAnsi" w:hAnsiTheme="majorHAnsi"/>
        <w:sz w:val="20"/>
        <w:szCs w:val="20"/>
      </w:rPr>
      <w:t xml:space="preserve">Waste Technology, Vol. </w:t>
    </w:r>
    <w:r>
      <w:rPr>
        <w:rFonts w:asciiTheme="majorHAnsi" w:hAnsiTheme="majorHAnsi"/>
        <w:sz w:val="20"/>
        <w:szCs w:val="20"/>
        <w:lang w:val="id-ID"/>
      </w:rPr>
      <w:t>10</w:t>
    </w:r>
    <w:r>
      <w:rPr>
        <w:rFonts w:asciiTheme="majorHAnsi" w:hAnsiTheme="majorHAnsi"/>
        <w:sz w:val="20"/>
        <w:szCs w:val="20"/>
      </w:rPr>
      <w:t>(</w:t>
    </w:r>
    <w:r>
      <w:rPr>
        <w:rFonts w:asciiTheme="majorHAnsi" w:hAnsiTheme="majorHAnsi"/>
        <w:sz w:val="20"/>
        <w:szCs w:val="20"/>
        <w:lang w:val="id-ID"/>
      </w:rPr>
      <w:t>1</w:t>
    </w:r>
    <w:r w:rsidRPr="00390E2A">
      <w:rPr>
        <w:rFonts w:asciiTheme="majorHAnsi" w:hAnsiTheme="majorHAnsi"/>
        <w:sz w:val="20"/>
        <w:szCs w:val="20"/>
      </w:rPr>
      <w:t>)</w:t>
    </w:r>
    <w:r>
      <w:rPr>
        <w:rFonts w:asciiTheme="majorHAnsi" w:hAnsiTheme="majorHAnsi"/>
        <w:sz w:val="20"/>
        <w:szCs w:val="20"/>
      </w:rPr>
      <w:t>, April 202</w:t>
    </w:r>
    <w:r>
      <w:rPr>
        <w:rFonts w:asciiTheme="majorHAnsi" w:hAnsiTheme="majorHAnsi"/>
        <w:sz w:val="20"/>
        <w:szCs w:val="20"/>
        <w:lang w:val="id-ID"/>
      </w:rPr>
      <w:t>2</w:t>
    </w:r>
    <w:r w:rsidRPr="00390E2A">
      <w:rPr>
        <w:rFonts w:asciiTheme="majorHAnsi" w:hAnsiTheme="majorHAnsi"/>
        <w:sz w:val="20"/>
        <w:szCs w:val="20"/>
      </w:rPr>
      <w:t xml:space="preserve"> – </w:t>
    </w:r>
    <w:proofErr w:type="gramStart"/>
    <w:r w:rsidRPr="00390E2A">
      <w:rPr>
        <w:rFonts w:asciiTheme="majorHAnsi" w:hAnsiTheme="majorHAnsi"/>
        <w:sz w:val="20"/>
        <w:szCs w:val="20"/>
      </w:rPr>
      <w:t>ISSN :</w:t>
    </w:r>
    <w:proofErr w:type="gramEnd"/>
    <w:r w:rsidRPr="00390E2A">
      <w:rPr>
        <w:rFonts w:asciiTheme="majorHAnsi" w:hAnsiTheme="majorHAnsi"/>
        <w:sz w:val="20"/>
        <w:szCs w:val="20"/>
      </w:rPr>
      <w:t xml:space="preserve"> 2338-6207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9FFF9" w14:textId="77777777" w:rsidR="00B40FB6" w:rsidRDefault="00B40FB6" w:rsidP="00390E2A">
      <w:pPr>
        <w:spacing w:after="0" w:line="240" w:lineRule="auto"/>
      </w:pPr>
      <w:r>
        <w:separator/>
      </w:r>
    </w:p>
  </w:footnote>
  <w:footnote w:type="continuationSeparator" w:id="0">
    <w:p w14:paraId="528AFC4F" w14:textId="77777777" w:rsidR="00B40FB6" w:rsidRDefault="00B40FB6" w:rsidP="00390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3204" w14:textId="77777777" w:rsidR="00D7466C" w:rsidRPr="00427D97" w:rsidRDefault="00D7466C">
    <w:pPr>
      <w:pStyle w:val="Header"/>
      <w:rPr>
        <w:rFonts w:asciiTheme="majorHAnsi" w:hAnsiTheme="majorHAnsi"/>
        <w:i/>
        <w:sz w:val="16"/>
        <w:szCs w:val="16"/>
      </w:rPr>
    </w:pPr>
    <w:r w:rsidRPr="00F075D9">
      <w:rPr>
        <w:rFonts w:asciiTheme="majorHAnsi" w:hAnsiTheme="majorHAnsi"/>
        <w:i/>
        <w:sz w:val="16"/>
        <w:szCs w:val="16"/>
      </w:rPr>
      <w:t xml:space="preserve">Waste Tech. Vol. </w:t>
    </w:r>
    <w:r>
      <w:rPr>
        <w:rFonts w:asciiTheme="majorHAnsi" w:hAnsiTheme="majorHAnsi"/>
        <w:i/>
        <w:sz w:val="16"/>
        <w:szCs w:val="16"/>
        <w:lang w:val="id-ID"/>
      </w:rPr>
      <w:t>10</w:t>
    </w:r>
    <w:r>
      <w:rPr>
        <w:rFonts w:asciiTheme="majorHAnsi" w:hAnsiTheme="majorHAnsi"/>
        <w:i/>
        <w:sz w:val="16"/>
        <w:szCs w:val="16"/>
      </w:rPr>
      <w:t>(</w:t>
    </w:r>
    <w:proofErr w:type="gramStart"/>
    <w:r>
      <w:rPr>
        <w:rFonts w:asciiTheme="majorHAnsi" w:hAnsiTheme="majorHAnsi"/>
        <w:i/>
        <w:sz w:val="16"/>
        <w:szCs w:val="16"/>
        <w:lang w:val="id-ID"/>
      </w:rPr>
      <w:t>1</w:t>
    </w:r>
    <w:r w:rsidRPr="00F075D9">
      <w:rPr>
        <w:rFonts w:asciiTheme="majorHAnsi" w:hAnsiTheme="majorHAnsi"/>
        <w:i/>
        <w:sz w:val="16"/>
        <w:szCs w:val="16"/>
      </w:rPr>
      <w:t>)202</w:t>
    </w:r>
    <w:r>
      <w:rPr>
        <w:rFonts w:asciiTheme="majorHAnsi" w:hAnsiTheme="majorHAnsi"/>
        <w:i/>
        <w:sz w:val="16"/>
        <w:szCs w:val="16"/>
        <w:lang w:val="id-ID"/>
      </w:rPr>
      <w:t>2</w:t>
    </w:r>
    <w:r w:rsidRPr="00F075D9">
      <w:rPr>
        <w:rFonts w:asciiTheme="majorHAnsi" w:hAnsiTheme="majorHAnsi"/>
        <w:i/>
        <w:sz w:val="16"/>
        <w:szCs w:val="16"/>
      </w:rPr>
      <w:t>:</w:t>
    </w:r>
    <w:r>
      <w:rPr>
        <w:rFonts w:asciiTheme="majorHAnsi" w:hAnsiTheme="majorHAnsi"/>
        <w:i/>
        <w:sz w:val="16"/>
        <w:szCs w:val="16"/>
      </w:rPr>
      <w:t>7</w:t>
    </w:r>
    <w:proofErr w:type="gramEnd"/>
    <w:r>
      <w:rPr>
        <w:rFonts w:asciiTheme="majorHAnsi" w:hAnsiTheme="majorHAnsi"/>
        <w:i/>
        <w:sz w:val="16"/>
        <w:szCs w:val="16"/>
      </w:rPr>
      <w:t>-16</w:t>
    </w:r>
    <w:r w:rsidRPr="00F075D9">
      <w:rPr>
        <w:rFonts w:asciiTheme="majorHAnsi" w:hAnsiTheme="majorHAnsi"/>
        <w:i/>
        <w:sz w:val="16"/>
        <w:szCs w:val="16"/>
      </w:rPr>
      <w:t xml:space="preserve">, </w:t>
    </w:r>
    <w:proofErr w:type="spellStart"/>
    <w:r>
      <w:rPr>
        <w:rFonts w:asciiTheme="majorHAnsi" w:hAnsiTheme="majorHAnsi"/>
        <w:i/>
        <w:sz w:val="16"/>
        <w:szCs w:val="16"/>
      </w:rPr>
      <w:t>Mustari</w:t>
    </w:r>
    <w:proofErr w:type="spellEnd"/>
    <w:r>
      <w:rPr>
        <w:rFonts w:asciiTheme="majorHAnsi" w:hAnsiTheme="majorHAnsi"/>
        <w:i/>
        <w:sz w:val="16"/>
        <w:szCs w:val="16"/>
      </w:rPr>
      <w:t xml:space="preserve"> </w:t>
    </w:r>
    <w:proofErr w:type="spellStart"/>
    <w:r>
      <w:rPr>
        <w:rFonts w:asciiTheme="majorHAnsi" w:hAnsiTheme="majorHAnsi"/>
        <w:i/>
        <w:sz w:val="16"/>
        <w:szCs w:val="16"/>
      </w:rPr>
      <w:t>Khanaum</w:t>
    </w:r>
    <w:proofErr w:type="spellEnd"/>
    <w:r>
      <w:rPr>
        <w:rFonts w:asciiTheme="majorHAnsi" w:hAnsiTheme="majorHAnsi"/>
        <w:i/>
        <w:sz w:val="16"/>
        <w:szCs w:val="16"/>
      </w:rPr>
      <w:t xml:space="preserve">, M. and Borhan, M.S.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2731A1"/>
    <w:multiLevelType w:val="hybridMultilevel"/>
    <w:tmpl w:val="6EB0BA1E"/>
    <w:lvl w:ilvl="0" w:tplc="6D6C2E48">
      <w:start w:val="1"/>
      <w:numFmt w:val="decimal"/>
      <w:lvlText w:val="%1."/>
      <w:lvlJc w:val="left"/>
      <w:pPr>
        <w:ind w:left="1212"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 w15:restartNumberingAfterBreak="0">
    <w:nsid w:val="094010E0"/>
    <w:multiLevelType w:val="hybridMultilevel"/>
    <w:tmpl w:val="63447F6A"/>
    <w:lvl w:ilvl="0" w:tplc="EBA00768">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0FAA2DCD"/>
    <w:multiLevelType w:val="hybridMultilevel"/>
    <w:tmpl w:val="9BBAC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85807"/>
    <w:multiLevelType w:val="hybridMultilevel"/>
    <w:tmpl w:val="D2B02FD2"/>
    <w:lvl w:ilvl="0" w:tplc="6D6C2E4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104B4EFC"/>
    <w:multiLevelType w:val="hybridMultilevel"/>
    <w:tmpl w:val="C5EED22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15:restartNumberingAfterBreak="0">
    <w:nsid w:val="15B749AA"/>
    <w:multiLevelType w:val="hybridMultilevel"/>
    <w:tmpl w:val="6204C3D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 w15:restartNumberingAfterBreak="0">
    <w:nsid w:val="15FA452C"/>
    <w:multiLevelType w:val="hybridMultilevel"/>
    <w:tmpl w:val="3C923F4A"/>
    <w:lvl w:ilvl="0" w:tplc="3CACE1C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8C1CC8"/>
    <w:multiLevelType w:val="hybridMultilevel"/>
    <w:tmpl w:val="DE46DDF6"/>
    <w:lvl w:ilvl="0" w:tplc="95B4C54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15:restartNumberingAfterBreak="0">
    <w:nsid w:val="31AC45F6"/>
    <w:multiLevelType w:val="hybridMultilevel"/>
    <w:tmpl w:val="3FCCE926"/>
    <w:lvl w:ilvl="0" w:tplc="92646D5E">
      <w:start w:val="1"/>
      <w:numFmt w:val="decimal"/>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43734D87"/>
    <w:multiLevelType w:val="hybridMultilevel"/>
    <w:tmpl w:val="F7CC016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 w15:restartNumberingAfterBreak="0">
    <w:nsid w:val="504D5687"/>
    <w:multiLevelType w:val="hybridMultilevel"/>
    <w:tmpl w:val="A6D4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DC48AC"/>
    <w:multiLevelType w:val="hybridMultilevel"/>
    <w:tmpl w:val="3C923F4A"/>
    <w:lvl w:ilvl="0" w:tplc="3CACE1C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56689B"/>
    <w:multiLevelType w:val="hybridMultilevel"/>
    <w:tmpl w:val="9A067F38"/>
    <w:lvl w:ilvl="0" w:tplc="6D6C2E4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5FF32817"/>
    <w:multiLevelType w:val="hybridMultilevel"/>
    <w:tmpl w:val="4B3EE1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901E91"/>
    <w:multiLevelType w:val="hybridMultilevel"/>
    <w:tmpl w:val="D5C2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A872EB"/>
    <w:multiLevelType w:val="hybridMultilevel"/>
    <w:tmpl w:val="4614F3E8"/>
    <w:lvl w:ilvl="0" w:tplc="92646D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48929078">
    <w:abstractNumId w:val="12"/>
  </w:num>
  <w:num w:numId="2" w16cid:durableId="1848858994">
    <w:abstractNumId w:val="7"/>
  </w:num>
  <w:num w:numId="3" w16cid:durableId="690496114">
    <w:abstractNumId w:val="6"/>
  </w:num>
  <w:num w:numId="4" w16cid:durableId="1787656419">
    <w:abstractNumId w:val="4"/>
  </w:num>
  <w:num w:numId="5" w16cid:durableId="1384911269">
    <w:abstractNumId w:val="1"/>
  </w:num>
  <w:num w:numId="6" w16cid:durableId="1326319014">
    <w:abstractNumId w:val="13"/>
  </w:num>
  <w:num w:numId="7" w16cid:durableId="1021514660">
    <w:abstractNumId w:val="11"/>
  </w:num>
  <w:num w:numId="8" w16cid:durableId="298538935">
    <w:abstractNumId w:val="15"/>
  </w:num>
  <w:num w:numId="9" w16cid:durableId="512383331">
    <w:abstractNumId w:val="10"/>
  </w:num>
  <w:num w:numId="10" w16cid:durableId="1138914174">
    <w:abstractNumId w:val="8"/>
  </w:num>
  <w:num w:numId="11" w16cid:durableId="946351507">
    <w:abstractNumId w:val="14"/>
  </w:num>
  <w:num w:numId="12" w16cid:durableId="1877623745">
    <w:abstractNumId w:val="16"/>
  </w:num>
  <w:num w:numId="13" w16cid:durableId="1636639376">
    <w:abstractNumId w:val="9"/>
  </w:num>
  <w:num w:numId="14" w16cid:durableId="736362990">
    <w:abstractNumId w:val="2"/>
  </w:num>
  <w:num w:numId="15" w16cid:durableId="1206213722">
    <w:abstractNumId w:val="3"/>
  </w:num>
  <w:num w:numId="16" w16cid:durableId="1537349631">
    <w:abstractNumId w:val="0"/>
  </w:num>
  <w:num w:numId="17" w16cid:durableId="8452858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86D"/>
    <w:rsid w:val="00003BC7"/>
    <w:rsid w:val="0000709F"/>
    <w:rsid w:val="000078E2"/>
    <w:rsid w:val="00010C50"/>
    <w:rsid w:val="0001179A"/>
    <w:rsid w:val="00012BD0"/>
    <w:rsid w:val="00013AA5"/>
    <w:rsid w:val="000152C1"/>
    <w:rsid w:val="0002436A"/>
    <w:rsid w:val="0002495B"/>
    <w:rsid w:val="00034045"/>
    <w:rsid w:val="00034DBD"/>
    <w:rsid w:val="000377AC"/>
    <w:rsid w:val="00041EC4"/>
    <w:rsid w:val="00042606"/>
    <w:rsid w:val="000436DC"/>
    <w:rsid w:val="00043DEB"/>
    <w:rsid w:val="0004500D"/>
    <w:rsid w:val="0005001A"/>
    <w:rsid w:val="00060CE6"/>
    <w:rsid w:val="00062980"/>
    <w:rsid w:val="000673A4"/>
    <w:rsid w:val="0007299C"/>
    <w:rsid w:val="00074767"/>
    <w:rsid w:val="000762B0"/>
    <w:rsid w:val="0008023F"/>
    <w:rsid w:val="000825C2"/>
    <w:rsid w:val="000841C7"/>
    <w:rsid w:val="000850CA"/>
    <w:rsid w:val="000851BE"/>
    <w:rsid w:val="0008555E"/>
    <w:rsid w:val="00090CDF"/>
    <w:rsid w:val="00092F97"/>
    <w:rsid w:val="00095595"/>
    <w:rsid w:val="00096FF0"/>
    <w:rsid w:val="000A106C"/>
    <w:rsid w:val="000A3263"/>
    <w:rsid w:val="000C1DAB"/>
    <w:rsid w:val="000C249A"/>
    <w:rsid w:val="000C3111"/>
    <w:rsid w:val="000C4C18"/>
    <w:rsid w:val="000C4F36"/>
    <w:rsid w:val="000D107B"/>
    <w:rsid w:val="000E3C4D"/>
    <w:rsid w:val="000F19EB"/>
    <w:rsid w:val="000F3B57"/>
    <w:rsid w:val="000F47F4"/>
    <w:rsid w:val="000F4BF5"/>
    <w:rsid w:val="000F58CB"/>
    <w:rsid w:val="000F5B4A"/>
    <w:rsid w:val="000F7AC5"/>
    <w:rsid w:val="00103EC1"/>
    <w:rsid w:val="001042F6"/>
    <w:rsid w:val="00104D96"/>
    <w:rsid w:val="00110037"/>
    <w:rsid w:val="001118EA"/>
    <w:rsid w:val="0011391F"/>
    <w:rsid w:val="00117A0D"/>
    <w:rsid w:val="00123620"/>
    <w:rsid w:val="0012528B"/>
    <w:rsid w:val="00125A07"/>
    <w:rsid w:val="00130F11"/>
    <w:rsid w:val="00134F61"/>
    <w:rsid w:val="00140501"/>
    <w:rsid w:val="001427AE"/>
    <w:rsid w:val="0014313D"/>
    <w:rsid w:val="0014477C"/>
    <w:rsid w:val="00144A30"/>
    <w:rsid w:val="001456FF"/>
    <w:rsid w:val="0014619C"/>
    <w:rsid w:val="00147601"/>
    <w:rsid w:val="0015163C"/>
    <w:rsid w:val="00154F68"/>
    <w:rsid w:val="00155ADC"/>
    <w:rsid w:val="00157839"/>
    <w:rsid w:val="00157A1C"/>
    <w:rsid w:val="00160255"/>
    <w:rsid w:val="001606E1"/>
    <w:rsid w:val="0016230D"/>
    <w:rsid w:val="001721AB"/>
    <w:rsid w:val="00173103"/>
    <w:rsid w:val="00173E8B"/>
    <w:rsid w:val="001749D0"/>
    <w:rsid w:val="00177E97"/>
    <w:rsid w:val="00177F40"/>
    <w:rsid w:val="00180ED0"/>
    <w:rsid w:val="00181638"/>
    <w:rsid w:val="00183CEF"/>
    <w:rsid w:val="0018422D"/>
    <w:rsid w:val="00187E76"/>
    <w:rsid w:val="0019414C"/>
    <w:rsid w:val="00195B1C"/>
    <w:rsid w:val="00195C54"/>
    <w:rsid w:val="001B2D02"/>
    <w:rsid w:val="001B3A78"/>
    <w:rsid w:val="001B4C29"/>
    <w:rsid w:val="001B5B82"/>
    <w:rsid w:val="001C1045"/>
    <w:rsid w:val="001C4347"/>
    <w:rsid w:val="001C50FE"/>
    <w:rsid w:val="001C7DF2"/>
    <w:rsid w:val="001E1A04"/>
    <w:rsid w:val="001E6D82"/>
    <w:rsid w:val="001F0418"/>
    <w:rsid w:val="001F2B60"/>
    <w:rsid w:val="001F2DF7"/>
    <w:rsid w:val="001F2F7E"/>
    <w:rsid w:val="001F2FF2"/>
    <w:rsid w:val="001F6227"/>
    <w:rsid w:val="001F6B5B"/>
    <w:rsid w:val="00201021"/>
    <w:rsid w:val="00203B84"/>
    <w:rsid w:val="00205154"/>
    <w:rsid w:val="00206142"/>
    <w:rsid w:val="00211D7D"/>
    <w:rsid w:val="00216294"/>
    <w:rsid w:val="0022487E"/>
    <w:rsid w:val="00226AB7"/>
    <w:rsid w:val="002315DB"/>
    <w:rsid w:val="002324FF"/>
    <w:rsid w:val="00234E2E"/>
    <w:rsid w:val="00242655"/>
    <w:rsid w:val="0025197C"/>
    <w:rsid w:val="0025529D"/>
    <w:rsid w:val="00260B9D"/>
    <w:rsid w:val="00264F41"/>
    <w:rsid w:val="0026627E"/>
    <w:rsid w:val="00266654"/>
    <w:rsid w:val="00267F7A"/>
    <w:rsid w:val="002744C5"/>
    <w:rsid w:val="00281426"/>
    <w:rsid w:val="0028509B"/>
    <w:rsid w:val="002A294E"/>
    <w:rsid w:val="002A3403"/>
    <w:rsid w:val="002A3C9D"/>
    <w:rsid w:val="002A508C"/>
    <w:rsid w:val="002A7090"/>
    <w:rsid w:val="002B00A2"/>
    <w:rsid w:val="002B0DE3"/>
    <w:rsid w:val="002B5457"/>
    <w:rsid w:val="002C2D8F"/>
    <w:rsid w:val="002C4012"/>
    <w:rsid w:val="002D053F"/>
    <w:rsid w:val="002D2DAB"/>
    <w:rsid w:val="002D3BB9"/>
    <w:rsid w:val="002D407A"/>
    <w:rsid w:val="002D7F30"/>
    <w:rsid w:val="002E2C3B"/>
    <w:rsid w:val="002E3A3D"/>
    <w:rsid w:val="002E3B84"/>
    <w:rsid w:val="002E4E1B"/>
    <w:rsid w:val="002F313C"/>
    <w:rsid w:val="002F5981"/>
    <w:rsid w:val="002F59EA"/>
    <w:rsid w:val="002F6B50"/>
    <w:rsid w:val="003005F6"/>
    <w:rsid w:val="00313401"/>
    <w:rsid w:val="00313DA4"/>
    <w:rsid w:val="00316A32"/>
    <w:rsid w:val="00325E7A"/>
    <w:rsid w:val="0032771C"/>
    <w:rsid w:val="00335CBC"/>
    <w:rsid w:val="00341379"/>
    <w:rsid w:val="00355813"/>
    <w:rsid w:val="00361FD6"/>
    <w:rsid w:val="003627E0"/>
    <w:rsid w:val="00362C2E"/>
    <w:rsid w:val="00367A46"/>
    <w:rsid w:val="00367D7C"/>
    <w:rsid w:val="003702E1"/>
    <w:rsid w:val="00372F3F"/>
    <w:rsid w:val="003749E3"/>
    <w:rsid w:val="003764AD"/>
    <w:rsid w:val="00385D41"/>
    <w:rsid w:val="00387BB4"/>
    <w:rsid w:val="00387F72"/>
    <w:rsid w:val="00390E2A"/>
    <w:rsid w:val="00391252"/>
    <w:rsid w:val="0039270C"/>
    <w:rsid w:val="00395939"/>
    <w:rsid w:val="00395ABD"/>
    <w:rsid w:val="003974CA"/>
    <w:rsid w:val="003A56CE"/>
    <w:rsid w:val="003A6336"/>
    <w:rsid w:val="003A7FA4"/>
    <w:rsid w:val="003B5325"/>
    <w:rsid w:val="003B5B4A"/>
    <w:rsid w:val="003C3517"/>
    <w:rsid w:val="003D180F"/>
    <w:rsid w:val="003D4D3C"/>
    <w:rsid w:val="003F0E0A"/>
    <w:rsid w:val="003F5BE4"/>
    <w:rsid w:val="004000D1"/>
    <w:rsid w:val="00400EA6"/>
    <w:rsid w:val="0040175B"/>
    <w:rsid w:val="00404E57"/>
    <w:rsid w:val="004127CD"/>
    <w:rsid w:val="00413865"/>
    <w:rsid w:val="00422D7D"/>
    <w:rsid w:val="004238E3"/>
    <w:rsid w:val="00427D97"/>
    <w:rsid w:val="00430B78"/>
    <w:rsid w:val="00432B81"/>
    <w:rsid w:val="00432C53"/>
    <w:rsid w:val="00434611"/>
    <w:rsid w:val="00436BE6"/>
    <w:rsid w:val="004377AA"/>
    <w:rsid w:val="00443AAC"/>
    <w:rsid w:val="00451DA9"/>
    <w:rsid w:val="00452713"/>
    <w:rsid w:val="00454BF5"/>
    <w:rsid w:val="004550BB"/>
    <w:rsid w:val="00457936"/>
    <w:rsid w:val="00461223"/>
    <w:rsid w:val="004723A9"/>
    <w:rsid w:val="00472A99"/>
    <w:rsid w:val="00473498"/>
    <w:rsid w:val="00475A05"/>
    <w:rsid w:val="00481177"/>
    <w:rsid w:val="00482054"/>
    <w:rsid w:val="00482933"/>
    <w:rsid w:val="00482ECE"/>
    <w:rsid w:val="0048604F"/>
    <w:rsid w:val="00491BCC"/>
    <w:rsid w:val="0049215A"/>
    <w:rsid w:val="004A413C"/>
    <w:rsid w:val="004A6811"/>
    <w:rsid w:val="004B194A"/>
    <w:rsid w:val="004B1D83"/>
    <w:rsid w:val="004B2565"/>
    <w:rsid w:val="004B4356"/>
    <w:rsid w:val="004B46EC"/>
    <w:rsid w:val="004B7684"/>
    <w:rsid w:val="004C0CB3"/>
    <w:rsid w:val="004C14D2"/>
    <w:rsid w:val="004C43FB"/>
    <w:rsid w:val="004D1A89"/>
    <w:rsid w:val="004D38C3"/>
    <w:rsid w:val="004D576E"/>
    <w:rsid w:val="004E453C"/>
    <w:rsid w:val="004F26E6"/>
    <w:rsid w:val="004F31B2"/>
    <w:rsid w:val="004F71A9"/>
    <w:rsid w:val="004F73F3"/>
    <w:rsid w:val="00500AF0"/>
    <w:rsid w:val="00505556"/>
    <w:rsid w:val="00510096"/>
    <w:rsid w:val="00511436"/>
    <w:rsid w:val="00521B59"/>
    <w:rsid w:val="0052236D"/>
    <w:rsid w:val="00523B42"/>
    <w:rsid w:val="00524470"/>
    <w:rsid w:val="00524CE2"/>
    <w:rsid w:val="00525E7E"/>
    <w:rsid w:val="00535753"/>
    <w:rsid w:val="00543C10"/>
    <w:rsid w:val="00545562"/>
    <w:rsid w:val="005522A2"/>
    <w:rsid w:val="00553A84"/>
    <w:rsid w:val="00555ED1"/>
    <w:rsid w:val="0056692B"/>
    <w:rsid w:val="00566DBC"/>
    <w:rsid w:val="005670AF"/>
    <w:rsid w:val="00567400"/>
    <w:rsid w:val="005712EB"/>
    <w:rsid w:val="00575025"/>
    <w:rsid w:val="00575965"/>
    <w:rsid w:val="0058024F"/>
    <w:rsid w:val="005849FE"/>
    <w:rsid w:val="00585B23"/>
    <w:rsid w:val="0059161B"/>
    <w:rsid w:val="00596798"/>
    <w:rsid w:val="005A082E"/>
    <w:rsid w:val="005A0CF4"/>
    <w:rsid w:val="005A14CF"/>
    <w:rsid w:val="005A576C"/>
    <w:rsid w:val="005A5E82"/>
    <w:rsid w:val="005A63B7"/>
    <w:rsid w:val="005A6950"/>
    <w:rsid w:val="005B2BD3"/>
    <w:rsid w:val="005B4136"/>
    <w:rsid w:val="005B4442"/>
    <w:rsid w:val="005B5BA3"/>
    <w:rsid w:val="005B6261"/>
    <w:rsid w:val="005B7DBC"/>
    <w:rsid w:val="005D3231"/>
    <w:rsid w:val="005D4439"/>
    <w:rsid w:val="005E0E73"/>
    <w:rsid w:val="005E1B35"/>
    <w:rsid w:val="005E1EE3"/>
    <w:rsid w:val="005E2CE1"/>
    <w:rsid w:val="005E4B16"/>
    <w:rsid w:val="005E5EC4"/>
    <w:rsid w:val="005F18F3"/>
    <w:rsid w:val="005F1DB9"/>
    <w:rsid w:val="005F28E1"/>
    <w:rsid w:val="005F4909"/>
    <w:rsid w:val="005F5857"/>
    <w:rsid w:val="005F5F89"/>
    <w:rsid w:val="006031CB"/>
    <w:rsid w:val="006047BB"/>
    <w:rsid w:val="00605232"/>
    <w:rsid w:val="0061519D"/>
    <w:rsid w:val="00616A73"/>
    <w:rsid w:val="0062159D"/>
    <w:rsid w:val="00621E96"/>
    <w:rsid w:val="00622B4E"/>
    <w:rsid w:val="006255A9"/>
    <w:rsid w:val="00632A56"/>
    <w:rsid w:val="006372BE"/>
    <w:rsid w:val="00641F11"/>
    <w:rsid w:val="00642980"/>
    <w:rsid w:val="00642D13"/>
    <w:rsid w:val="00642DA0"/>
    <w:rsid w:val="00643F74"/>
    <w:rsid w:val="00645DDD"/>
    <w:rsid w:val="0064677F"/>
    <w:rsid w:val="006473BA"/>
    <w:rsid w:val="00663918"/>
    <w:rsid w:val="0066765A"/>
    <w:rsid w:val="00667EB4"/>
    <w:rsid w:val="00670815"/>
    <w:rsid w:val="00672C69"/>
    <w:rsid w:val="00673432"/>
    <w:rsid w:val="00673798"/>
    <w:rsid w:val="00674444"/>
    <w:rsid w:val="006817C1"/>
    <w:rsid w:val="0068699A"/>
    <w:rsid w:val="006874E0"/>
    <w:rsid w:val="0069296D"/>
    <w:rsid w:val="0069529F"/>
    <w:rsid w:val="006964FB"/>
    <w:rsid w:val="006972DE"/>
    <w:rsid w:val="00697DC9"/>
    <w:rsid w:val="006A004E"/>
    <w:rsid w:val="006A07F5"/>
    <w:rsid w:val="006A6399"/>
    <w:rsid w:val="006A75E7"/>
    <w:rsid w:val="006B0558"/>
    <w:rsid w:val="006B07D9"/>
    <w:rsid w:val="006C5B2D"/>
    <w:rsid w:val="006D0244"/>
    <w:rsid w:val="006D22CE"/>
    <w:rsid w:val="006E4F23"/>
    <w:rsid w:val="006E54E5"/>
    <w:rsid w:val="006F243A"/>
    <w:rsid w:val="006F7896"/>
    <w:rsid w:val="007122C3"/>
    <w:rsid w:val="007126A3"/>
    <w:rsid w:val="00712A70"/>
    <w:rsid w:val="00714382"/>
    <w:rsid w:val="00715548"/>
    <w:rsid w:val="00716921"/>
    <w:rsid w:val="00716DC4"/>
    <w:rsid w:val="00716FB5"/>
    <w:rsid w:val="00722966"/>
    <w:rsid w:val="007239B7"/>
    <w:rsid w:val="00732FCD"/>
    <w:rsid w:val="0073534E"/>
    <w:rsid w:val="0073554C"/>
    <w:rsid w:val="00740FA8"/>
    <w:rsid w:val="00741F28"/>
    <w:rsid w:val="00741F2B"/>
    <w:rsid w:val="00747F5E"/>
    <w:rsid w:val="007620E4"/>
    <w:rsid w:val="00763F29"/>
    <w:rsid w:val="00772D2B"/>
    <w:rsid w:val="007839F7"/>
    <w:rsid w:val="00791012"/>
    <w:rsid w:val="00793299"/>
    <w:rsid w:val="00796162"/>
    <w:rsid w:val="00796576"/>
    <w:rsid w:val="007A1F62"/>
    <w:rsid w:val="007B0A17"/>
    <w:rsid w:val="007B17D2"/>
    <w:rsid w:val="007B2428"/>
    <w:rsid w:val="007B3354"/>
    <w:rsid w:val="007C2A0D"/>
    <w:rsid w:val="007C40E0"/>
    <w:rsid w:val="007C467A"/>
    <w:rsid w:val="007C6F00"/>
    <w:rsid w:val="007C73F0"/>
    <w:rsid w:val="007C761A"/>
    <w:rsid w:val="007C7A8C"/>
    <w:rsid w:val="007D0153"/>
    <w:rsid w:val="007D05B6"/>
    <w:rsid w:val="007D2AD6"/>
    <w:rsid w:val="007E0312"/>
    <w:rsid w:val="007E4055"/>
    <w:rsid w:val="007E5861"/>
    <w:rsid w:val="007E65F6"/>
    <w:rsid w:val="007F23E3"/>
    <w:rsid w:val="007F2B3C"/>
    <w:rsid w:val="007F704E"/>
    <w:rsid w:val="00802C58"/>
    <w:rsid w:val="00803266"/>
    <w:rsid w:val="00803F12"/>
    <w:rsid w:val="0080591D"/>
    <w:rsid w:val="00813535"/>
    <w:rsid w:val="008137CC"/>
    <w:rsid w:val="00815116"/>
    <w:rsid w:val="00816943"/>
    <w:rsid w:val="00816EF3"/>
    <w:rsid w:val="00821DC0"/>
    <w:rsid w:val="0082286E"/>
    <w:rsid w:val="008248AC"/>
    <w:rsid w:val="00825319"/>
    <w:rsid w:val="00834E98"/>
    <w:rsid w:val="00835F49"/>
    <w:rsid w:val="0083750D"/>
    <w:rsid w:val="00843AAE"/>
    <w:rsid w:val="008500CE"/>
    <w:rsid w:val="008539D5"/>
    <w:rsid w:val="00855B64"/>
    <w:rsid w:val="00856D7A"/>
    <w:rsid w:val="00861969"/>
    <w:rsid w:val="008630C0"/>
    <w:rsid w:val="00863261"/>
    <w:rsid w:val="00863685"/>
    <w:rsid w:val="00867A4F"/>
    <w:rsid w:val="008721A9"/>
    <w:rsid w:val="00873224"/>
    <w:rsid w:val="0087344F"/>
    <w:rsid w:val="00873550"/>
    <w:rsid w:val="008741E8"/>
    <w:rsid w:val="008758D0"/>
    <w:rsid w:val="00876D4F"/>
    <w:rsid w:val="008773E8"/>
    <w:rsid w:val="00877A2E"/>
    <w:rsid w:val="008805CF"/>
    <w:rsid w:val="00883DA4"/>
    <w:rsid w:val="00884ECE"/>
    <w:rsid w:val="00887300"/>
    <w:rsid w:val="00887979"/>
    <w:rsid w:val="00890402"/>
    <w:rsid w:val="008939B5"/>
    <w:rsid w:val="008A4365"/>
    <w:rsid w:val="008A44CA"/>
    <w:rsid w:val="008A4F3F"/>
    <w:rsid w:val="008A6173"/>
    <w:rsid w:val="008B70CA"/>
    <w:rsid w:val="008C6073"/>
    <w:rsid w:val="008D1D07"/>
    <w:rsid w:val="008D5143"/>
    <w:rsid w:val="008D70F9"/>
    <w:rsid w:val="008E2A54"/>
    <w:rsid w:val="008E2F51"/>
    <w:rsid w:val="008E46D0"/>
    <w:rsid w:val="008E4C60"/>
    <w:rsid w:val="008E5114"/>
    <w:rsid w:val="008E5B59"/>
    <w:rsid w:val="008F70D6"/>
    <w:rsid w:val="008F7C0D"/>
    <w:rsid w:val="008F7C9E"/>
    <w:rsid w:val="00901164"/>
    <w:rsid w:val="00903224"/>
    <w:rsid w:val="00914D00"/>
    <w:rsid w:val="00914F70"/>
    <w:rsid w:val="00920B82"/>
    <w:rsid w:val="00921A24"/>
    <w:rsid w:val="0092252B"/>
    <w:rsid w:val="009236B4"/>
    <w:rsid w:val="00924AA3"/>
    <w:rsid w:val="00924BCB"/>
    <w:rsid w:val="009276AD"/>
    <w:rsid w:val="00927818"/>
    <w:rsid w:val="0093315A"/>
    <w:rsid w:val="009350BD"/>
    <w:rsid w:val="00942F4B"/>
    <w:rsid w:val="0094388B"/>
    <w:rsid w:val="00945DD4"/>
    <w:rsid w:val="009540C3"/>
    <w:rsid w:val="00954362"/>
    <w:rsid w:val="0095472E"/>
    <w:rsid w:val="00955E37"/>
    <w:rsid w:val="00966DBC"/>
    <w:rsid w:val="00974BF3"/>
    <w:rsid w:val="0098064E"/>
    <w:rsid w:val="0098197C"/>
    <w:rsid w:val="009829D2"/>
    <w:rsid w:val="0099106D"/>
    <w:rsid w:val="009925B0"/>
    <w:rsid w:val="0099372F"/>
    <w:rsid w:val="009970B5"/>
    <w:rsid w:val="009971E3"/>
    <w:rsid w:val="009A2D18"/>
    <w:rsid w:val="009B0E44"/>
    <w:rsid w:val="009B5B0C"/>
    <w:rsid w:val="009C3CC7"/>
    <w:rsid w:val="009C436C"/>
    <w:rsid w:val="009C54EE"/>
    <w:rsid w:val="009D05C1"/>
    <w:rsid w:val="009D222B"/>
    <w:rsid w:val="009D27F3"/>
    <w:rsid w:val="009D2DD3"/>
    <w:rsid w:val="009D6D8E"/>
    <w:rsid w:val="009E1065"/>
    <w:rsid w:val="009E2B75"/>
    <w:rsid w:val="009E4B6F"/>
    <w:rsid w:val="009E6C21"/>
    <w:rsid w:val="00A007B6"/>
    <w:rsid w:val="00A00CCA"/>
    <w:rsid w:val="00A01AD1"/>
    <w:rsid w:val="00A026EA"/>
    <w:rsid w:val="00A065FF"/>
    <w:rsid w:val="00A0688B"/>
    <w:rsid w:val="00A11ADB"/>
    <w:rsid w:val="00A14A95"/>
    <w:rsid w:val="00A20B53"/>
    <w:rsid w:val="00A23762"/>
    <w:rsid w:val="00A23CBD"/>
    <w:rsid w:val="00A3188A"/>
    <w:rsid w:val="00A35062"/>
    <w:rsid w:val="00A3622E"/>
    <w:rsid w:val="00A36427"/>
    <w:rsid w:val="00A41437"/>
    <w:rsid w:val="00A43425"/>
    <w:rsid w:val="00A47DDB"/>
    <w:rsid w:val="00A50A2F"/>
    <w:rsid w:val="00A5269A"/>
    <w:rsid w:val="00A53ACA"/>
    <w:rsid w:val="00A542D5"/>
    <w:rsid w:val="00A6029F"/>
    <w:rsid w:val="00A6038E"/>
    <w:rsid w:val="00A64283"/>
    <w:rsid w:val="00A66981"/>
    <w:rsid w:val="00A764EA"/>
    <w:rsid w:val="00A76C8F"/>
    <w:rsid w:val="00A80888"/>
    <w:rsid w:val="00A81C27"/>
    <w:rsid w:val="00A82465"/>
    <w:rsid w:val="00A83408"/>
    <w:rsid w:val="00A951C6"/>
    <w:rsid w:val="00A954D0"/>
    <w:rsid w:val="00A97A3E"/>
    <w:rsid w:val="00AA0B9C"/>
    <w:rsid w:val="00AA2F37"/>
    <w:rsid w:val="00AB0A18"/>
    <w:rsid w:val="00AB22E6"/>
    <w:rsid w:val="00AB3604"/>
    <w:rsid w:val="00AC19F7"/>
    <w:rsid w:val="00AD1541"/>
    <w:rsid w:val="00AD6105"/>
    <w:rsid w:val="00AE0C10"/>
    <w:rsid w:val="00AE621E"/>
    <w:rsid w:val="00AE7C72"/>
    <w:rsid w:val="00AF0A20"/>
    <w:rsid w:val="00AF2A99"/>
    <w:rsid w:val="00AF31B6"/>
    <w:rsid w:val="00B02BFE"/>
    <w:rsid w:val="00B04802"/>
    <w:rsid w:val="00B071FE"/>
    <w:rsid w:val="00B072CE"/>
    <w:rsid w:val="00B07CCE"/>
    <w:rsid w:val="00B125A8"/>
    <w:rsid w:val="00B16AE0"/>
    <w:rsid w:val="00B22F36"/>
    <w:rsid w:val="00B2509C"/>
    <w:rsid w:val="00B27D51"/>
    <w:rsid w:val="00B3187F"/>
    <w:rsid w:val="00B31B64"/>
    <w:rsid w:val="00B324BC"/>
    <w:rsid w:val="00B32C2A"/>
    <w:rsid w:val="00B33176"/>
    <w:rsid w:val="00B34163"/>
    <w:rsid w:val="00B370A6"/>
    <w:rsid w:val="00B40FB6"/>
    <w:rsid w:val="00B50AD3"/>
    <w:rsid w:val="00B525D0"/>
    <w:rsid w:val="00B54FB2"/>
    <w:rsid w:val="00B55884"/>
    <w:rsid w:val="00B56CB2"/>
    <w:rsid w:val="00B602E7"/>
    <w:rsid w:val="00B64AE1"/>
    <w:rsid w:val="00B6509E"/>
    <w:rsid w:val="00B709EB"/>
    <w:rsid w:val="00B72C20"/>
    <w:rsid w:val="00B82159"/>
    <w:rsid w:val="00B90FF9"/>
    <w:rsid w:val="00B94A59"/>
    <w:rsid w:val="00BA0027"/>
    <w:rsid w:val="00BA05E0"/>
    <w:rsid w:val="00BA09F3"/>
    <w:rsid w:val="00BA1917"/>
    <w:rsid w:val="00BA237C"/>
    <w:rsid w:val="00BA2DBF"/>
    <w:rsid w:val="00BA5226"/>
    <w:rsid w:val="00BA5630"/>
    <w:rsid w:val="00BA68ED"/>
    <w:rsid w:val="00BA731D"/>
    <w:rsid w:val="00BA7F9F"/>
    <w:rsid w:val="00BB17D8"/>
    <w:rsid w:val="00BB2C3D"/>
    <w:rsid w:val="00BB498A"/>
    <w:rsid w:val="00BB690C"/>
    <w:rsid w:val="00BC0691"/>
    <w:rsid w:val="00BC1825"/>
    <w:rsid w:val="00BC237F"/>
    <w:rsid w:val="00BC4845"/>
    <w:rsid w:val="00BC53E2"/>
    <w:rsid w:val="00BD5886"/>
    <w:rsid w:val="00BE2F80"/>
    <w:rsid w:val="00BE40EB"/>
    <w:rsid w:val="00BE5E1D"/>
    <w:rsid w:val="00BF1928"/>
    <w:rsid w:val="00BF3EDA"/>
    <w:rsid w:val="00BF481E"/>
    <w:rsid w:val="00BF6B31"/>
    <w:rsid w:val="00C0251B"/>
    <w:rsid w:val="00C0693B"/>
    <w:rsid w:val="00C06EA8"/>
    <w:rsid w:val="00C07620"/>
    <w:rsid w:val="00C078B3"/>
    <w:rsid w:val="00C11DB8"/>
    <w:rsid w:val="00C134A5"/>
    <w:rsid w:val="00C216AD"/>
    <w:rsid w:val="00C220C3"/>
    <w:rsid w:val="00C22254"/>
    <w:rsid w:val="00C2319D"/>
    <w:rsid w:val="00C27B42"/>
    <w:rsid w:val="00C32AEC"/>
    <w:rsid w:val="00C33631"/>
    <w:rsid w:val="00C35713"/>
    <w:rsid w:val="00C37A3C"/>
    <w:rsid w:val="00C45BF5"/>
    <w:rsid w:val="00C478E1"/>
    <w:rsid w:val="00C50979"/>
    <w:rsid w:val="00C512BE"/>
    <w:rsid w:val="00C525AA"/>
    <w:rsid w:val="00C54E78"/>
    <w:rsid w:val="00C5506D"/>
    <w:rsid w:val="00C559D0"/>
    <w:rsid w:val="00C65C84"/>
    <w:rsid w:val="00C662FA"/>
    <w:rsid w:val="00C66712"/>
    <w:rsid w:val="00C71AE1"/>
    <w:rsid w:val="00C730A0"/>
    <w:rsid w:val="00C758D2"/>
    <w:rsid w:val="00C77AC4"/>
    <w:rsid w:val="00C851FE"/>
    <w:rsid w:val="00C87862"/>
    <w:rsid w:val="00C90460"/>
    <w:rsid w:val="00C91C2F"/>
    <w:rsid w:val="00C958C8"/>
    <w:rsid w:val="00C97485"/>
    <w:rsid w:val="00C978ED"/>
    <w:rsid w:val="00CA1043"/>
    <w:rsid w:val="00CA1870"/>
    <w:rsid w:val="00CA4E5E"/>
    <w:rsid w:val="00CA5A0C"/>
    <w:rsid w:val="00CA5BD8"/>
    <w:rsid w:val="00CB153C"/>
    <w:rsid w:val="00CB2FE0"/>
    <w:rsid w:val="00CB5AD0"/>
    <w:rsid w:val="00CB73FE"/>
    <w:rsid w:val="00CC0831"/>
    <w:rsid w:val="00CC3F0D"/>
    <w:rsid w:val="00CC6A52"/>
    <w:rsid w:val="00CD3B9C"/>
    <w:rsid w:val="00CD7924"/>
    <w:rsid w:val="00CD7E91"/>
    <w:rsid w:val="00CE0082"/>
    <w:rsid w:val="00CE0973"/>
    <w:rsid w:val="00CE2CE9"/>
    <w:rsid w:val="00CE7359"/>
    <w:rsid w:val="00CF1398"/>
    <w:rsid w:val="00CF36D6"/>
    <w:rsid w:val="00CF475C"/>
    <w:rsid w:val="00CF6C71"/>
    <w:rsid w:val="00D00C86"/>
    <w:rsid w:val="00D02AB0"/>
    <w:rsid w:val="00D138A4"/>
    <w:rsid w:val="00D17DFA"/>
    <w:rsid w:val="00D20588"/>
    <w:rsid w:val="00D21FE1"/>
    <w:rsid w:val="00D23736"/>
    <w:rsid w:val="00D27407"/>
    <w:rsid w:val="00D2770B"/>
    <w:rsid w:val="00D279AD"/>
    <w:rsid w:val="00D27FC3"/>
    <w:rsid w:val="00D34797"/>
    <w:rsid w:val="00D35198"/>
    <w:rsid w:val="00D35C0B"/>
    <w:rsid w:val="00D37D85"/>
    <w:rsid w:val="00D537E6"/>
    <w:rsid w:val="00D55164"/>
    <w:rsid w:val="00D56FDA"/>
    <w:rsid w:val="00D60C83"/>
    <w:rsid w:val="00D614BA"/>
    <w:rsid w:val="00D623F0"/>
    <w:rsid w:val="00D65E57"/>
    <w:rsid w:val="00D664FD"/>
    <w:rsid w:val="00D72E48"/>
    <w:rsid w:val="00D7466C"/>
    <w:rsid w:val="00D80F59"/>
    <w:rsid w:val="00D87FC3"/>
    <w:rsid w:val="00D902EE"/>
    <w:rsid w:val="00D9169E"/>
    <w:rsid w:val="00D933E3"/>
    <w:rsid w:val="00D93DC8"/>
    <w:rsid w:val="00D959B1"/>
    <w:rsid w:val="00D97A10"/>
    <w:rsid w:val="00DA0615"/>
    <w:rsid w:val="00DB1A4B"/>
    <w:rsid w:val="00DB1D6B"/>
    <w:rsid w:val="00DB2000"/>
    <w:rsid w:val="00DB245D"/>
    <w:rsid w:val="00DB632F"/>
    <w:rsid w:val="00DB77B9"/>
    <w:rsid w:val="00DC0BD9"/>
    <w:rsid w:val="00DC180B"/>
    <w:rsid w:val="00DC35C5"/>
    <w:rsid w:val="00DC573E"/>
    <w:rsid w:val="00DC678A"/>
    <w:rsid w:val="00DC6A40"/>
    <w:rsid w:val="00DD0699"/>
    <w:rsid w:val="00DD330E"/>
    <w:rsid w:val="00DD41E5"/>
    <w:rsid w:val="00DD6591"/>
    <w:rsid w:val="00DD7681"/>
    <w:rsid w:val="00DE107A"/>
    <w:rsid w:val="00DE5C65"/>
    <w:rsid w:val="00DE7F52"/>
    <w:rsid w:val="00DF26FA"/>
    <w:rsid w:val="00DF4E7C"/>
    <w:rsid w:val="00DF77A0"/>
    <w:rsid w:val="00E030F1"/>
    <w:rsid w:val="00E07500"/>
    <w:rsid w:val="00E07D5E"/>
    <w:rsid w:val="00E14409"/>
    <w:rsid w:val="00E164A7"/>
    <w:rsid w:val="00E16A4F"/>
    <w:rsid w:val="00E16E96"/>
    <w:rsid w:val="00E179A9"/>
    <w:rsid w:val="00E17A35"/>
    <w:rsid w:val="00E2023D"/>
    <w:rsid w:val="00E235B3"/>
    <w:rsid w:val="00E24E63"/>
    <w:rsid w:val="00E250FB"/>
    <w:rsid w:val="00E255D2"/>
    <w:rsid w:val="00E2799A"/>
    <w:rsid w:val="00E346D0"/>
    <w:rsid w:val="00E356A9"/>
    <w:rsid w:val="00E35807"/>
    <w:rsid w:val="00E363C6"/>
    <w:rsid w:val="00E36F61"/>
    <w:rsid w:val="00E408BB"/>
    <w:rsid w:val="00E446A8"/>
    <w:rsid w:val="00E449E2"/>
    <w:rsid w:val="00E44F6C"/>
    <w:rsid w:val="00E51FB6"/>
    <w:rsid w:val="00E7014A"/>
    <w:rsid w:val="00E70A30"/>
    <w:rsid w:val="00E728E3"/>
    <w:rsid w:val="00E75BAD"/>
    <w:rsid w:val="00E80B0D"/>
    <w:rsid w:val="00E8252E"/>
    <w:rsid w:val="00E82930"/>
    <w:rsid w:val="00E904B4"/>
    <w:rsid w:val="00E9125F"/>
    <w:rsid w:val="00E91A47"/>
    <w:rsid w:val="00E95A22"/>
    <w:rsid w:val="00EA08F4"/>
    <w:rsid w:val="00EA1028"/>
    <w:rsid w:val="00EA280B"/>
    <w:rsid w:val="00EA44F1"/>
    <w:rsid w:val="00EB25EA"/>
    <w:rsid w:val="00EB425B"/>
    <w:rsid w:val="00EB4426"/>
    <w:rsid w:val="00EC0251"/>
    <w:rsid w:val="00EC71AB"/>
    <w:rsid w:val="00EC7F0E"/>
    <w:rsid w:val="00ED140B"/>
    <w:rsid w:val="00ED14CC"/>
    <w:rsid w:val="00ED1985"/>
    <w:rsid w:val="00ED62CF"/>
    <w:rsid w:val="00ED7FCA"/>
    <w:rsid w:val="00EE1620"/>
    <w:rsid w:val="00EE4103"/>
    <w:rsid w:val="00EE48FE"/>
    <w:rsid w:val="00EE4D5A"/>
    <w:rsid w:val="00EE5B83"/>
    <w:rsid w:val="00EE5C6A"/>
    <w:rsid w:val="00EE7BFA"/>
    <w:rsid w:val="00EF43DB"/>
    <w:rsid w:val="00F012CD"/>
    <w:rsid w:val="00F07459"/>
    <w:rsid w:val="00F075D9"/>
    <w:rsid w:val="00F111F5"/>
    <w:rsid w:val="00F11609"/>
    <w:rsid w:val="00F1359A"/>
    <w:rsid w:val="00F136A3"/>
    <w:rsid w:val="00F174ED"/>
    <w:rsid w:val="00F2112D"/>
    <w:rsid w:val="00F229BB"/>
    <w:rsid w:val="00F23F3C"/>
    <w:rsid w:val="00F27575"/>
    <w:rsid w:val="00F3079F"/>
    <w:rsid w:val="00F317AD"/>
    <w:rsid w:val="00F3286D"/>
    <w:rsid w:val="00F4388E"/>
    <w:rsid w:val="00F46739"/>
    <w:rsid w:val="00F46EE2"/>
    <w:rsid w:val="00F47EBF"/>
    <w:rsid w:val="00F50D01"/>
    <w:rsid w:val="00F526C3"/>
    <w:rsid w:val="00F54B0A"/>
    <w:rsid w:val="00F60845"/>
    <w:rsid w:val="00F60BB3"/>
    <w:rsid w:val="00F66ACE"/>
    <w:rsid w:val="00F67E84"/>
    <w:rsid w:val="00F718D5"/>
    <w:rsid w:val="00F72AF4"/>
    <w:rsid w:val="00F764F6"/>
    <w:rsid w:val="00F802CB"/>
    <w:rsid w:val="00F83C23"/>
    <w:rsid w:val="00F8455D"/>
    <w:rsid w:val="00F85CD1"/>
    <w:rsid w:val="00F85D3A"/>
    <w:rsid w:val="00F863EF"/>
    <w:rsid w:val="00F86D8E"/>
    <w:rsid w:val="00F8735A"/>
    <w:rsid w:val="00F937A5"/>
    <w:rsid w:val="00F9450F"/>
    <w:rsid w:val="00F947B4"/>
    <w:rsid w:val="00F947F5"/>
    <w:rsid w:val="00F97CEF"/>
    <w:rsid w:val="00FA3402"/>
    <w:rsid w:val="00FA38E1"/>
    <w:rsid w:val="00FB0849"/>
    <w:rsid w:val="00FB0C18"/>
    <w:rsid w:val="00FB1FB7"/>
    <w:rsid w:val="00FB3151"/>
    <w:rsid w:val="00FB65ED"/>
    <w:rsid w:val="00FC0D0E"/>
    <w:rsid w:val="00FC3B94"/>
    <w:rsid w:val="00FC4AD0"/>
    <w:rsid w:val="00FC5AD3"/>
    <w:rsid w:val="00FD1D56"/>
    <w:rsid w:val="00FD4D93"/>
    <w:rsid w:val="00FD6246"/>
    <w:rsid w:val="00FE018F"/>
    <w:rsid w:val="00FE3A8A"/>
    <w:rsid w:val="00FF6152"/>
    <w:rsid w:val="00FF76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A9EED4"/>
  <w15:docId w15:val="{2A5206F1-717E-4D6A-937F-388413B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CF4"/>
  </w:style>
  <w:style w:type="paragraph" w:styleId="Heading3">
    <w:name w:val="heading 3"/>
    <w:basedOn w:val="Normal"/>
    <w:link w:val="Heading3Char"/>
    <w:uiPriority w:val="9"/>
    <w:qFormat/>
    <w:rsid w:val="000450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unhideWhenUsed/>
    <w:qFormat/>
    <w:rsid w:val="00BE40E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159D"/>
    <w:rPr>
      <w:color w:val="0000FF" w:themeColor="hyperlink"/>
      <w:u w:val="single"/>
    </w:rPr>
  </w:style>
  <w:style w:type="paragraph" w:styleId="BalloonText">
    <w:name w:val="Balloon Text"/>
    <w:basedOn w:val="Normal"/>
    <w:link w:val="BalloonTextChar"/>
    <w:uiPriority w:val="99"/>
    <w:semiHidden/>
    <w:unhideWhenUsed/>
    <w:rsid w:val="00672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C69"/>
    <w:rPr>
      <w:rFonts w:ascii="Tahoma" w:hAnsi="Tahoma" w:cs="Tahoma"/>
      <w:sz w:val="16"/>
      <w:szCs w:val="16"/>
    </w:rPr>
  </w:style>
  <w:style w:type="character" w:customStyle="1" w:styleId="Heading3Char">
    <w:name w:val="Heading 3 Char"/>
    <w:basedOn w:val="DefaultParagraphFont"/>
    <w:link w:val="Heading3"/>
    <w:uiPriority w:val="9"/>
    <w:rsid w:val="0004500D"/>
    <w:rPr>
      <w:rFonts w:ascii="Times New Roman" w:eastAsia="Times New Roman" w:hAnsi="Times New Roman" w:cs="Times New Roman"/>
      <w:b/>
      <w:bCs/>
      <w:sz w:val="27"/>
      <w:szCs w:val="27"/>
    </w:rPr>
  </w:style>
  <w:style w:type="paragraph" w:styleId="ListParagraph">
    <w:name w:val="List Paragraph"/>
    <w:basedOn w:val="Normal"/>
    <w:link w:val="ListParagraphChar"/>
    <w:uiPriority w:val="34"/>
    <w:qFormat/>
    <w:rsid w:val="00475A05"/>
    <w:pPr>
      <w:ind w:left="720"/>
      <w:contextualSpacing/>
    </w:pPr>
  </w:style>
  <w:style w:type="character" w:customStyle="1" w:styleId="apple-converted-space">
    <w:name w:val="apple-converted-space"/>
    <w:basedOn w:val="DefaultParagraphFont"/>
    <w:rsid w:val="004B46EC"/>
  </w:style>
  <w:style w:type="character" w:styleId="Emphasis">
    <w:name w:val="Emphasis"/>
    <w:basedOn w:val="DefaultParagraphFont"/>
    <w:uiPriority w:val="20"/>
    <w:qFormat/>
    <w:rsid w:val="004B46EC"/>
    <w:rPr>
      <w:i/>
      <w:iCs/>
    </w:rPr>
  </w:style>
  <w:style w:type="character" w:customStyle="1" w:styleId="Heading5Char">
    <w:name w:val="Heading 5 Char"/>
    <w:basedOn w:val="DefaultParagraphFont"/>
    <w:link w:val="Heading5"/>
    <w:uiPriority w:val="9"/>
    <w:rsid w:val="00BE40E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390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E2A"/>
  </w:style>
  <w:style w:type="paragraph" w:styleId="Footer">
    <w:name w:val="footer"/>
    <w:basedOn w:val="Normal"/>
    <w:link w:val="FooterChar"/>
    <w:uiPriority w:val="99"/>
    <w:unhideWhenUsed/>
    <w:rsid w:val="00390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E2A"/>
  </w:style>
  <w:style w:type="paragraph" w:customStyle="1" w:styleId="Text">
    <w:name w:val="Text"/>
    <w:basedOn w:val="Normal"/>
    <w:rsid w:val="00642DA0"/>
    <w:pPr>
      <w:widowControl w:val="0"/>
      <w:autoSpaceDE w:val="0"/>
      <w:autoSpaceDN w:val="0"/>
      <w:spacing w:after="0" w:line="252" w:lineRule="auto"/>
      <w:ind w:firstLine="202"/>
      <w:jc w:val="both"/>
    </w:pPr>
    <w:rPr>
      <w:rFonts w:ascii="Times New Roman" w:eastAsia="PMingLiU" w:hAnsi="Times New Roman" w:cs="Times New Roman"/>
      <w:sz w:val="20"/>
      <w:szCs w:val="20"/>
    </w:rPr>
  </w:style>
  <w:style w:type="paragraph" w:styleId="FootnoteText">
    <w:name w:val="footnote text"/>
    <w:basedOn w:val="Normal"/>
    <w:link w:val="FootnoteTextChar"/>
    <w:semiHidden/>
    <w:rsid w:val="00C0693B"/>
    <w:pPr>
      <w:autoSpaceDE w:val="0"/>
      <w:autoSpaceDN w:val="0"/>
      <w:spacing w:after="0" w:line="240" w:lineRule="auto"/>
      <w:jc w:val="center"/>
    </w:pPr>
    <w:rPr>
      <w:rFonts w:ascii="Times New Roman" w:eastAsia="BatangChe" w:hAnsi="Times New Roman" w:cs="Angsana New"/>
      <w:kern w:val="2"/>
      <w:sz w:val="21"/>
      <w:szCs w:val="20"/>
      <w:lang w:eastAsia="ko-KR"/>
    </w:rPr>
  </w:style>
  <w:style w:type="character" w:customStyle="1" w:styleId="FootnoteTextChar">
    <w:name w:val="Footnote Text Char"/>
    <w:basedOn w:val="DefaultParagraphFont"/>
    <w:link w:val="FootnoteText"/>
    <w:semiHidden/>
    <w:rsid w:val="00C0693B"/>
    <w:rPr>
      <w:rFonts w:ascii="Times New Roman" w:eastAsia="BatangChe" w:hAnsi="Times New Roman" w:cs="Angsana New"/>
      <w:kern w:val="2"/>
      <w:sz w:val="21"/>
      <w:szCs w:val="20"/>
      <w:lang w:eastAsia="ko-KR"/>
    </w:rPr>
  </w:style>
  <w:style w:type="character" w:styleId="FollowedHyperlink">
    <w:name w:val="FollowedHyperlink"/>
    <w:basedOn w:val="DefaultParagraphFont"/>
    <w:uiPriority w:val="99"/>
    <w:semiHidden/>
    <w:unhideWhenUsed/>
    <w:rsid w:val="00F075D9"/>
    <w:rPr>
      <w:color w:val="800080" w:themeColor="followedHyperlink"/>
      <w:u w:val="single"/>
    </w:rPr>
  </w:style>
  <w:style w:type="table" w:styleId="TableGrid">
    <w:name w:val="Table Grid"/>
    <w:basedOn w:val="TableNormal"/>
    <w:uiPriority w:val="39"/>
    <w:rsid w:val="00003BC7"/>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03BC7"/>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73F0"/>
    <w:rPr>
      <w:color w:val="605E5C"/>
      <w:shd w:val="clear" w:color="auto" w:fill="E1DFDD"/>
    </w:rPr>
  </w:style>
  <w:style w:type="character" w:styleId="FootnoteReference">
    <w:name w:val="footnote reference"/>
    <w:basedOn w:val="DefaultParagraphFont"/>
    <w:uiPriority w:val="99"/>
    <w:semiHidden/>
    <w:unhideWhenUsed/>
    <w:rsid w:val="002D2DAB"/>
    <w:rPr>
      <w:vertAlign w:val="superscript"/>
    </w:rPr>
  </w:style>
  <w:style w:type="paragraph" w:styleId="Bibliography">
    <w:name w:val="Bibliography"/>
    <w:basedOn w:val="Normal"/>
    <w:next w:val="Normal"/>
    <w:uiPriority w:val="37"/>
    <w:unhideWhenUsed/>
    <w:rsid w:val="007239B7"/>
    <w:pPr>
      <w:spacing w:after="0" w:line="240" w:lineRule="auto"/>
      <w:ind w:left="720" w:hanging="720"/>
    </w:pPr>
  </w:style>
  <w:style w:type="character" w:customStyle="1" w:styleId="UnresolvedMention2">
    <w:name w:val="Unresolved Mention2"/>
    <w:basedOn w:val="DefaultParagraphFont"/>
    <w:uiPriority w:val="99"/>
    <w:semiHidden/>
    <w:unhideWhenUsed/>
    <w:rsid w:val="00E16E96"/>
    <w:rPr>
      <w:color w:val="605E5C"/>
      <w:shd w:val="clear" w:color="auto" w:fill="E1DFDD"/>
    </w:rPr>
  </w:style>
  <w:style w:type="paragraph" w:styleId="BodyText">
    <w:name w:val="Body Text"/>
    <w:basedOn w:val="Normal"/>
    <w:link w:val="BodyTextChar"/>
    <w:rsid w:val="008630C0"/>
    <w:pPr>
      <w:widowControl w:val="0"/>
      <w:suppressAutoHyphens/>
      <w:spacing w:after="120" w:line="240" w:lineRule="auto"/>
    </w:pPr>
    <w:rPr>
      <w:rFonts w:ascii="Courier" w:eastAsia="Times New Roman" w:hAnsi="Courier" w:cs="Times New Roman"/>
      <w:sz w:val="20"/>
      <w:szCs w:val="20"/>
      <w:lang w:val="en-GB" w:eastAsia="ar-SA"/>
    </w:rPr>
  </w:style>
  <w:style w:type="character" w:customStyle="1" w:styleId="BodyTextChar">
    <w:name w:val="Body Text Char"/>
    <w:basedOn w:val="DefaultParagraphFont"/>
    <w:link w:val="BodyText"/>
    <w:rsid w:val="008630C0"/>
    <w:rPr>
      <w:rFonts w:ascii="Courier" w:eastAsia="Times New Roman" w:hAnsi="Courier" w:cs="Times New Roman"/>
      <w:sz w:val="20"/>
      <w:szCs w:val="20"/>
      <w:lang w:val="en-GB" w:eastAsia="ar-SA"/>
    </w:rPr>
  </w:style>
  <w:style w:type="table" w:customStyle="1" w:styleId="TableGrid2">
    <w:name w:val="Table Grid2"/>
    <w:basedOn w:val="TableNormal"/>
    <w:next w:val="TableGrid"/>
    <w:uiPriority w:val="59"/>
    <w:rsid w:val="009C436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718D5"/>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2799A"/>
    <w:rPr>
      <w:color w:val="605E5C"/>
      <w:shd w:val="clear" w:color="auto" w:fill="E1DFDD"/>
    </w:rPr>
  </w:style>
  <w:style w:type="character" w:customStyle="1" w:styleId="ListParagraphChar">
    <w:name w:val="List Paragraph Char"/>
    <w:basedOn w:val="DefaultParagraphFont"/>
    <w:link w:val="ListParagraph"/>
    <w:uiPriority w:val="34"/>
    <w:qFormat/>
    <w:rsid w:val="00C51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01776">
      <w:bodyDiv w:val="1"/>
      <w:marLeft w:val="0"/>
      <w:marRight w:val="0"/>
      <w:marTop w:val="0"/>
      <w:marBottom w:val="0"/>
      <w:divBdr>
        <w:top w:val="none" w:sz="0" w:space="0" w:color="auto"/>
        <w:left w:val="none" w:sz="0" w:space="0" w:color="auto"/>
        <w:bottom w:val="none" w:sz="0" w:space="0" w:color="auto"/>
        <w:right w:val="none" w:sz="0" w:space="0" w:color="auto"/>
      </w:divBdr>
    </w:div>
    <w:div w:id="1280836706">
      <w:bodyDiv w:val="1"/>
      <w:marLeft w:val="0"/>
      <w:marRight w:val="0"/>
      <w:marTop w:val="0"/>
      <w:marBottom w:val="0"/>
      <w:divBdr>
        <w:top w:val="none" w:sz="0" w:space="0" w:color="auto"/>
        <w:left w:val="none" w:sz="0" w:space="0" w:color="auto"/>
        <w:bottom w:val="none" w:sz="0" w:space="0" w:color="auto"/>
        <w:right w:val="none" w:sz="0" w:space="0" w:color="auto"/>
      </w:divBdr>
    </w:div>
    <w:div w:id="1442608529">
      <w:bodyDiv w:val="1"/>
      <w:marLeft w:val="0"/>
      <w:marRight w:val="0"/>
      <w:marTop w:val="0"/>
      <w:marBottom w:val="0"/>
      <w:divBdr>
        <w:top w:val="none" w:sz="0" w:space="0" w:color="auto"/>
        <w:left w:val="none" w:sz="0" w:space="0" w:color="auto"/>
        <w:bottom w:val="none" w:sz="0" w:space="0" w:color="auto"/>
        <w:right w:val="none" w:sz="0" w:space="0" w:color="auto"/>
      </w:divBdr>
      <w:divsChild>
        <w:div w:id="477767830">
          <w:marLeft w:val="0"/>
          <w:marRight w:val="0"/>
          <w:marTop w:val="0"/>
          <w:marBottom w:val="0"/>
          <w:divBdr>
            <w:top w:val="none" w:sz="0" w:space="0" w:color="auto"/>
            <w:left w:val="none" w:sz="0" w:space="0" w:color="auto"/>
            <w:bottom w:val="none" w:sz="0" w:space="0" w:color="auto"/>
            <w:right w:val="none" w:sz="0" w:space="0" w:color="auto"/>
          </w:divBdr>
          <w:divsChild>
            <w:div w:id="221600658">
              <w:marLeft w:val="0"/>
              <w:marRight w:val="60"/>
              <w:marTop w:val="0"/>
              <w:marBottom w:val="0"/>
              <w:divBdr>
                <w:top w:val="none" w:sz="0" w:space="0" w:color="auto"/>
                <w:left w:val="none" w:sz="0" w:space="0" w:color="auto"/>
                <w:bottom w:val="none" w:sz="0" w:space="0" w:color="auto"/>
                <w:right w:val="none" w:sz="0" w:space="0" w:color="auto"/>
              </w:divBdr>
              <w:divsChild>
                <w:div w:id="1921135948">
                  <w:marLeft w:val="0"/>
                  <w:marRight w:val="0"/>
                  <w:marTop w:val="0"/>
                  <w:marBottom w:val="120"/>
                  <w:divBdr>
                    <w:top w:val="single" w:sz="6" w:space="0" w:color="A0A0A0"/>
                    <w:left w:val="single" w:sz="6" w:space="0" w:color="B9B9B9"/>
                    <w:bottom w:val="single" w:sz="6" w:space="0" w:color="B9B9B9"/>
                    <w:right w:val="single" w:sz="6" w:space="0" w:color="B9B9B9"/>
                  </w:divBdr>
                  <w:divsChild>
                    <w:div w:id="734620652">
                      <w:marLeft w:val="0"/>
                      <w:marRight w:val="0"/>
                      <w:marTop w:val="0"/>
                      <w:marBottom w:val="0"/>
                      <w:divBdr>
                        <w:top w:val="none" w:sz="0" w:space="0" w:color="auto"/>
                        <w:left w:val="none" w:sz="0" w:space="0" w:color="auto"/>
                        <w:bottom w:val="none" w:sz="0" w:space="0" w:color="auto"/>
                        <w:right w:val="none" w:sz="0" w:space="0" w:color="auto"/>
                      </w:divBdr>
                    </w:div>
                  </w:divsChild>
                </w:div>
                <w:div w:id="7101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4046">
          <w:marLeft w:val="0"/>
          <w:marRight w:val="0"/>
          <w:marTop w:val="0"/>
          <w:marBottom w:val="0"/>
          <w:divBdr>
            <w:top w:val="none" w:sz="0" w:space="0" w:color="auto"/>
            <w:left w:val="none" w:sz="0" w:space="0" w:color="auto"/>
            <w:bottom w:val="none" w:sz="0" w:space="0" w:color="auto"/>
            <w:right w:val="none" w:sz="0" w:space="0" w:color="auto"/>
          </w:divBdr>
          <w:divsChild>
            <w:div w:id="1046029053">
              <w:marLeft w:val="60"/>
              <w:marRight w:val="0"/>
              <w:marTop w:val="0"/>
              <w:marBottom w:val="0"/>
              <w:divBdr>
                <w:top w:val="none" w:sz="0" w:space="0" w:color="auto"/>
                <w:left w:val="none" w:sz="0" w:space="0" w:color="auto"/>
                <w:bottom w:val="none" w:sz="0" w:space="0" w:color="auto"/>
                <w:right w:val="none" w:sz="0" w:space="0" w:color="auto"/>
              </w:divBdr>
              <w:divsChild>
                <w:div w:id="1312177058">
                  <w:marLeft w:val="0"/>
                  <w:marRight w:val="0"/>
                  <w:marTop w:val="0"/>
                  <w:marBottom w:val="0"/>
                  <w:divBdr>
                    <w:top w:val="none" w:sz="0" w:space="0" w:color="auto"/>
                    <w:left w:val="none" w:sz="0" w:space="0" w:color="auto"/>
                    <w:bottom w:val="none" w:sz="0" w:space="0" w:color="auto"/>
                    <w:right w:val="none" w:sz="0" w:space="0" w:color="auto"/>
                  </w:divBdr>
                  <w:divsChild>
                    <w:div w:id="484443692">
                      <w:marLeft w:val="0"/>
                      <w:marRight w:val="0"/>
                      <w:marTop w:val="0"/>
                      <w:marBottom w:val="120"/>
                      <w:divBdr>
                        <w:top w:val="single" w:sz="6" w:space="0" w:color="F5F5F5"/>
                        <w:left w:val="single" w:sz="6" w:space="0" w:color="F5F5F5"/>
                        <w:bottom w:val="single" w:sz="6" w:space="0" w:color="F5F5F5"/>
                        <w:right w:val="single" w:sz="6" w:space="0" w:color="F5F5F5"/>
                      </w:divBdr>
                      <w:divsChild>
                        <w:div w:id="892349500">
                          <w:marLeft w:val="0"/>
                          <w:marRight w:val="0"/>
                          <w:marTop w:val="0"/>
                          <w:marBottom w:val="0"/>
                          <w:divBdr>
                            <w:top w:val="none" w:sz="0" w:space="0" w:color="auto"/>
                            <w:left w:val="none" w:sz="0" w:space="0" w:color="auto"/>
                            <w:bottom w:val="none" w:sz="0" w:space="0" w:color="auto"/>
                            <w:right w:val="none" w:sz="0" w:space="0" w:color="auto"/>
                          </w:divBdr>
                          <w:divsChild>
                            <w:div w:id="3014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image" Target="media/image16.jpe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tdkusworo@che.undip.ac.id" TargetMode="External"/><Relationship Id="rId14" Type="http://schemas.openxmlformats.org/officeDocument/2006/relationships/image" Target="media/image3.wmf"/><Relationship Id="rId22" Type="http://schemas.openxmlformats.org/officeDocument/2006/relationships/image" Target="media/image7.jpeg"/><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image" Target="media/image23.jpeg"/><Relationship Id="rId20" Type="http://schemas.openxmlformats.org/officeDocument/2006/relationships/image" Target="media/image6.wmf"/><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6537E-32E3-4F23-8474-4F9CB8E7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17181</Words>
  <Characters>97936</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 office3</cp:lastModifiedBy>
  <cp:revision>2</cp:revision>
  <cp:lastPrinted>2021-11-23T04:54:00Z</cp:lastPrinted>
  <dcterms:created xsi:type="dcterms:W3CDTF">2022-12-26T08:15:00Z</dcterms:created>
  <dcterms:modified xsi:type="dcterms:W3CDTF">2022-12-26T08:15:00Z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43627784-5681-3495-a562-128d1052c794</vt:lpwstr>
  </property>
  <property fmtid="{D5CDD505-2E9C-101B-9397-08002B2CF9AE}" pid="24" name="Mendeley Citation Style_1">
    <vt:lpwstr>http://www.zotero.org/styles/ieee</vt:lpwstr>
  </property>
  <property fmtid="{D5CDD505-2E9C-101B-9397-08002B2CF9AE}" pid="25" name="GrammarlyDocumentId">
    <vt:lpwstr>b58f9744dbf60b7a6e56613cd08f164df2b6dbc61dd766dabf2619351d29bb6c</vt:lpwstr>
  </property>
  <property fmtid="{D5CDD505-2E9C-101B-9397-08002B2CF9AE}" pid="26" name="ZOTERO_PREF_1">
    <vt:lpwstr>&lt;data data-version="3" zotero-version="6.0.12"&gt;&lt;session id="a0OlipH3"/&gt;&lt;style id="http://www.zotero.org/styles/elsevier-harvard" hasBibliography="1" bibliographyStyleHasBeenSet="1"/&gt;&lt;prefs&gt;&lt;pref name="fieldType" value="Field"/&gt;&lt;/prefs&gt;&lt;/data&gt;</vt:lpwstr>
  </property>
</Properties>
</file>